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theme/themeOverride5.xml" ContentType="application/vnd.openxmlformats-officedocument.themeOverride+xml"/>
  <Override PartName="/word/drawings/drawing2.xml" ContentType="application/vnd.openxmlformats-officedocument.drawingml.chartshapes+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6.xml" ContentType="application/vnd.openxmlformats-officedocument.themeOverride+xml"/>
  <Override PartName="/word/charts/chart8.xml" ContentType="application/vnd.openxmlformats-officedocument.drawingml.chart+xml"/>
  <Override PartName="/word/theme/themeOverride7.xml" ContentType="application/vnd.openxmlformats-officedocument.themeOverride+xml"/>
  <Override PartName="/word/drawings/drawing3.xml" ContentType="application/vnd.openxmlformats-officedocument.drawingml.chartshapes+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10.xml" ContentType="application/vnd.openxmlformats-officedocument.drawingml.chart+xml"/>
  <Override PartName="/word/theme/themeOverride9.xml" ContentType="application/vnd.openxmlformats-officedocument.themeOverride+xml"/>
  <Override PartName="/word/drawings/drawing4.xml" ContentType="application/vnd.openxmlformats-officedocument.drawingml.chartshapes+xml"/>
  <Override PartName="/word/charts/chart11.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0.xml" ContentType="application/vnd.openxmlformats-officedocument.themeOverride+xml"/>
  <Override PartName="/word/charts/chart12.xml" ContentType="application/vnd.openxmlformats-officedocument.drawingml.chart+xml"/>
  <Override PartName="/word/theme/themeOverride11.xml" ContentType="application/vnd.openxmlformats-officedocument.themeOverride+xml"/>
  <Override PartName="/word/drawings/drawing5.xml" ContentType="application/vnd.openxmlformats-officedocument.drawingml.chartshapes+xml"/>
  <Override PartName="/word/charts/chart13.xml" ContentType="application/vnd.openxmlformats-officedocument.drawingml.chart+xml"/>
  <Override PartName="/word/theme/themeOverride12.xml" ContentType="application/vnd.openxmlformats-officedocument.themeOverride+xml"/>
  <Override PartName="/word/charts/chart14.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3.xml" ContentType="application/vnd.openxmlformats-officedocument.themeOverride+xml"/>
  <Override PartName="/word/charts/chart15.xml" ContentType="application/vnd.openxmlformats-officedocument.drawingml.chart+xml"/>
  <Override PartName="/word/theme/themeOverride14.xml" ContentType="application/vnd.openxmlformats-officedocument.themeOverride+xml"/>
  <Override PartName="/word/drawings/drawing6.xml" ContentType="application/vnd.openxmlformats-officedocument.drawingml.chartshapes+xml"/>
  <Override PartName="/word/charts/chart16.xml" ContentType="application/vnd.openxmlformats-officedocument.drawingml.chart+xml"/>
  <Override PartName="/word/theme/themeOverride15.xml" ContentType="application/vnd.openxmlformats-officedocument.themeOverride+xml"/>
  <Override PartName="/word/drawings/drawing7.xml" ContentType="application/vnd.openxmlformats-officedocument.drawingml.chartshapes+xml"/>
  <Override PartName="/word/charts/chart17.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6.xml" ContentType="application/vnd.openxmlformats-officedocument.themeOverride+xml"/>
  <Override PartName="/word/charts/chart18.xml" ContentType="application/vnd.openxmlformats-officedocument.drawingml.chart+xml"/>
  <Override PartName="/word/theme/themeOverride17.xml" ContentType="application/vnd.openxmlformats-officedocument.themeOverride+xml"/>
  <Override PartName="/word/drawings/drawing8.xml" ContentType="application/vnd.openxmlformats-officedocument.drawingml.chartshapes+xml"/>
  <Override PartName="/word/charts/chart19.xml" ContentType="application/vnd.openxmlformats-officedocument.drawingml.chart+xml"/>
  <Override PartName="/word/theme/themeOverride18.xml" ContentType="application/vnd.openxmlformats-officedocument.themeOverride+xml"/>
  <Override PartName="/word/drawings/drawing9.xml" ContentType="application/vnd.openxmlformats-officedocument.drawingml.chartshapes+xml"/>
  <Override PartName="/word/charts/chart20.xml" ContentType="application/vnd.openxmlformats-officedocument.drawingml.chart+xml"/>
  <Override PartName="/word/theme/themeOverride19.xml" ContentType="application/vnd.openxmlformats-officedocument.themeOverride+xml"/>
  <Override PartName="/word/drawings/drawing10.xml" ContentType="application/vnd.openxmlformats-officedocument.drawingml.chartshapes+xml"/>
  <Override PartName="/word/charts/chart2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20.xml" ContentType="application/vnd.openxmlformats-officedocument.themeOverride+xml"/>
  <Override PartName="/word/charts/chart22.xml" ContentType="application/vnd.openxmlformats-officedocument.drawingml.chart+xml"/>
  <Override PartName="/word/theme/themeOverride21.xml" ContentType="application/vnd.openxmlformats-officedocument.themeOverride+xml"/>
  <Override PartName="/word/charts/chart23.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24.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25.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26.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theme/themeOverride22.xml" ContentType="application/vnd.openxmlformats-officedocument.themeOverride+xml"/>
  <Override PartName="/word/drawings/drawing11.xml" ContentType="application/vnd.openxmlformats-officedocument.drawingml.chartshapes+xml"/>
  <Override PartName="/word/charts/chart35.xml" ContentType="application/vnd.openxmlformats-officedocument.drawingml.chart+xml"/>
  <Override PartName="/word/theme/themeOverride23.xml" ContentType="application/vnd.openxmlformats-officedocument.themeOverride+xml"/>
  <Override PartName="/word/drawings/drawing12.xml" ContentType="application/vnd.openxmlformats-officedocument.drawingml.chartshapes+xml"/>
  <Override PartName="/word/charts/chart36.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24.xml" ContentType="application/vnd.openxmlformats-officedocument.themeOverride+xml"/>
  <Override PartName="/word/charts/chart37.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25.xml" ContentType="application/vnd.openxmlformats-officedocument.themeOverride+xml"/>
  <Override PartName="/word/charts/chart38.xml" ContentType="application/vnd.openxmlformats-officedocument.drawingml.chart+xml"/>
  <Override PartName="/word/drawings/drawing13.xml" ContentType="application/vnd.openxmlformats-officedocument.drawingml.chartshapes+xml"/>
  <Override PartName="/word/charts/chart39.xml" ContentType="application/vnd.openxmlformats-officedocument.drawingml.chart+xml"/>
  <Override PartName="/word/charts/chart40.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26.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7F65FF"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val="en-US" w:eastAsia="ru-RU"/>
        </w:rPr>
      </w:pPr>
    </w:p>
    <w:p w14:paraId="5A78C11A"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8"/>
      </w:tblGrid>
      <w:tr w:rsidR="00E47AA9" w:rsidRPr="00E47AA9" w14:paraId="1A217636" w14:textId="77777777" w:rsidTr="00353702">
        <w:tc>
          <w:tcPr>
            <w:tcW w:w="9638" w:type="dxa"/>
            <w:tcBorders>
              <w:top w:val="nil"/>
              <w:left w:val="nil"/>
              <w:bottom w:val="single" w:sz="24" w:space="0" w:color="auto"/>
              <w:right w:val="nil"/>
            </w:tcBorders>
          </w:tcPr>
          <w:p w14:paraId="6594D7A3" w14:textId="77777777" w:rsidR="00A441A6" w:rsidRPr="00E47AA9" w:rsidRDefault="00A441A6" w:rsidP="00353702">
            <w:pPr>
              <w:spacing w:after="0" w:line="240" w:lineRule="auto"/>
              <w:jc w:val="center"/>
              <w:rPr>
                <w:rFonts w:ascii="Times New Roman" w:eastAsia="Times New Roman" w:hAnsi="Times New Roman" w:cs="Times New Roman"/>
                <w:b/>
                <w:sz w:val="32"/>
                <w:szCs w:val="32"/>
                <w:lang w:eastAsia="ru-RU"/>
              </w:rPr>
            </w:pPr>
            <w:r w:rsidRPr="00E47AA9">
              <w:rPr>
                <w:rFonts w:ascii="Times New Roman" w:eastAsia="Times New Roman" w:hAnsi="Times New Roman" w:cs="Times New Roman"/>
                <w:b/>
                <w:sz w:val="32"/>
                <w:szCs w:val="32"/>
                <w:lang w:eastAsia="ru-RU"/>
              </w:rPr>
              <w:t xml:space="preserve">КОНТРОЛЬНО-СЧЕТНАЯ ПАЛАТА ПРИМОРСКОГО КРАЯ </w:t>
            </w:r>
          </w:p>
        </w:tc>
      </w:tr>
    </w:tbl>
    <w:p w14:paraId="10C0C1F9"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4DDE2474"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5E295C6B"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73CB4C62"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593E51CC"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46D4E53D"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706B1EBD"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588720BC"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52FFB1AD"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36500A79"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37AE8884"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3DB81183"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59849519"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4E58B700"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3C714973" w14:textId="77777777" w:rsidR="00A441A6" w:rsidRPr="00E47AA9" w:rsidRDefault="00A441A6" w:rsidP="00A441A6">
      <w:pPr>
        <w:spacing w:after="0" w:line="240" w:lineRule="auto"/>
        <w:jc w:val="center"/>
        <w:rPr>
          <w:rFonts w:ascii="Times New Roman" w:eastAsia="Times New Roman" w:hAnsi="Times New Roman" w:cs="Times New Roman"/>
          <w:b/>
          <w:sz w:val="32"/>
          <w:szCs w:val="32"/>
          <w:lang w:eastAsia="ru-RU"/>
        </w:rPr>
      </w:pPr>
    </w:p>
    <w:p w14:paraId="611BA16F" w14:textId="77777777" w:rsidR="00A441A6" w:rsidRPr="00E47AA9" w:rsidRDefault="00A441A6" w:rsidP="00A441A6">
      <w:pPr>
        <w:spacing w:after="0" w:line="240" w:lineRule="auto"/>
        <w:jc w:val="center"/>
        <w:rPr>
          <w:rFonts w:ascii="Times New Roman" w:eastAsia="Times New Roman" w:hAnsi="Times New Roman" w:cs="Times New Roman"/>
          <w:b/>
          <w:sz w:val="32"/>
          <w:szCs w:val="32"/>
          <w:lang w:eastAsia="ru-RU"/>
        </w:rPr>
      </w:pPr>
      <w:r w:rsidRPr="00E47AA9">
        <w:rPr>
          <w:rFonts w:ascii="Times New Roman" w:eastAsia="Times New Roman" w:hAnsi="Times New Roman" w:cs="Times New Roman"/>
          <w:b/>
          <w:sz w:val="32"/>
          <w:szCs w:val="32"/>
          <w:lang w:eastAsia="ru-RU"/>
        </w:rPr>
        <w:t xml:space="preserve">ЗАКЛЮЧЕНИЕ </w:t>
      </w:r>
    </w:p>
    <w:p w14:paraId="7C0D054C" w14:textId="77777777" w:rsidR="00A441A6" w:rsidRPr="00E47AA9" w:rsidRDefault="00A441A6" w:rsidP="00A441A6">
      <w:pPr>
        <w:spacing w:after="0" w:line="240" w:lineRule="auto"/>
        <w:jc w:val="center"/>
        <w:rPr>
          <w:rFonts w:ascii="Times New Roman" w:eastAsia="Times New Roman" w:hAnsi="Times New Roman" w:cs="Times New Roman"/>
          <w:b/>
          <w:sz w:val="32"/>
          <w:szCs w:val="32"/>
          <w:lang w:eastAsia="ru-RU"/>
        </w:rPr>
      </w:pPr>
      <w:r w:rsidRPr="00E47AA9">
        <w:rPr>
          <w:rFonts w:ascii="Times New Roman" w:eastAsia="Times New Roman" w:hAnsi="Times New Roman" w:cs="Times New Roman"/>
          <w:b/>
          <w:sz w:val="32"/>
          <w:szCs w:val="32"/>
          <w:lang w:eastAsia="ru-RU"/>
        </w:rPr>
        <w:t>Контрольно-счетной палаты Приморского края</w:t>
      </w:r>
    </w:p>
    <w:p w14:paraId="1A913CFB" w14:textId="77777777" w:rsidR="00A441A6" w:rsidRPr="00E47AA9" w:rsidRDefault="00A441A6" w:rsidP="00A441A6">
      <w:pPr>
        <w:spacing w:after="0" w:line="240" w:lineRule="auto"/>
        <w:jc w:val="center"/>
        <w:rPr>
          <w:rFonts w:ascii="Times New Roman" w:eastAsia="Times New Roman" w:hAnsi="Times New Roman" w:cs="Times New Roman"/>
          <w:b/>
          <w:sz w:val="32"/>
          <w:szCs w:val="32"/>
          <w:lang w:eastAsia="ru-RU"/>
        </w:rPr>
      </w:pPr>
      <w:r w:rsidRPr="00E47AA9">
        <w:rPr>
          <w:rFonts w:ascii="Times New Roman" w:eastAsia="Times New Roman" w:hAnsi="Times New Roman" w:cs="Times New Roman"/>
          <w:b/>
          <w:sz w:val="32"/>
          <w:szCs w:val="32"/>
          <w:lang w:eastAsia="ru-RU"/>
        </w:rPr>
        <w:t xml:space="preserve"> на отчет Правительства Приморского края </w:t>
      </w:r>
    </w:p>
    <w:p w14:paraId="50DD3323" w14:textId="77777777" w:rsidR="00A441A6" w:rsidRPr="00E47AA9" w:rsidRDefault="00A441A6" w:rsidP="00A441A6">
      <w:pPr>
        <w:spacing w:after="0" w:line="240" w:lineRule="auto"/>
        <w:jc w:val="center"/>
        <w:rPr>
          <w:rFonts w:ascii="Times New Roman" w:eastAsia="Times New Roman" w:hAnsi="Times New Roman" w:cs="Times New Roman"/>
          <w:b/>
          <w:sz w:val="32"/>
          <w:szCs w:val="32"/>
          <w:lang w:eastAsia="ru-RU"/>
        </w:rPr>
      </w:pPr>
      <w:r w:rsidRPr="00E47AA9">
        <w:rPr>
          <w:rFonts w:ascii="Times New Roman" w:eastAsia="Times New Roman" w:hAnsi="Times New Roman" w:cs="Times New Roman"/>
          <w:b/>
          <w:sz w:val="32"/>
          <w:szCs w:val="32"/>
          <w:lang w:eastAsia="ru-RU"/>
        </w:rPr>
        <w:t xml:space="preserve">об исполнении краевого бюджета </w:t>
      </w:r>
    </w:p>
    <w:p w14:paraId="50FFAA45" w14:textId="77777777" w:rsidR="00A441A6" w:rsidRPr="00E47AA9" w:rsidRDefault="00A441A6" w:rsidP="00A441A6">
      <w:pPr>
        <w:spacing w:after="0" w:line="240" w:lineRule="auto"/>
        <w:jc w:val="center"/>
        <w:rPr>
          <w:rFonts w:ascii="Times New Roman" w:eastAsia="Times New Roman" w:hAnsi="Times New Roman" w:cs="Times New Roman"/>
          <w:b/>
          <w:sz w:val="32"/>
          <w:szCs w:val="32"/>
          <w:lang w:eastAsia="ru-RU"/>
        </w:rPr>
      </w:pPr>
      <w:r w:rsidRPr="00E47AA9">
        <w:rPr>
          <w:rFonts w:ascii="Times New Roman" w:eastAsia="Times New Roman" w:hAnsi="Times New Roman" w:cs="Times New Roman"/>
          <w:b/>
          <w:sz w:val="32"/>
          <w:szCs w:val="32"/>
          <w:lang w:eastAsia="ru-RU"/>
        </w:rPr>
        <w:t>за 2024 год</w:t>
      </w:r>
    </w:p>
    <w:p w14:paraId="7B33E9C3" w14:textId="77777777" w:rsidR="00A441A6" w:rsidRPr="00E47AA9" w:rsidRDefault="00A441A6" w:rsidP="00A441A6">
      <w:pPr>
        <w:spacing w:after="0" w:line="240" w:lineRule="auto"/>
        <w:jc w:val="center"/>
        <w:rPr>
          <w:rFonts w:ascii="Times New Roman" w:eastAsia="Times New Roman" w:hAnsi="Times New Roman" w:cs="Times New Roman"/>
          <w:b/>
          <w:sz w:val="32"/>
          <w:szCs w:val="32"/>
          <w:lang w:eastAsia="ru-RU"/>
        </w:rPr>
      </w:pPr>
    </w:p>
    <w:p w14:paraId="119BCFBC"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217D165F" w14:textId="77777777" w:rsidR="00A441A6" w:rsidRPr="00096E5B" w:rsidRDefault="00A441A6" w:rsidP="00A441A6">
      <w:pPr>
        <w:spacing w:after="0" w:line="240" w:lineRule="auto"/>
        <w:jc w:val="center"/>
        <w:rPr>
          <w:rFonts w:ascii="Times New Roman" w:eastAsia="Times New Roman" w:hAnsi="Times New Roman" w:cs="Times New Roman"/>
          <w:sz w:val="28"/>
          <w:szCs w:val="28"/>
          <w:lang w:eastAsia="ru-RU"/>
        </w:rPr>
      </w:pPr>
      <w:r w:rsidRPr="00096E5B">
        <w:rPr>
          <w:rFonts w:ascii="Times New Roman" w:eastAsia="Times New Roman" w:hAnsi="Times New Roman" w:cs="Times New Roman"/>
          <w:sz w:val="28"/>
          <w:szCs w:val="28"/>
          <w:lang w:eastAsia="ru-RU"/>
        </w:rPr>
        <w:t xml:space="preserve">Утверждено коллегией </w:t>
      </w:r>
    </w:p>
    <w:p w14:paraId="56D00165" w14:textId="77777777" w:rsidR="00A441A6" w:rsidRPr="00096E5B" w:rsidRDefault="00A441A6" w:rsidP="00A441A6">
      <w:pPr>
        <w:spacing w:after="0" w:line="240" w:lineRule="auto"/>
        <w:jc w:val="center"/>
        <w:rPr>
          <w:rFonts w:ascii="Times New Roman" w:eastAsia="Times New Roman" w:hAnsi="Times New Roman" w:cs="Times New Roman"/>
          <w:sz w:val="28"/>
          <w:szCs w:val="28"/>
          <w:lang w:eastAsia="ru-RU"/>
        </w:rPr>
      </w:pPr>
      <w:r w:rsidRPr="00096E5B">
        <w:rPr>
          <w:rFonts w:ascii="Times New Roman" w:eastAsia="Times New Roman" w:hAnsi="Times New Roman" w:cs="Times New Roman"/>
          <w:sz w:val="28"/>
          <w:szCs w:val="28"/>
          <w:lang w:eastAsia="ru-RU"/>
        </w:rPr>
        <w:t xml:space="preserve">Контрольно-счетной палаты Приморского края </w:t>
      </w:r>
    </w:p>
    <w:p w14:paraId="04D25317" w14:textId="319301BC" w:rsidR="00A441A6" w:rsidRPr="00E47AA9" w:rsidRDefault="00A441A6" w:rsidP="00A441A6">
      <w:pPr>
        <w:spacing w:after="0" w:line="240" w:lineRule="auto"/>
        <w:jc w:val="center"/>
        <w:rPr>
          <w:rFonts w:ascii="Times New Roman" w:eastAsia="Times New Roman" w:hAnsi="Times New Roman" w:cs="Times New Roman"/>
          <w:sz w:val="28"/>
          <w:szCs w:val="28"/>
          <w:lang w:eastAsia="ru-RU"/>
        </w:rPr>
      </w:pPr>
      <w:r w:rsidRPr="00096E5B">
        <w:rPr>
          <w:rFonts w:ascii="Times New Roman" w:eastAsia="Times New Roman" w:hAnsi="Times New Roman" w:cs="Times New Roman"/>
          <w:sz w:val="28"/>
          <w:szCs w:val="28"/>
          <w:lang w:eastAsia="ru-RU"/>
        </w:rPr>
        <w:t xml:space="preserve">(протокол от </w:t>
      </w:r>
      <w:r w:rsidR="00096E5B" w:rsidRPr="00096E5B">
        <w:rPr>
          <w:rFonts w:ascii="Times New Roman" w:eastAsia="Times New Roman" w:hAnsi="Times New Roman" w:cs="Times New Roman"/>
          <w:sz w:val="28"/>
          <w:szCs w:val="28"/>
          <w:lang w:eastAsia="ru-RU"/>
        </w:rPr>
        <w:t>30</w:t>
      </w:r>
      <w:r w:rsidRPr="00096E5B">
        <w:rPr>
          <w:rFonts w:ascii="Times New Roman" w:eastAsia="Times New Roman" w:hAnsi="Times New Roman" w:cs="Times New Roman"/>
          <w:sz w:val="28"/>
          <w:szCs w:val="28"/>
          <w:lang w:eastAsia="ru-RU"/>
        </w:rPr>
        <w:t xml:space="preserve">.05.2025 № </w:t>
      </w:r>
      <w:r w:rsidR="00096E5B" w:rsidRPr="00096E5B">
        <w:rPr>
          <w:rFonts w:ascii="Times New Roman" w:eastAsia="Times New Roman" w:hAnsi="Times New Roman" w:cs="Times New Roman"/>
          <w:sz w:val="28"/>
          <w:szCs w:val="28"/>
          <w:lang w:eastAsia="ru-RU"/>
        </w:rPr>
        <w:t>9</w:t>
      </w:r>
      <w:r w:rsidRPr="00096E5B">
        <w:rPr>
          <w:rFonts w:ascii="Times New Roman" w:eastAsia="Times New Roman" w:hAnsi="Times New Roman" w:cs="Times New Roman"/>
          <w:sz w:val="28"/>
          <w:szCs w:val="28"/>
          <w:lang w:eastAsia="ru-RU"/>
        </w:rPr>
        <w:t>)</w:t>
      </w:r>
    </w:p>
    <w:p w14:paraId="13CA5334" w14:textId="77777777" w:rsidR="00A441A6" w:rsidRPr="00E47AA9" w:rsidRDefault="00A441A6" w:rsidP="00A441A6">
      <w:pPr>
        <w:spacing w:after="0" w:line="240" w:lineRule="auto"/>
        <w:jc w:val="center"/>
        <w:rPr>
          <w:rFonts w:ascii="Times New Roman" w:eastAsia="Times New Roman" w:hAnsi="Times New Roman" w:cs="Times New Roman"/>
          <w:sz w:val="28"/>
          <w:szCs w:val="28"/>
          <w:lang w:eastAsia="ru-RU"/>
        </w:rPr>
      </w:pPr>
    </w:p>
    <w:p w14:paraId="53E6AE0F" w14:textId="77777777" w:rsidR="00A441A6" w:rsidRPr="00E47AA9" w:rsidRDefault="00A441A6" w:rsidP="00A441A6">
      <w:pPr>
        <w:spacing w:after="0" w:line="240" w:lineRule="auto"/>
        <w:jc w:val="center"/>
        <w:rPr>
          <w:rFonts w:ascii="Times New Roman" w:eastAsia="Times New Roman" w:hAnsi="Times New Roman" w:cs="Times New Roman"/>
          <w:sz w:val="28"/>
          <w:szCs w:val="28"/>
          <w:lang w:eastAsia="ru-RU"/>
        </w:rPr>
      </w:pPr>
    </w:p>
    <w:p w14:paraId="53B049D1" w14:textId="77777777" w:rsidR="00A441A6" w:rsidRPr="00E47AA9" w:rsidRDefault="00A441A6" w:rsidP="00A441A6">
      <w:pPr>
        <w:spacing w:after="0" w:line="240" w:lineRule="auto"/>
        <w:jc w:val="center"/>
        <w:rPr>
          <w:rFonts w:ascii="Times New Roman" w:eastAsia="Times New Roman" w:hAnsi="Times New Roman" w:cs="Times New Roman"/>
          <w:sz w:val="28"/>
          <w:szCs w:val="28"/>
          <w:lang w:eastAsia="ru-RU"/>
        </w:rPr>
      </w:pPr>
    </w:p>
    <w:p w14:paraId="2D0CC4FF" w14:textId="77777777" w:rsidR="00A441A6" w:rsidRPr="00E47AA9" w:rsidRDefault="00A441A6" w:rsidP="00A441A6">
      <w:pPr>
        <w:spacing w:after="0" w:line="240" w:lineRule="auto"/>
        <w:jc w:val="center"/>
        <w:rPr>
          <w:rFonts w:ascii="Times New Roman" w:eastAsia="Times New Roman" w:hAnsi="Times New Roman" w:cs="Times New Roman"/>
          <w:sz w:val="28"/>
          <w:szCs w:val="28"/>
          <w:lang w:eastAsia="ru-RU"/>
        </w:rPr>
      </w:pPr>
    </w:p>
    <w:p w14:paraId="5DEE3DF5" w14:textId="77777777" w:rsidR="00A441A6" w:rsidRPr="00E47AA9" w:rsidRDefault="00A441A6" w:rsidP="00A441A6">
      <w:pPr>
        <w:spacing w:after="0" w:line="240" w:lineRule="auto"/>
        <w:jc w:val="center"/>
        <w:rPr>
          <w:rFonts w:ascii="Times New Roman" w:eastAsia="Times New Roman" w:hAnsi="Times New Roman" w:cs="Times New Roman"/>
          <w:sz w:val="28"/>
          <w:szCs w:val="28"/>
          <w:lang w:eastAsia="ru-RU"/>
        </w:rPr>
      </w:pPr>
    </w:p>
    <w:p w14:paraId="17CBB93F" w14:textId="77777777" w:rsidR="00A441A6" w:rsidRPr="00E47AA9" w:rsidRDefault="00A441A6" w:rsidP="00A441A6">
      <w:pPr>
        <w:spacing w:after="0" w:line="240" w:lineRule="auto"/>
        <w:jc w:val="center"/>
        <w:rPr>
          <w:rFonts w:ascii="Times New Roman" w:eastAsia="Times New Roman" w:hAnsi="Times New Roman" w:cs="Times New Roman"/>
          <w:sz w:val="28"/>
          <w:szCs w:val="28"/>
          <w:lang w:eastAsia="ru-RU"/>
        </w:rPr>
      </w:pPr>
    </w:p>
    <w:p w14:paraId="7D8E662C" w14:textId="77777777" w:rsidR="00A441A6" w:rsidRPr="00E47AA9" w:rsidRDefault="00A441A6" w:rsidP="00A441A6">
      <w:pPr>
        <w:spacing w:after="0" w:line="240" w:lineRule="auto"/>
        <w:jc w:val="center"/>
        <w:rPr>
          <w:rFonts w:ascii="Times New Roman" w:eastAsia="Times New Roman" w:hAnsi="Times New Roman" w:cs="Times New Roman"/>
          <w:sz w:val="28"/>
          <w:szCs w:val="28"/>
          <w:lang w:eastAsia="ru-RU"/>
        </w:rPr>
      </w:pPr>
    </w:p>
    <w:p w14:paraId="5AF2A057" w14:textId="77777777" w:rsidR="00A441A6" w:rsidRPr="00E47AA9" w:rsidRDefault="00A441A6" w:rsidP="00A441A6">
      <w:pPr>
        <w:spacing w:after="0" w:line="240" w:lineRule="auto"/>
        <w:jc w:val="center"/>
        <w:rPr>
          <w:rFonts w:ascii="Times New Roman" w:eastAsia="Times New Roman" w:hAnsi="Times New Roman" w:cs="Times New Roman"/>
          <w:sz w:val="28"/>
          <w:szCs w:val="28"/>
          <w:lang w:eastAsia="ru-RU"/>
        </w:rPr>
      </w:pPr>
    </w:p>
    <w:p w14:paraId="28FE1B46" w14:textId="77777777" w:rsidR="00A441A6" w:rsidRPr="00E47AA9" w:rsidRDefault="00A441A6" w:rsidP="00A441A6">
      <w:pPr>
        <w:spacing w:after="0" w:line="240" w:lineRule="auto"/>
        <w:jc w:val="center"/>
        <w:rPr>
          <w:rFonts w:ascii="Times New Roman" w:eastAsia="Times New Roman" w:hAnsi="Times New Roman" w:cs="Times New Roman"/>
          <w:sz w:val="28"/>
          <w:szCs w:val="28"/>
          <w:lang w:eastAsia="ru-RU"/>
        </w:rPr>
      </w:pPr>
    </w:p>
    <w:p w14:paraId="376914F6" w14:textId="77777777" w:rsidR="00A441A6" w:rsidRPr="00E47AA9" w:rsidRDefault="00A441A6" w:rsidP="00A441A6">
      <w:pPr>
        <w:spacing w:after="0" w:line="240" w:lineRule="auto"/>
        <w:jc w:val="center"/>
        <w:rPr>
          <w:rFonts w:ascii="Times New Roman" w:eastAsia="Times New Roman" w:hAnsi="Times New Roman" w:cs="Times New Roman"/>
          <w:sz w:val="28"/>
          <w:szCs w:val="28"/>
          <w:lang w:eastAsia="ru-RU"/>
        </w:rPr>
      </w:pPr>
    </w:p>
    <w:p w14:paraId="5555F49D" w14:textId="77777777" w:rsidR="00A441A6" w:rsidRPr="00E47AA9" w:rsidRDefault="00A441A6" w:rsidP="00A441A6">
      <w:pPr>
        <w:spacing w:after="0" w:line="240" w:lineRule="auto"/>
        <w:jc w:val="center"/>
        <w:rPr>
          <w:rFonts w:ascii="Times New Roman" w:eastAsia="Times New Roman" w:hAnsi="Times New Roman" w:cs="Times New Roman"/>
          <w:sz w:val="28"/>
          <w:szCs w:val="28"/>
          <w:lang w:eastAsia="ru-RU"/>
        </w:rPr>
      </w:pPr>
    </w:p>
    <w:p w14:paraId="5D95FD4E" w14:textId="77777777" w:rsidR="00A441A6" w:rsidRPr="00E47AA9" w:rsidRDefault="00A441A6" w:rsidP="00A441A6">
      <w:pPr>
        <w:spacing w:after="0" w:line="240" w:lineRule="auto"/>
        <w:jc w:val="center"/>
        <w:rPr>
          <w:rFonts w:ascii="Times New Roman" w:eastAsia="Times New Roman" w:hAnsi="Times New Roman" w:cs="Times New Roman"/>
          <w:sz w:val="28"/>
          <w:szCs w:val="28"/>
          <w:lang w:eastAsia="ru-RU"/>
        </w:rPr>
      </w:pPr>
    </w:p>
    <w:p w14:paraId="5E23841B"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138FF9CB"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156EAF80" w14:textId="77777777" w:rsidR="00A441A6" w:rsidRPr="00E47AA9" w:rsidRDefault="00A441A6" w:rsidP="00A441A6">
      <w:pP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br w:type="page"/>
      </w:r>
    </w:p>
    <w:p w14:paraId="524F714E"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p>
    <w:p w14:paraId="4CBA92D4"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Содержание</w:t>
      </w:r>
    </w:p>
    <w:p w14:paraId="2C9FB286" w14:textId="77777777" w:rsidR="00A441A6" w:rsidRPr="00E47AA9" w:rsidRDefault="00A441A6" w:rsidP="00A441A6">
      <w:pPr>
        <w:spacing w:after="0" w:line="240" w:lineRule="auto"/>
        <w:jc w:val="center"/>
        <w:rPr>
          <w:rFonts w:ascii="Times New Roman" w:eastAsia="Times New Roman" w:hAnsi="Times New Roman" w:cs="Times New Roman"/>
          <w:sz w:val="28"/>
          <w:szCs w:val="28"/>
          <w:lang w:eastAsia="ru-RU"/>
        </w:rPr>
      </w:pPr>
    </w:p>
    <w:tbl>
      <w:tblPr>
        <w:tblW w:w="9923"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222"/>
        <w:gridCol w:w="850"/>
      </w:tblGrid>
      <w:tr w:rsidR="00E47AA9" w:rsidRPr="00E47AA9" w14:paraId="488DD2AE" w14:textId="77777777" w:rsidTr="00543D67">
        <w:tc>
          <w:tcPr>
            <w:tcW w:w="851" w:type="dxa"/>
            <w:shd w:val="clear" w:color="auto" w:fill="auto"/>
          </w:tcPr>
          <w:p w14:paraId="05907A8D"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1.</w:t>
            </w:r>
          </w:p>
        </w:tc>
        <w:tc>
          <w:tcPr>
            <w:tcW w:w="8222" w:type="dxa"/>
            <w:shd w:val="clear" w:color="auto" w:fill="auto"/>
          </w:tcPr>
          <w:p w14:paraId="12BA2BB9"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Общие положения………………………………...………</w:t>
            </w:r>
            <w:r w:rsidR="0084300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
          <w:p w14:paraId="0B2C0A0A"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3389CD18" w14:textId="23502598" w:rsidR="00A441A6" w:rsidRPr="00E47AA9" w:rsidRDefault="00543D67" w:rsidP="00353702">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6</w:t>
            </w:r>
          </w:p>
        </w:tc>
      </w:tr>
      <w:tr w:rsidR="00E47AA9" w:rsidRPr="00E47AA9" w14:paraId="474F4774" w14:textId="77777777" w:rsidTr="00543D67">
        <w:tc>
          <w:tcPr>
            <w:tcW w:w="851" w:type="dxa"/>
            <w:shd w:val="clear" w:color="auto" w:fill="auto"/>
          </w:tcPr>
          <w:p w14:paraId="03D84990"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w:t>
            </w:r>
          </w:p>
        </w:tc>
        <w:tc>
          <w:tcPr>
            <w:tcW w:w="8222" w:type="dxa"/>
            <w:shd w:val="clear" w:color="auto" w:fill="auto"/>
          </w:tcPr>
          <w:p w14:paraId="1B8ABF74"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Макроэкономические условия исполнения краевого бюджета за отчетный год …………………………………</w:t>
            </w:r>
            <w:r w:rsidR="0084300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
          <w:p w14:paraId="34DF8A13"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65DDE4F5" w14:textId="77777777" w:rsidR="00543D67" w:rsidRPr="00E47AA9" w:rsidRDefault="00543D67" w:rsidP="00353702">
            <w:pPr>
              <w:spacing w:after="0" w:line="240" w:lineRule="auto"/>
              <w:jc w:val="right"/>
              <w:rPr>
                <w:rFonts w:ascii="Times New Roman" w:eastAsia="Times New Roman" w:hAnsi="Times New Roman" w:cs="Times New Roman"/>
                <w:sz w:val="28"/>
                <w:szCs w:val="28"/>
                <w:lang w:eastAsia="ru-RU"/>
              </w:rPr>
            </w:pPr>
          </w:p>
          <w:p w14:paraId="7EC0D8EF" w14:textId="54BF0791" w:rsidR="00A441A6" w:rsidRPr="00E47AA9" w:rsidRDefault="00543D67" w:rsidP="00353702">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7</w:t>
            </w:r>
          </w:p>
        </w:tc>
      </w:tr>
      <w:tr w:rsidR="00E47AA9" w:rsidRPr="00E47AA9" w14:paraId="2206C610" w14:textId="77777777" w:rsidTr="00543D67">
        <w:tc>
          <w:tcPr>
            <w:tcW w:w="851" w:type="dxa"/>
            <w:shd w:val="clear" w:color="auto" w:fill="auto"/>
          </w:tcPr>
          <w:p w14:paraId="47750615"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3.</w:t>
            </w:r>
          </w:p>
        </w:tc>
        <w:tc>
          <w:tcPr>
            <w:tcW w:w="8222" w:type="dxa"/>
            <w:shd w:val="clear" w:color="auto" w:fill="auto"/>
          </w:tcPr>
          <w:p w14:paraId="6F771E68"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Общая характеристика основных параметров краевого бюджета……………………………………………</w:t>
            </w:r>
            <w:r w:rsidR="0084300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
          <w:p w14:paraId="47D66043"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0CA57182" w14:textId="77777777" w:rsidR="00543D67" w:rsidRPr="00E47AA9" w:rsidRDefault="00543D67" w:rsidP="00353702">
            <w:pPr>
              <w:spacing w:after="0" w:line="240" w:lineRule="auto"/>
              <w:jc w:val="right"/>
              <w:rPr>
                <w:rFonts w:ascii="Times New Roman" w:eastAsia="Times New Roman" w:hAnsi="Times New Roman" w:cs="Times New Roman"/>
                <w:sz w:val="28"/>
                <w:szCs w:val="28"/>
                <w:lang w:eastAsia="ru-RU"/>
              </w:rPr>
            </w:pPr>
          </w:p>
          <w:p w14:paraId="0637B426" w14:textId="3F922D3A" w:rsidR="00A441A6" w:rsidRPr="00E47AA9" w:rsidRDefault="00543D67" w:rsidP="00353702">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22</w:t>
            </w:r>
          </w:p>
        </w:tc>
      </w:tr>
      <w:tr w:rsidR="00E47AA9" w:rsidRPr="00E47AA9" w14:paraId="23C4C378" w14:textId="77777777" w:rsidTr="00543D67">
        <w:tc>
          <w:tcPr>
            <w:tcW w:w="851" w:type="dxa"/>
            <w:shd w:val="clear" w:color="auto" w:fill="auto"/>
          </w:tcPr>
          <w:p w14:paraId="78E90663"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4.</w:t>
            </w:r>
          </w:p>
        </w:tc>
        <w:tc>
          <w:tcPr>
            <w:tcW w:w="8222" w:type="dxa"/>
            <w:shd w:val="clear" w:color="auto" w:fill="auto"/>
          </w:tcPr>
          <w:p w14:paraId="1EA6F51C"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ДОХОДЫ КРАЕВОГО БЮДЖЕТА…...…………</w:t>
            </w:r>
            <w:proofErr w:type="gramStart"/>
            <w:r w:rsidRPr="00E47AA9">
              <w:rPr>
                <w:rFonts w:ascii="Times New Roman" w:eastAsia="Times New Roman" w:hAnsi="Times New Roman" w:cs="Times New Roman"/>
                <w:sz w:val="28"/>
                <w:szCs w:val="28"/>
                <w:lang w:eastAsia="ru-RU"/>
              </w:rPr>
              <w:t>…</w:t>
            </w:r>
            <w:r w:rsidR="00843009" w:rsidRPr="00E47AA9">
              <w:rPr>
                <w:rFonts w:ascii="Times New Roman" w:eastAsia="Times New Roman" w:hAnsi="Times New Roman" w:cs="Times New Roman"/>
                <w:sz w:val="28"/>
                <w:szCs w:val="28"/>
                <w:lang w:eastAsia="ru-RU"/>
              </w:rPr>
              <w:t>….</w:t>
            </w:r>
            <w:proofErr w:type="gramEnd"/>
            <w:r w:rsidR="0084300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
          <w:p w14:paraId="0615F171"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12DC2D5B" w14:textId="42004E49" w:rsidR="00A441A6" w:rsidRPr="00E47AA9" w:rsidRDefault="00543D67" w:rsidP="00353702">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24</w:t>
            </w:r>
          </w:p>
        </w:tc>
      </w:tr>
      <w:tr w:rsidR="00E47AA9" w:rsidRPr="00E47AA9" w14:paraId="3DBA97F3" w14:textId="77777777" w:rsidTr="00543D67">
        <w:trPr>
          <w:trHeight w:val="668"/>
        </w:trPr>
        <w:tc>
          <w:tcPr>
            <w:tcW w:w="851" w:type="dxa"/>
            <w:shd w:val="clear" w:color="auto" w:fill="auto"/>
          </w:tcPr>
          <w:p w14:paraId="4E8B8A0A"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4.1.</w:t>
            </w:r>
          </w:p>
        </w:tc>
        <w:tc>
          <w:tcPr>
            <w:tcW w:w="8222" w:type="dxa"/>
            <w:shd w:val="clear" w:color="auto" w:fill="auto"/>
          </w:tcPr>
          <w:p w14:paraId="5A3B8B5B"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Налоговые и неналоговые доходы………………………</w:t>
            </w:r>
            <w:r w:rsidR="00843009" w:rsidRPr="00E47AA9">
              <w:rPr>
                <w:rFonts w:ascii="Times New Roman" w:eastAsia="Times New Roman" w:hAnsi="Times New Roman" w:cs="Times New Roman"/>
                <w:sz w:val="28"/>
                <w:szCs w:val="28"/>
                <w:lang w:eastAsia="ru-RU"/>
              </w:rPr>
              <w:t>…...</w:t>
            </w:r>
            <w:proofErr w:type="gramStart"/>
            <w:r w:rsidRPr="00E47AA9">
              <w:rPr>
                <w:rFonts w:ascii="Times New Roman" w:eastAsia="Times New Roman" w:hAnsi="Times New Roman" w:cs="Times New Roman"/>
                <w:sz w:val="28"/>
                <w:szCs w:val="28"/>
                <w:lang w:eastAsia="ru-RU"/>
              </w:rPr>
              <w:t>…….</w:t>
            </w:r>
            <w:proofErr w:type="gramEnd"/>
            <w:r w:rsidRPr="00E47AA9">
              <w:rPr>
                <w:rFonts w:ascii="Times New Roman" w:eastAsia="Times New Roman" w:hAnsi="Times New Roman" w:cs="Times New Roman"/>
                <w:sz w:val="28"/>
                <w:szCs w:val="28"/>
                <w:lang w:eastAsia="ru-RU"/>
              </w:rPr>
              <w:t>…</w:t>
            </w:r>
          </w:p>
          <w:p w14:paraId="395E0736"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674784B2" w14:textId="20C819FE" w:rsidR="00A441A6" w:rsidRPr="00E47AA9" w:rsidRDefault="00543D67" w:rsidP="00353702">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25</w:t>
            </w:r>
          </w:p>
        </w:tc>
      </w:tr>
      <w:tr w:rsidR="00E47AA9" w:rsidRPr="00E47AA9" w14:paraId="1EA0D0AA" w14:textId="77777777" w:rsidTr="00543D67">
        <w:tc>
          <w:tcPr>
            <w:tcW w:w="851" w:type="dxa"/>
            <w:shd w:val="clear" w:color="auto" w:fill="auto"/>
          </w:tcPr>
          <w:p w14:paraId="3A6425B6"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4.2.</w:t>
            </w:r>
          </w:p>
        </w:tc>
        <w:tc>
          <w:tcPr>
            <w:tcW w:w="8222" w:type="dxa"/>
            <w:shd w:val="clear" w:color="auto" w:fill="auto"/>
          </w:tcPr>
          <w:p w14:paraId="2F078831"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Безвозмездные поступления ……………………</w:t>
            </w:r>
            <w:proofErr w:type="gramStart"/>
            <w:r w:rsidRPr="00E47AA9">
              <w:rPr>
                <w:rFonts w:ascii="Times New Roman" w:eastAsia="Times New Roman" w:hAnsi="Times New Roman" w:cs="Times New Roman"/>
                <w:sz w:val="28"/>
                <w:szCs w:val="28"/>
                <w:lang w:eastAsia="ru-RU"/>
              </w:rPr>
              <w:t>…….</w:t>
            </w:r>
            <w:proofErr w:type="gramEnd"/>
            <w:r w:rsidRPr="00E47AA9">
              <w:rPr>
                <w:rFonts w:ascii="Times New Roman" w:eastAsia="Times New Roman" w:hAnsi="Times New Roman" w:cs="Times New Roman"/>
                <w:sz w:val="28"/>
                <w:szCs w:val="28"/>
                <w:lang w:eastAsia="ru-RU"/>
              </w:rPr>
              <w:t>……</w:t>
            </w:r>
            <w:r w:rsidR="0084300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
          <w:p w14:paraId="4F0087CE"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6266D907" w14:textId="3799E616" w:rsidR="00A441A6" w:rsidRPr="00E47AA9" w:rsidRDefault="00543D67" w:rsidP="00353702">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41</w:t>
            </w:r>
          </w:p>
        </w:tc>
      </w:tr>
      <w:tr w:rsidR="00E47AA9" w:rsidRPr="00E47AA9" w14:paraId="51D3A029" w14:textId="77777777" w:rsidTr="00543D67">
        <w:tc>
          <w:tcPr>
            <w:tcW w:w="851" w:type="dxa"/>
            <w:shd w:val="clear" w:color="auto" w:fill="auto"/>
          </w:tcPr>
          <w:p w14:paraId="1A71CB8C" w14:textId="77777777" w:rsidR="00D717FF" w:rsidRPr="00E47AA9" w:rsidRDefault="00D717FF"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4.3.</w:t>
            </w:r>
          </w:p>
        </w:tc>
        <w:tc>
          <w:tcPr>
            <w:tcW w:w="8222" w:type="dxa"/>
            <w:shd w:val="clear" w:color="auto" w:fill="auto"/>
          </w:tcPr>
          <w:p w14:paraId="1A9A7FC5" w14:textId="77777777" w:rsidR="00D717FF" w:rsidRPr="00E47AA9" w:rsidRDefault="00D717FF"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Информация о недоимке в консолидированный бюджет Приморского края по видам экономической деятельности </w:t>
            </w:r>
            <w:r w:rsidR="00843009" w:rsidRPr="00E47AA9">
              <w:rPr>
                <w:rFonts w:ascii="Times New Roman" w:eastAsia="Times New Roman" w:hAnsi="Times New Roman" w:cs="Times New Roman"/>
                <w:sz w:val="28"/>
                <w:szCs w:val="28"/>
                <w:lang w:eastAsia="ru-RU"/>
              </w:rPr>
              <w:br/>
            </w:r>
            <w:r w:rsidRPr="00E47AA9">
              <w:rPr>
                <w:rFonts w:ascii="Times New Roman" w:eastAsia="Times New Roman" w:hAnsi="Times New Roman" w:cs="Times New Roman"/>
                <w:sz w:val="28"/>
                <w:szCs w:val="28"/>
                <w:lang w:eastAsia="ru-RU"/>
              </w:rPr>
              <w:t>за 2024 год</w:t>
            </w:r>
            <w:r w:rsidR="00843009" w:rsidRPr="00E47AA9">
              <w:rPr>
                <w:rFonts w:ascii="Times New Roman" w:eastAsia="Times New Roman" w:hAnsi="Times New Roman" w:cs="Times New Roman"/>
                <w:sz w:val="28"/>
                <w:szCs w:val="28"/>
                <w:lang w:eastAsia="ru-RU"/>
              </w:rPr>
              <w:t>……………………………………………………………...</w:t>
            </w:r>
          </w:p>
          <w:p w14:paraId="34246E1A" w14:textId="77777777" w:rsidR="004E3BF6" w:rsidRPr="00E47AA9" w:rsidRDefault="004E3BF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261CB867" w14:textId="77777777" w:rsidR="00D717FF" w:rsidRPr="00E47AA9" w:rsidRDefault="00D717FF" w:rsidP="00353702">
            <w:pPr>
              <w:spacing w:after="0" w:line="240" w:lineRule="auto"/>
              <w:jc w:val="right"/>
              <w:rPr>
                <w:rFonts w:ascii="Times New Roman" w:eastAsia="Times New Roman" w:hAnsi="Times New Roman" w:cs="Times New Roman"/>
                <w:sz w:val="28"/>
                <w:szCs w:val="28"/>
                <w:lang w:eastAsia="ru-RU"/>
              </w:rPr>
            </w:pPr>
          </w:p>
          <w:p w14:paraId="36DB1C2A" w14:textId="77777777" w:rsidR="00543D67" w:rsidRPr="00E47AA9" w:rsidRDefault="00543D67" w:rsidP="00353702">
            <w:pPr>
              <w:spacing w:after="0" w:line="240" w:lineRule="auto"/>
              <w:jc w:val="right"/>
              <w:rPr>
                <w:rFonts w:ascii="Times New Roman" w:eastAsia="Times New Roman" w:hAnsi="Times New Roman" w:cs="Times New Roman"/>
                <w:sz w:val="28"/>
                <w:szCs w:val="28"/>
                <w:lang w:eastAsia="ru-RU"/>
              </w:rPr>
            </w:pPr>
          </w:p>
          <w:p w14:paraId="74A0A47F" w14:textId="0ED43B72" w:rsidR="00543D67" w:rsidRPr="00E47AA9" w:rsidRDefault="00543D67" w:rsidP="00353702">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49</w:t>
            </w:r>
          </w:p>
        </w:tc>
      </w:tr>
      <w:tr w:rsidR="00E47AA9" w:rsidRPr="00E47AA9" w14:paraId="58D69883" w14:textId="77777777" w:rsidTr="00543D67">
        <w:tc>
          <w:tcPr>
            <w:tcW w:w="851" w:type="dxa"/>
            <w:shd w:val="clear" w:color="auto" w:fill="auto"/>
          </w:tcPr>
          <w:p w14:paraId="3EB420D5"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5.</w:t>
            </w:r>
          </w:p>
        </w:tc>
        <w:tc>
          <w:tcPr>
            <w:tcW w:w="8222" w:type="dxa"/>
            <w:shd w:val="clear" w:color="auto" w:fill="auto"/>
          </w:tcPr>
          <w:p w14:paraId="1F5C605A" w14:textId="77777777" w:rsidR="00A441A6" w:rsidRPr="00E47AA9" w:rsidRDefault="00A441A6" w:rsidP="00353702">
            <w:pPr>
              <w:widowControl w:val="0"/>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РАСХОДЫ КРАЕВОГО БЮДЖЕТА ………</w:t>
            </w:r>
            <w:proofErr w:type="gramStart"/>
            <w:r w:rsidRPr="00E47AA9">
              <w:rPr>
                <w:rFonts w:ascii="Times New Roman" w:eastAsia="Times New Roman" w:hAnsi="Times New Roman" w:cs="Times New Roman"/>
                <w:sz w:val="28"/>
                <w:szCs w:val="28"/>
                <w:lang w:eastAsia="ru-RU"/>
              </w:rPr>
              <w:t>…</w:t>
            </w:r>
            <w:r w:rsidR="00843009" w:rsidRPr="00E47AA9">
              <w:rPr>
                <w:rFonts w:ascii="Times New Roman" w:eastAsia="Times New Roman" w:hAnsi="Times New Roman" w:cs="Times New Roman"/>
                <w:sz w:val="28"/>
                <w:szCs w:val="28"/>
                <w:lang w:eastAsia="ru-RU"/>
              </w:rPr>
              <w:t>….</w:t>
            </w:r>
            <w:proofErr w:type="gramEnd"/>
            <w:r w:rsidR="0084300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
          <w:p w14:paraId="35E90F6C" w14:textId="77777777" w:rsidR="00A441A6" w:rsidRPr="00E47AA9" w:rsidRDefault="00A441A6" w:rsidP="00353702">
            <w:pPr>
              <w:widowControl w:val="0"/>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49017AF3" w14:textId="7EF94320" w:rsidR="00A441A6" w:rsidRPr="00E47AA9" w:rsidRDefault="00543D67" w:rsidP="00353702">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52</w:t>
            </w:r>
          </w:p>
        </w:tc>
      </w:tr>
      <w:tr w:rsidR="00E47AA9" w:rsidRPr="00E47AA9" w14:paraId="656F53C8" w14:textId="77777777" w:rsidTr="00543D67">
        <w:tc>
          <w:tcPr>
            <w:tcW w:w="851" w:type="dxa"/>
            <w:shd w:val="clear" w:color="auto" w:fill="auto"/>
          </w:tcPr>
          <w:p w14:paraId="3BA5CA6F"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5.1.</w:t>
            </w:r>
          </w:p>
        </w:tc>
        <w:tc>
          <w:tcPr>
            <w:tcW w:w="8222" w:type="dxa"/>
            <w:shd w:val="clear" w:color="auto" w:fill="auto"/>
          </w:tcPr>
          <w:p w14:paraId="6253CCEE" w14:textId="77777777" w:rsidR="00A441A6" w:rsidRPr="00E47AA9" w:rsidRDefault="00A441A6" w:rsidP="00353702">
            <w:pPr>
              <w:widowControl w:val="0"/>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Региональные проекты…………</w:t>
            </w:r>
            <w:proofErr w:type="gramStart"/>
            <w:r w:rsidRPr="00E47AA9">
              <w:rPr>
                <w:rFonts w:ascii="Times New Roman" w:eastAsia="Times New Roman" w:hAnsi="Times New Roman" w:cs="Times New Roman"/>
                <w:sz w:val="28"/>
                <w:szCs w:val="28"/>
                <w:lang w:eastAsia="ru-RU"/>
              </w:rPr>
              <w:t>…….</w:t>
            </w:r>
            <w:proofErr w:type="gramEnd"/>
            <w:r w:rsidRPr="00E47AA9">
              <w:rPr>
                <w:rFonts w:ascii="Times New Roman" w:eastAsia="Times New Roman" w:hAnsi="Times New Roman" w:cs="Times New Roman"/>
                <w:sz w:val="28"/>
                <w:szCs w:val="28"/>
                <w:lang w:eastAsia="ru-RU"/>
              </w:rPr>
              <w:t>………………………</w:t>
            </w:r>
            <w:r w:rsidR="0084300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
          <w:p w14:paraId="43E9A0AD" w14:textId="77777777" w:rsidR="00A441A6" w:rsidRPr="00E47AA9" w:rsidRDefault="00A441A6" w:rsidP="00353702">
            <w:pPr>
              <w:widowControl w:val="0"/>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74C5DAFF" w14:textId="3B91241A" w:rsidR="00A441A6" w:rsidRPr="00E47AA9" w:rsidRDefault="00543D67" w:rsidP="00353702">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63</w:t>
            </w:r>
          </w:p>
        </w:tc>
      </w:tr>
      <w:tr w:rsidR="00E47AA9" w:rsidRPr="00E47AA9" w14:paraId="612EF9DB" w14:textId="77777777" w:rsidTr="00543D67">
        <w:tc>
          <w:tcPr>
            <w:tcW w:w="851" w:type="dxa"/>
            <w:shd w:val="clear" w:color="auto" w:fill="auto"/>
          </w:tcPr>
          <w:p w14:paraId="7AEE1644"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5.2.</w:t>
            </w:r>
          </w:p>
        </w:tc>
        <w:tc>
          <w:tcPr>
            <w:tcW w:w="8222" w:type="dxa"/>
            <w:shd w:val="clear" w:color="auto" w:fill="auto"/>
          </w:tcPr>
          <w:p w14:paraId="1AD91D26"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Государственные программы Приморского края ...………</w:t>
            </w:r>
            <w:r w:rsidR="0084300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
          <w:p w14:paraId="16400AC2"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31E960AF" w14:textId="4A22CE7D" w:rsidR="00A441A6" w:rsidRPr="00E47AA9" w:rsidRDefault="00543D67" w:rsidP="00353702">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68</w:t>
            </w:r>
          </w:p>
        </w:tc>
      </w:tr>
      <w:tr w:rsidR="00E47AA9" w:rsidRPr="00E47AA9" w14:paraId="7EFBA016" w14:textId="77777777" w:rsidTr="00543D67">
        <w:tc>
          <w:tcPr>
            <w:tcW w:w="851" w:type="dxa"/>
            <w:shd w:val="clear" w:color="auto" w:fill="auto"/>
          </w:tcPr>
          <w:p w14:paraId="6234300E"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5.3.</w:t>
            </w:r>
          </w:p>
        </w:tc>
        <w:tc>
          <w:tcPr>
            <w:tcW w:w="8222" w:type="dxa"/>
            <w:shd w:val="clear" w:color="auto" w:fill="auto"/>
          </w:tcPr>
          <w:p w14:paraId="07247FB4"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Дорожный фонд Приморского края…………………………</w:t>
            </w:r>
            <w:proofErr w:type="gramStart"/>
            <w:r w:rsidR="00843009" w:rsidRPr="00E47AA9">
              <w:rPr>
                <w:rFonts w:ascii="Times New Roman" w:eastAsia="Times New Roman" w:hAnsi="Times New Roman" w:cs="Times New Roman"/>
                <w:sz w:val="28"/>
                <w:szCs w:val="28"/>
                <w:lang w:eastAsia="ru-RU"/>
              </w:rPr>
              <w:t>…….</w:t>
            </w:r>
            <w:proofErr w:type="gramEnd"/>
            <w:r w:rsidR="0084300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
          <w:p w14:paraId="1E43BE1C"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27E107F9" w14:textId="173A46D6" w:rsidR="00A441A6" w:rsidRPr="00E47AA9" w:rsidRDefault="00543D67" w:rsidP="00D67E45">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21</w:t>
            </w:r>
            <w:r w:rsidR="00D67E45">
              <w:rPr>
                <w:rFonts w:ascii="Times New Roman" w:eastAsia="Times New Roman" w:hAnsi="Times New Roman" w:cs="Times New Roman"/>
                <w:sz w:val="28"/>
                <w:szCs w:val="28"/>
                <w:lang w:eastAsia="ru-RU"/>
              </w:rPr>
              <w:t>5</w:t>
            </w:r>
          </w:p>
        </w:tc>
      </w:tr>
      <w:tr w:rsidR="00E47AA9" w:rsidRPr="00E47AA9" w14:paraId="456EF60B" w14:textId="77777777" w:rsidTr="00543D67">
        <w:tc>
          <w:tcPr>
            <w:tcW w:w="851" w:type="dxa"/>
            <w:shd w:val="clear" w:color="auto" w:fill="auto"/>
          </w:tcPr>
          <w:p w14:paraId="16397AE2"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5.4.</w:t>
            </w:r>
          </w:p>
        </w:tc>
        <w:tc>
          <w:tcPr>
            <w:tcW w:w="8222" w:type="dxa"/>
            <w:shd w:val="clear" w:color="auto" w:fill="auto"/>
          </w:tcPr>
          <w:p w14:paraId="362BF290"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Непрограммные направления деятельности органов государственной власти………………………………</w:t>
            </w:r>
            <w:r w:rsidR="0084300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
          <w:p w14:paraId="4F055C92"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4005DD30" w14:textId="77777777" w:rsidR="00A441A6" w:rsidRPr="00E47AA9" w:rsidRDefault="00A441A6" w:rsidP="00353702">
            <w:pPr>
              <w:spacing w:after="0" w:line="240" w:lineRule="auto"/>
              <w:jc w:val="right"/>
              <w:rPr>
                <w:rFonts w:ascii="Times New Roman" w:eastAsia="Times New Roman" w:hAnsi="Times New Roman" w:cs="Times New Roman"/>
                <w:sz w:val="28"/>
                <w:szCs w:val="28"/>
                <w:lang w:eastAsia="ru-RU"/>
              </w:rPr>
            </w:pPr>
          </w:p>
          <w:p w14:paraId="1BBD3A36" w14:textId="20108E76" w:rsidR="00543D67" w:rsidRPr="00E47AA9" w:rsidRDefault="00543D67" w:rsidP="00D67E45">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22</w:t>
            </w:r>
            <w:r w:rsidR="00D67E45">
              <w:rPr>
                <w:rFonts w:ascii="Times New Roman" w:eastAsia="Times New Roman" w:hAnsi="Times New Roman" w:cs="Times New Roman"/>
                <w:sz w:val="28"/>
                <w:szCs w:val="28"/>
                <w:lang w:eastAsia="ru-RU"/>
              </w:rPr>
              <w:t>4</w:t>
            </w:r>
          </w:p>
        </w:tc>
      </w:tr>
      <w:tr w:rsidR="00E47AA9" w:rsidRPr="00E47AA9" w14:paraId="1AB14C12" w14:textId="77777777" w:rsidTr="00543D67">
        <w:tc>
          <w:tcPr>
            <w:tcW w:w="851" w:type="dxa"/>
            <w:shd w:val="clear" w:color="auto" w:fill="auto"/>
          </w:tcPr>
          <w:p w14:paraId="4CE1E853"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5.5.</w:t>
            </w:r>
          </w:p>
        </w:tc>
        <w:tc>
          <w:tcPr>
            <w:tcW w:w="8222" w:type="dxa"/>
            <w:shd w:val="clear" w:color="auto" w:fill="auto"/>
          </w:tcPr>
          <w:p w14:paraId="119A9A50"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Резервные фонды Правительства Приморского края</w:t>
            </w:r>
            <w:r w:rsidR="00843009" w:rsidRPr="00E47AA9">
              <w:rPr>
                <w:rFonts w:ascii="Times New Roman" w:eastAsia="Times New Roman" w:hAnsi="Times New Roman" w:cs="Times New Roman"/>
                <w:sz w:val="28"/>
                <w:szCs w:val="28"/>
                <w:lang w:eastAsia="ru-RU"/>
              </w:rPr>
              <w:t>…………</w:t>
            </w:r>
            <w:proofErr w:type="gramStart"/>
            <w:r w:rsidR="00843009" w:rsidRPr="00E47AA9">
              <w:rPr>
                <w:rFonts w:ascii="Times New Roman" w:eastAsia="Times New Roman" w:hAnsi="Times New Roman" w:cs="Times New Roman"/>
                <w:sz w:val="28"/>
                <w:szCs w:val="28"/>
                <w:lang w:eastAsia="ru-RU"/>
              </w:rPr>
              <w:t>…….</w:t>
            </w:r>
            <w:proofErr w:type="gramEnd"/>
            <w:r w:rsidR="00843009" w:rsidRPr="00E47AA9">
              <w:rPr>
                <w:rFonts w:ascii="Times New Roman" w:eastAsia="Times New Roman" w:hAnsi="Times New Roman" w:cs="Times New Roman"/>
                <w:sz w:val="28"/>
                <w:szCs w:val="28"/>
                <w:lang w:eastAsia="ru-RU"/>
              </w:rPr>
              <w:t>.</w:t>
            </w:r>
          </w:p>
          <w:p w14:paraId="731EA096"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672F54AD" w14:textId="7740A411" w:rsidR="00A441A6" w:rsidRPr="00E47AA9" w:rsidRDefault="00543D67" w:rsidP="00353702">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22</w:t>
            </w:r>
            <w:r w:rsidR="00602F1F" w:rsidRPr="00E47AA9">
              <w:rPr>
                <w:rFonts w:ascii="Times New Roman" w:eastAsia="Times New Roman" w:hAnsi="Times New Roman" w:cs="Times New Roman"/>
                <w:sz w:val="28"/>
                <w:szCs w:val="28"/>
                <w:lang w:eastAsia="ru-RU"/>
              </w:rPr>
              <w:t>6</w:t>
            </w:r>
          </w:p>
          <w:p w14:paraId="79039D2A" w14:textId="77777777" w:rsidR="00543D67" w:rsidRPr="00E47AA9" w:rsidRDefault="00543D67" w:rsidP="00353702">
            <w:pPr>
              <w:spacing w:after="0" w:line="240" w:lineRule="auto"/>
              <w:jc w:val="right"/>
              <w:rPr>
                <w:rFonts w:ascii="Times New Roman" w:eastAsia="Times New Roman" w:hAnsi="Times New Roman" w:cs="Times New Roman"/>
                <w:sz w:val="28"/>
                <w:szCs w:val="28"/>
                <w:lang w:eastAsia="ru-RU"/>
              </w:rPr>
            </w:pPr>
          </w:p>
        </w:tc>
      </w:tr>
      <w:tr w:rsidR="00E47AA9" w:rsidRPr="00E47AA9" w14:paraId="05A56019" w14:textId="77777777" w:rsidTr="00543D67">
        <w:tc>
          <w:tcPr>
            <w:tcW w:w="851" w:type="dxa"/>
            <w:shd w:val="clear" w:color="auto" w:fill="auto"/>
          </w:tcPr>
          <w:p w14:paraId="1EC0131A" w14:textId="1DD07194"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6.</w:t>
            </w:r>
          </w:p>
        </w:tc>
        <w:tc>
          <w:tcPr>
            <w:tcW w:w="8222" w:type="dxa"/>
            <w:shd w:val="clear" w:color="auto" w:fill="auto"/>
          </w:tcPr>
          <w:p w14:paraId="49A987A3"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Источники внутреннего финансирования дефицита краевого бюджета…………………………………………</w:t>
            </w:r>
            <w:r w:rsidR="0084300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
          <w:p w14:paraId="07C56517"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3F93CE51" w14:textId="77777777" w:rsidR="00543D67" w:rsidRPr="00E47AA9" w:rsidRDefault="00543D67" w:rsidP="00353702">
            <w:pPr>
              <w:spacing w:after="0" w:line="240" w:lineRule="auto"/>
              <w:jc w:val="right"/>
              <w:rPr>
                <w:rFonts w:ascii="Times New Roman" w:eastAsia="Times New Roman" w:hAnsi="Times New Roman" w:cs="Times New Roman"/>
                <w:sz w:val="28"/>
                <w:szCs w:val="28"/>
                <w:lang w:eastAsia="ru-RU"/>
              </w:rPr>
            </w:pPr>
          </w:p>
          <w:p w14:paraId="3AC3D3E9" w14:textId="2DA4ADC7" w:rsidR="00A441A6" w:rsidRPr="00E47AA9" w:rsidRDefault="00543D67" w:rsidP="00602F1F">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w:t>
            </w:r>
            <w:r w:rsidR="00602F1F" w:rsidRPr="00E47AA9">
              <w:rPr>
                <w:rFonts w:ascii="Times New Roman" w:eastAsia="Times New Roman" w:hAnsi="Times New Roman" w:cs="Times New Roman"/>
                <w:sz w:val="28"/>
                <w:szCs w:val="28"/>
                <w:lang w:eastAsia="ru-RU"/>
              </w:rPr>
              <w:t>30</w:t>
            </w:r>
          </w:p>
        </w:tc>
      </w:tr>
      <w:tr w:rsidR="00E47AA9" w:rsidRPr="00E47AA9" w14:paraId="1FFFCD06" w14:textId="77777777" w:rsidTr="00543D67">
        <w:tc>
          <w:tcPr>
            <w:tcW w:w="851" w:type="dxa"/>
            <w:shd w:val="clear" w:color="auto" w:fill="auto"/>
          </w:tcPr>
          <w:p w14:paraId="34645961"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7.</w:t>
            </w:r>
          </w:p>
        </w:tc>
        <w:tc>
          <w:tcPr>
            <w:tcW w:w="8222" w:type="dxa"/>
            <w:shd w:val="clear" w:color="auto" w:fill="auto"/>
          </w:tcPr>
          <w:p w14:paraId="08C59DDB"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Государственный долг Приморского края……</w:t>
            </w:r>
            <w:r w:rsidR="008D5B51"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
          <w:p w14:paraId="20459634"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28A012D9" w14:textId="5156C4B0" w:rsidR="00A441A6" w:rsidRPr="00E47AA9" w:rsidRDefault="00543D67" w:rsidP="00BD2025">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w:t>
            </w:r>
            <w:r w:rsidR="00602F1F" w:rsidRPr="00E47AA9">
              <w:rPr>
                <w:rFonts w:ascii="Times New Roman" w:eastAsia="Times New Roman" w:hAnsi="Times New Roman" w:cs="Times New Roman"/>
                <w:sz w:val="28"/>
                <w:szCs w:val="28"/>
                <w:lang w:eastAsia="ru-RU"/>
              </w:rPr>
              <w:t>3</w:t>
            </w:r>
            <w:r w:rsidR="00D67E45">
              <w:rPr>
                <w:rFonts w:ascii="Times New Roman" w:eastAsia="Times New Roman" w:hAnsi="Times New Roman" w:cs="Times New Roman"/>
                <w:sz w:val="28"/>
                <w:szCs w:val="28"/>
                <w:lang w:eastAsia="ru-RU"/>
              </w:rPr>
              <w:t>3</w:t>
            </w:r>
            <w:bookmarkStart w:id="0" w:name="_GoBack"/>
            <w:bookmarkEnd w:id="0"/>
          </w:p>
        </w:tc>
      </w:tr>
      <w:tr w:rsidR="00E47AA9" w:rsidRPr="00E47AA9" w14:paraId="415547CA" w14:textId="77777777" w:rsidTr="00543D67">
        <w:tc>
          <w:tcPr>
            <w:tcW w:w="851" w:type="dxa"/>
            <w:shd w:val="clear" w:color="auto" w:fill="auto"/>
          </w:tcPr>
          <w:p w14:paraId="33692FE1"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8.</w:t>
            </w:r>
          </w:p>
        </w:tc>
        <w:tc>
          <w:tcPr>
            <w:tcW w:w="8222" w:type="dxa"/>
            <w:shd w:val="clear" w:color="auto" w:fill="auto"/>
          </w:tcPr>
          <w:p w14:paraId="655E9644" w14:textId="77777777" w:rsidR="008D5B51"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Результаты камеральных внешних проверок бюджетной отчетности главных администраторов средств краевого бюджета </w:t>
            </w:r>
          </w:p>
          <w:p w14:paraId="78B78C23"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за 2024 год ………………………………………</w:t>
            </w:r>
            <w:proofErr w:type="gramStart"/>
            <w:r w:rsidR="008D5B51" w:rsidRPr="00E47AA9">
              <w:rPr>
                <w:rFonts w:ascii="Times New Roman" w:eastAsia="Times New Roman" w:hAnsi="Times New Roman" w:cs="Times New Roman"/>
                <w:sz w:val="28"/>
                <w:szCs w:val="28"/>
                <w:lang w:eastAsia="ru-RU"/>
              </w:rPr>
              <w:t>…….</w:t>
            </w:r>
            <w:proofErr w:type="gramEnd"/>
            <w:r w:rsidR="008D5B51"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
          <w:p w14:paraId="348807F6"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6382B8E4" w14:textId="77777777" w:rsidR="00A441A6" w:rsidRPr="00E47AA9" w:rsidRDefault="00A441A6" w:rsidP="00353702">
            <w:pPr>
              <w:spacing w:after="0" w:line="240" w:lineRule="auto"/>
              <w:jc w:val="right"/>
              <w:rPr>
                <w:rFonts w:ascii="Times New Roman" w:eastAsia="Times New Roman" w:hAnsi="Times New Roman" w:cs="Times New Roman"/>
                <w:sz w:val="28"/>
                <w:szCs w:val="28"/>
                <w:lang w:eastAsia="ru-RU"/>
              </w:rPr>
            </w:pPr>
          </w:p>
          <w:p w14:paraId="28FBFE63" w14:textId="77777777" w:rsidR="00543D67" w:rsidRPr="00E47AA9" w:rsidRDefault="00543D67" w:rsidP="00353702">
            <w:pPr>
              <w:spacing w:after="0" w:line="240" w:lineRule="auto"/>
              <w:jc w:val="right"/>
              <w:rPr>
                <w:rFonts w:ascii="Times New Roman" w:eastAsia="Times New Roman" w:hAnsi="Times New Roman" w:cs="Times New Roman"/>
                <w:sz w:val="28"/>
                <w:szCs w:val="28"/>
                <w:lang w:eastAsia="ru-RU"/>
              </w:rPr>
            </w:pPr>
          </w:p>
          <w:p w14:paraId="61A63BE9" w14:textId="11FD90CC" w:rsidR="00543D67" w:rsidRPr="00E47AA9" w:rsidRDefault="00543D67" w:rsidP="00602F1F">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23</w:t>
            </w:r>
            <w:r w:rsidR="00602F1F" w:rsidRPr="00E47AA9">
              <w:rPr>
                <w:rFonts w:ascii="Times New Roman" w:eastAsia="Times New Roman" w:hAnsi="Times New Roman" w:cs="Times New Roman"/>
                <w:sz w:val="28"/>
                <w:szCs w:val="28"/>
                <w:lang w:eastAsia="ru-RU"/>
              </w:rPr>
              <w:t>6</w:t>
            </w:r>
          </w:p>
        </w:tc>
      </w:tr>
      <w:tr w:rsidR="00E47AA9" w:rsidRPr="00E47AA9" w14:paraId="09948273" w14:textId="77777777" w:rsidTr="00543D67">
        <w:tc>
          <w:tcPr>
            <w:tcW w:w="851" w:type="dxa"/>
            <w:shd w:val="clear" w:color="auto" w:fill="auto"/>
          </w:tcPr>
          <w:p w14:paraId="7FAFEAAB"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8.1.</w:t>
            </w:r>
          </w:p>
        </w:tc>
        <w:tc>
          <w:tcPr>
            <w:tcW w:w="8222" w:type="dxa"/>
            <w:shd w:val="clear" w:color="auto" w:fill="auto"/>
          </w:tcPr>
          <w:p w14:paraId="1ACA9D9B"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hAnsi="Times New Roman" w:cs="Times New Roman"/>
                <w:sz w:val="28"/>
                <w:szCs w:val="28"/>
              </w:rPr>
              <w:t>Результаты проверки и анализа осуществления внутреннего финансового аудита</w:t>
            </w:r>
            <w:r w:rsidRPr="00E47AA9">
              <w:rPr>
                <w:rFonts w:ascii="Times New Roman" w:eastAsia="Times New Roman" w:hAnsi="Times New Roman" w:cs="Times New Roman"/>
                <w:sz w:val="28"/>
                <w:szCs w:val="28"/>
                <w:lang w:eastAsia="ru-RU"/>
              </w:rPr>
              <w:t xml:space="preserve"> главными администраторами бюджетных средств…………………………………………</w:t>
            </w:r>
            <w:r w:rsidR="008D5B51"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roofErr w:type="gramStart"/>
            <w:r w:rsidRPr="00E47AA9">
              <w:rPr>
                <w:rFonts w:ascii="Times New Roman" w:eastAsia="Times New Roman" w:hAnsi="Times New Roman" w:cs="Times New Roman"/>
                <w:sz w:val="28"/>
                <w:szCs w:val="28"/>
                <w:lang w:eastAsia="ru-RU"/>
              </w:rPr>
              <w:t>…….</w:t>
            </w:r>
            <w:proofErr w:type="gramEnd"/>
            <w:r w:rsidRPr="00E47AA9">
              <w:rPr>
                <w:rFonts w:ascii="Times New Roman" w:eastAsia="Times New Roman" w:hAnsi="Times New Roman" w:cs="Times New Roman"/>
                <w:sz w:val="28"/>
                <w:szCs w:val="28"/>
                <w:lang w:eastAsia="ru-RU"/>
              </w:rPr>
              <w:t>.</w:t>
            </w:r>
          </w:p>
          <w:p w14:paraId="6A0D03F8" w14:textId="77777777" w:rsidR="00A441A6" w:rsidRPr="00E47AA9" w:rsidRDefault="00A441A6" w:rsidP="00353702">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47DA30EF" w14:textId="77777777" w:rsidR="00A441A6" w:rsidRPr="00E47AA9" w:rsidRDefault="00A441A6" w:rsidP="00353702">
            <w:pPr>
              <w:spacing w:after="0" w:line="240" w:lineRule="auto"/>
              <w:jc w:val="right"/>
              <w:rPr>
                <w:rFonts w:ascii="Times New Roman" w:eastAsia="Times New Roman" w:hAnsi="Times New Roman" w:cs="Times New Roman"/>
                <w:sz w:val="28"/>
                <w:szCs w:val="28"/>
                <w:lang w:eastAsia="ru-RU"/>
              </w:rPr>
            </w:pPr>
          </w:p>
          <w:p w14:paraId="18941E30" w14:textId="77777777" w:rsidR="00543D67" w:rsidRPr="00E47AA9" w:rsidRDefault="00543D67" w:rsidP="00353702">
            <w:pPr>
              <w:spacing w:after="0" w:line="240" w:lineRule="auto"/>
              <w:jc w:val="right"/>
              <w:rPr>
                <w:rFonts w:ascii="Times New Roman" w:eastAsia="Times New Roman" w:hAnsi="Times New Roman" w:cs="Times New Roman"/>
                <w:sz w:val="28"/>
                <w:szCs w:val="28"/>
                <w:lang w:eastAsia="ru-RU"/>
              </w:rPr>
            </w:pPr>
          </w:p>
          <w:p w14:paraId="105E37EF" w14:textId="27DE9FEB" w:rsidR="00543D67" w:rsidRPr="00E47AA9" w:rsidRDefault="00602F1F" w:rsidP="00353702">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237</w:t>
            </w:r>
          </w:p>
        </w:tc>
      </w:tr>
      <w:tr w:rsidR="00E47AA9" w:rsidRPr="00E47AA9" w14:paraId="3D6F555C" w14:textId="77777777" w:rsidTr="00543D67">
        <w:tc>
          <w:tcPr>
            <w:tcW w:w="851" w:type="dxa"/>
            <w:shd w:val="clear" w:color="auto" w:fill="auto"/>
          </w:tcPr>
          <w:p w14:paraId="215D3937"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8.2.</w:t>
            </w:r>
          </w:p>
        </w:tc>
        <w:tc>
          <w:tcPr>
            <w:tcW w:w="8222" w:type="dxa"/>
            <w:shd w:val="clear" w:color="auto" w:fill="auto"/>
          </w:tcPr>
          <w:p w14:paraId="1068B8BE"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Состояние дебиторской и кредиторской задолженности</w:t>
            </w:r>
            <w:r w:rsidRPr="00E47AA9">
              <w:rPr>
                <w:rFonts w:ascii="Times New Roman" w:hAnsi="Times New Roman" w:cs="Times New Roman"/>
                <w:sz w:val="28"/>
                <w:szCs w:val="28"/>
              </w:rPr>
              <w:t xml:space="preserve"> по бюджетной деятельности </w:t>
            </w:r>
            <w:r w:rsidRPr="00E47AA9">
              <w:rPr>
                <w:rFonts w:ascii="Times New Roman" w:eastAsia="Times New Roman" w:hAnsi="Times New Roman" w:cs="Times New Roman"/>
                <w:sz w:val="28"/>
                <w:szCs w:val="28"/>
                <w:lang w:eastAsia="ru-RU"/>
              </w:rPr>
              <w:t>главных администраторов бюджетных средств краевого бюджета………………</w:t>
            </w:r>
            <w:r w:rsidR="008D5B51"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
          <w:p w14:paraId="1C84089F"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6F906F35" w14:textId="77777777" w:rsidR="00A441A6" w:rsidRPr="00E47AA9" w:rsidRDefault="00A441A6" w:rsidP="00353702">
            <w:pPr>
              <w:spacing w:after="0" w:line="240" w:lineRule="auto"/>
              <w:jc w:val="right"/>
              <w:rPr>
                <w:rFonts w:ascii="Times New Roman" w:eastAsia="Times New Roman" w:hAnsi="Times New Roman" w:cs="Times New Roman"/>
                <w:sz w:val="28"/>
                <w:szCs w:val="28"/>
                <w:lang w:eastAsia="ru-RU"/>
              </w:rPr>
            </w:pPr>
          </w:p>
          <w:p w14:paraId="13074A74" w14:textId="77777777" w:rsidR="00543D67" w:rsidRPr="00E47AA9" w:rsidRDefault="00543D67" w:rsidP="00353702">
            <w:pPr>
              <w:spacing w:after="0" w:line="240" w:lineRule="auto"/>
              <w:jc w:val="right"/>
              <w:rPr>
                <w:rFonts w:ascii="Times New Roman" w:eastAsia="Times New Roman" w:hAnsi="Times New Roman" w:cs="Times New Roman"/>
                <w:sz w:val="28"/>
                <w:szCs w:val="28"/>
                <w:lang w:eastAsia="ru-RU"/>
              </w:rPr>
            </w:pPr>
          </w:p>
          <w:p w14:paraId="104B8D10" w14:textId="65BDEA20" w:rsidR="00543D67" w:rsidRPr="00E47AA9" w:rsidRDefault="00543D67" w:rsidP="00602F1F">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23</w:t>
            </w:r>
            <w:r w:rsidR="00602F1F" w:rsidRPr="00E47AA9">
              <w:rPr>
                <w:rFonts w:ascii="Times New Roman" w:eastAsia="Times New Roman" w:hAnsi="Times New Roman" w:cs="Times New Roman"/>
                <w:sz w:val="28"/>
                <w:szCs w:val="28"/>
                <w:lang w:eastAsia="ru-RU"/>
              </w:rPr>
              <w:t>8</w:t>
            </w:r>
          </w:p>
        </w:tc>
      </w:tr>
      <w:tr w:rsidR="00E47AA9" w:rsidRPr="00E47AA9" w14:paraId="2B130676" w14:textId="77777777" w:rsidTr="00543D67">
        <w:tc>
          <w:tcPr>
            <w:tcW w:w="851" w:type="dxa"/>
            <w:shd w:val="clear" w:color="auto" w:fill="auto"/>
          </w:tcPr>
          <w:p w14:paraId="732A8D40" w14:textId="77777777" w:rsidR="00A441A6" w:rsidRPr="00E47AA9" w:rsidRDefault="00A441A6" w:rsidP="00D717FF">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9.</w:t>
            </w:r>
          </w:p>
        </w:tc>
        <w:tc>
          <w:tcPr>
            <w:tcW w:w="8222" w:type="dxa"/>
            <w:shd w:val="clear" w:color="auto" w:fill="auto"/>
          </w:tcPr>
          <w:p w14:paraId="4279C07E"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ВЫВОДЫ………………………………………………</w:t>
            </w:r>
            <w:r w:rsidR="008D5B51"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
          <w:p w14:paraId="53DA7F82"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005A80FC" w14:textId="2D00AD80" w:rsidR="00A441A6" w:rsidRPr="00E47AA9" w:rsidRDefault="00543D67" w:rsidP="00602F1F">
            <w:pPr>
              <w:spacing w:after="0" w:line="240" w:lineRule="auto"/>
              <w:jc w:val="right"/>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w:t>
            </w:r>
            <w:r w:rsidR="00602F1F" w:rsidRPr="00E47AA9">
              <w:rPr>
                <w:rFonts w:ascii="Times New Roman" w:eastAsia="Times New Roman" w:hAnsi="Times New Roman" w:cs="Times New Roman"/>
                <w:sz w:val="28"/>
                <w:szCs w:val="28"/>
                <w:lang w:eastAsia="ru-RU"/>
              </w:rPr>
              <w:t>41</w:t>
            </w:r>
          </w:p>
        </w:tc>
      </w:tr>
      <w:tr w:rsidR="00E47AA9" w:rsidRPr="00E47AA9" w14:paraId="52ED0B37" w14:textId="77777777" w:rsidTr="00543D67">
        <w:tc>
          <w:tcPr>
            <w:tcW w:w="851" w:type="dxa"/>
            <w:shd w:val="clear" w:color="auto" w:fill="auto"/>
          </w:tcPr>
          <w:p w14:paraId="13EB9837" w14:textId="77777777" w:rsidR="00A441A6" w:rsidRPr="00E47AA9" w:rsidRDefault="00A441A6" w:rsidP="00D717FF">
            <w:pPr>
              <w:spacing w:after="0" w:line="240" w:lineRule="auto"/>
              <w:jc w:val="right"/>
              <w:rPr>
                <w:rFonts w:ascii="Times New Roman" w:eastAsia="Times New Roman" w:hAnsi="Times New Roman" w:cs="Times New Roman"/>
                <w:sz w:val="28"/>
                <w:szCs w:val="28"/>
                <w:lang w:eastAsia="ru-RU"/>
              </w:rPr>
            </w:pPr>
          </w:p>
        </w:tc>
        <w:tc>
          <w:tcPr>
            <w:tcW w:w="8222" w:type="dxa"/>
            <w:shd w:val="clear" w:color="auto" w:fill="auto"/>
          </w:tcPr>
          <w:p w14:paraId="503B3272" w14:textId="77777777" w:rsidR="00A441A6" w:rsidRPr="00E47AA9" w:rsidRDefault="00A441A6" w:rsidP="00353702">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Приложения к заключению Контрольно-счетной палаты Приморского края на отчет Правительства Приморского края об исполнении краевого бюджета за 2024 год</w:t>
            </w:r>
          </w:p>
          <w:p w14:paraId="0A0B2FA9" w14:textId="77777777" w:rsidR="004E3BF6" w:rsidRPr="00E47AA9" w:rsidRDefault="004E3BF6" w:rsidP="00353702">
            <w:pPr>
              <w:spacing w:after="0" w:line="240" w:lineRule="auto"/>
              <w:jc w:val="both"/>
              <w:rPr>
                <w:rFonts w:ascii="Times New Roman" w:eastAsia="Times New Roman" w:hAnsi="Times New Roman" w:cs="Times New Roman"/>
                <w:sz w:val="28"/>
                <w:szCs w:val="28"/>
                <w:lang w:eastAsia="ru-RU"/>
              </w:rPr>
            </w:pPr>
          </w:p>
        </w:tc>
        <w:tc>
          <w:tcPr>
            <w:tcW w:w="850" w:type="dxa"/>
            <w:shd w:val="clear" w:color="auto" w:fill="auto"/>
          </w:tcPr>
          <w:p w14:paraId="6A301D9D" w14:textId="77777777" w:rsidR="00A441A6" w:rsidRPr="00E47AA9" w:rsidRDefault="00A441A6" w:rsidP="00353702">
            <w:pPr>
              <w:spacing w:after="0" w:line="240" w:lineRule="auto"/>
              <w:jc w:val="right"/>
              <w:rPr>
                <w:rFonts w:ascii="Times New Roman" w:eastAsia="Times New Roman" w:hAnsi="Times New Roman" w:cs="Times New Roman"/>
                <w:sz w:val="28"/>
                <w:szCs w:val="28"/>
                <w:lang w:eastAsia="ru-RU"/>
              </w:rPr>
            </w:pPr>
          </w:p>
        </w:tc>
      </w:tr>
    </w:tbl>
    <w:p w14:paraId="6AD42E7F" w14:textId="77777777" w:rsidR="00A441A6" w:rsidRPr="00E47AA9" w:rsidRDefault="00A441A6" w:rsidP="00A441A6">
      <w:pP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br w:type="page"/>
      </w:r>
    </w:p>
    <w:p w14:paraId="69089F17" w14:textId="77777777" w:rsidR="00A441A6" w:rsidRPr="00E47AA9" w:rsidRDefault="00A441A6" w:rsidP="00A441A6">
      <w:pPr>
        <w:spacing w:after="0" w:line="240" w:lineRule="auto"/>
        <w:jc w:val="center"/>
        <w:rPr>
          <w:rFonts w:ascii="Times New Roman" w:hAnsi="Times New Roman" w:cs="Times New Roman"/>
          <w:b/>
          <w:sz w:val="28"/>
          <w:szCs w:val="28"/>
        </w:rPr>
      </w:pPr>
      <w:r w:rsidRPr="00E47AA9">
        <w:rPr>
          <w:rFonts w:ascii="Times New Roman" w:hAnsi="Times New Roman" w:cs="Times New Roman"/>
          <w:b/>
          <w:sz w:val="28"/>
          <w:szCs w:val="28"/>
        </w:rPr>
        <w:lastRenderedPageBreak/>
        <w:t xml:space="preserve">Перечень применяемых условных обозначений, символов, единиц, сокращений и терминов </w:t>
      </w:r>
    </w:p>
    <w:p w14:paraId="0ACC375C" w14:textId="77777777" w:rsidR="00A441A6" w:rsidRPr="00E47AA9" w:rsidRDefault="00A441A6" w:rsidP="00A441A6">
      <w:pPr>
        <w:spacing w:after="0" w:line="240" w:lineRule="auto"/>
        <w:jc w:val="center"/>
        <w:rPr>
          <w:rFonts w:ascii="Times New Roman" w:hAnsi="Times New Roman" w:cs="Times New Roman"/>
          <w:sz w:val="28"/>
          <w:szCs w:val="28"/>
        </w:rPr>
      </w:pPr>
    </w:p>
    <w:tbl>
      <w:tblPr>
        <w:tblStyle w:val="ab"/>
        <w:tblW w:w="9570" w:type="dxa"/>
        <w:tblLayout w:type="fixed"/>
        <w:tblLook w:val="04A0" w:firstRow="1" w:lastRow="0" w:firstColumn="1" w:lastColumn="0" w:noHBand="0" w:noVBand="1"/>
      </w:tblPr>
      <w:tblGrid>
        <w:gridCol w:w="1951"/>
        <w:gridCol w:w="7619"/>
      </w:tblGrid>
      <w:tr w:rsidR="00E47AA9" w:rsidRPr="00E47AA9" w14:paraId="3E068443" w14:textId="77777777" w:rsidTr="00353702">
        <w:trPr>
          <w:trHeight w:val="20"/>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7747D84" w14:textId="77777777" w:rsidR="00A441A6" w:rsidRPr="00E47AA9" w:rsidRDefault="00A441A6" w:rsidP="00353702">
            <w:pPr>
              <w:rPr>
                <w:rFonts w:ascii="Times New Roman" w:hAnsi="Times New Roman" w:cs="Times New Roman"/>
                <w:sz w:val="28"/>
                <w:szCs w:val="28"/>
              </w:rPr>
            </w:pPr>
            <w:r w:rsidRPr="00E47AA9">
              <w:rPr>
                <w:rFonts w:ascii="Times New Roman" w:hAnsi="Times New Roman" w:cs="Times New Roman"/>
                <w:sz w:val="28"/>
                <w:szCs w:val="28"/>
              </w:rPr>
              <w:t>АИП</w:t>
            </w:r>
          </w:p>
        </w:tc>
        <w:tc>
          <w:tcPr>
            <w:tcW w:w="7619" w:type="dxa"/>
            <w:tcBorders>
              <w:top w:val="single" w:sz="4" w:space="0" w:color="auto"/>
              <w:left w:val="nil"/>
              <w:bottom w:val="single" w:sz="4" w:space="0" w:color="auto"/>
              <w:right w:val="single" w:sz="4" w:space="0" w:color="auto"/>
            </w:tcBorders>
            <w:shd w:val="clear" w:color="auto" w:fill="auto"/>
            <w:vAlign w:val="center"/>
          </w:tcPr>
          <w:p w14:paraId="2B001A87"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Адресная инвестиционная программа Приморского края</w:t>
            </w:r>
          </w:p>
        </w:tc>
      </w:tr>
      <w:tr w:rsidR="00E47AA9" w:rsidRPr="00E47AA9" w14:paraId="768576EA"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1B0CC24D" w14:textId="77777777" w:rsidR="00A441A6" w:rsidRPr="00E47AA9" w:rsidRDefault="00A441A6" w:rsidP="00353702">
            <w:pPr>
              <w:rPr>
                <w:rFonts w:ascii="Times New Roman" w:hAnsi="Times New Roman" w:cs="Times New Roman"/>
                <w:sz w:val="28"/>
                <w:szCs w:val="28"/>
              </w:rPr>
            </w:pPr>
            <w:r w:rsidRPr="00E47AA9">
              <w:rPr>
                <w:rFonts w:ascii="Times New Roman" w:hAnsi="Times New Roman" w:cs="Times New Roman"/>
                <w:sz w:val="28"/>
                <w:szCs w:val="28"/>
              </w:rPr>
              <w:t>Бюджетный кодекс</w:t>
            </w:r>
          </w:p>
        </w:tc>
        <w:tc>
          <w:tcPr>
            <w:tcW w:w="7619" w:type="dxa"/>
            <w:tcBorders>
              <w:top w:val="nil"/>
              <w:left w:val="nil"/>
              <w:bottom w:val="single" w:sz="4" w:space="0" w:color="auto"/>
              <w:right w:val="single" w:sz="4" w:space="0" w:color="auto"/>
            </w:tcBorders>
            <w:shd w:val="clear" w:color="auto" w:fill="auto"/>
            <w:vAlign w:val="center"/>
          </w:tcPr>
          <w:p w14:paraId="5386D425"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 xml:space="preserve">Бюджетный кодекс Российской Федерации </w:t>
            </w:r>
          </w:p>
        </w:tc>
      </w:tr>
      <w:tr w:rsidR="00E47AA9" w:rsidRPr="00E47AA9" w14:paraId="5FA18EFC"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792FE94A" w14:textId="77777777" w:rsidR="00A441A6" w:rsidRPr="00E47AA9" w:rsidRDefault="00A441A6" w:rsidP="00353702">
            <w:pPr>
              <w:rPr>
                <w:rFonts w:ascii="Times New Roman" w:hAnsi="Times New Roman" w:cs="Times New Roman"/>
                <w:sz w:val="28"/>
                <w:szCs w:val="28"/>
              </w:rPr>
            </w:pPr>
            <w:r w:rsidRPr="00E47AA9">
              <w:rPr>
                <w:rFonts w:ascii="Times New Roman" w:hAnsi="Times New Roman" w:cs="Times New Roman"/>
                <w:sz w:val="28"/>
                <w:szCs w:val="28"/>
              </w:rPr>
              <w:t>ГАБС</w:t>
            </w:r>
          </w:p>
        </w:tc>
        <w:tc>
          <w:tcPr>
            <w:tcW w:w="7619" w:type="dxa"/>
            <w:tcBorders>
              <w:top w:val="nil"/>
              <w:left w:val="nil"/>
              <w:bottom w:val="single" w:sz="4" w:space="0" w:color="auto"/>
              <w:right w:val="single" w:sz="4" w:space="0" w:color="auto"/>
            </w:tcBorders>
            <w:shd w:val="clear" w:color="auto" w:fill="auto"/>
            <w:vAlign w:val="center"/>
          </w:tcPr>
          <w:p w14:paraId="3E15A682"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главный администратор бюджетных средств</w:t>
            </w:r>
          </w:p>
        </w:tc>
      </w:tr>
      <w:tr w:rsidR="00E47AA9" w:rsidRPr="00E47AA9" w14:paraId="3AD9BC97"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53F73782" w14:textId="77777777" w:rsidR="00A441A6" w:rsidRPr="00E47AA9" w:rsidRDefault="00A441A6" w:rsidP="00353702">
            <w:pPr>
              <w:rPr>
                <w:rFonts w:ascii="Times New Roman" w:hAnsi="Times New Roman" w:cs="Times New Roman"/>
                <w:sz w:val="28"/>
                <w:szCs w:val="28"/>
              </w:rPr>
            </w:pPr>
            <w:r w:rsidRPr="00E47AA9">
              <w:rPr>
                <w:rFonts w:ascii="Times New Roman" w:hAnsi="Times New Roman" w:cs="Times New Roman"/>
                <w:sz w:val="28"/>
                <w:szCs w:val="28"/>
              </w:rPr>
              <w:t>ГО</w:t>
            </w:r>
          </w:p>
        </w:tc>
        <w:tc>
          <w:tcPr>
            <w:tcW w:w="7619" w:type="dxa"/>
            <w:tcBorders>
              <w:top w:val="nil"/>
              <w:left w:val="nil"/>
              <w:bottom w:val="single" w:sz="4" w:space="0" w:color="auto"/>
              <w:right w:val="single" w:sz="4" w:space="0" w:color="auto"/>
            </w:tcBorders>
            <w:shd w:val="clear" w:color="auto" w:fill="auto"/>
            <w:vAlign w:val="center"/>
          </w:tcPr>
          <w:p w14:paraId="4E194786"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городской округ</w:t>
            </w:r>
          </w:p>
        </w:tc>
      </w:tr>
      <w:tr w:rsidR="00E47AA9" w:rsidRPr="00E47AA9" w14:paraId="41359B83"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4E24CFAF" w14:textId="77777777" w:rsidR="00A441A6" w:rsidRPr="00E47AA9" w:rsidRDefault="00A441A6" w:rsidP="00353702">
            <w:pPr>
              <w:rPr>
                <w:rFonts w:ascii="Times New Roman" w:hAnsi="Times New Roman" w:cs="Times New Roman"/>
                <w:sz w:val="28"/>
                <w:szCs w:val="28"/>
              </w:rPr>
            </w:pPr>
            <w:r w:rsidRPr="00E47AA9">
              <w:rPr>
                <w:rFonts w:ascii="Times New Roman" w:hAnsi="Times New Roman" w:cs="Times New Roman"/>
                <w:sz w:val="28"/>
                <w:szCs w:val="28"/>
              </w:rPr>
              <w:t>ГП</w:t>
            </w:r>
          </w:p>
        </w:tc>
        <w:tc>
          <w:tcPr>
            <w:tcW w:w="7619" w:type="dxa"/>
            <w:tcBorders>
              <w:top w:val="nil"/>
              <w:left w:val="nil"/>
              <w:bottom w:val="single" w:sz="4" w:space="0" w:color="auto"/>
              <w:right w:val="single" w:sz="4" w:space="0" w:color="auto"/>
            </w:tcBorders>
            <w:shd w:val="clear" w:color="auto" w:fill="auto"/>
            <w:vAlign w:val="center"/>
          </w:tcPr>
          <w:p w14:paraId="75405CD0"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государственная программа Приморского края</w:t>
            </w:r>
          </w:p>
        </w:tc>
      </w:tr>
      <w:tr w:rsidR="00E47AA9" w:rsidRPr="00E47AA9" w14:paraId="54846675"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409BC57C" w14:textId="77777777" w:rsidR="00A441A6" w:rsidRPr="00E47AA9" w:rsidRDefault="00A441A6" w:rsidP="00353702">
            <w:pPr>
              <w:rPr>
                <w:rFonts w:ascii="Times New Roman" w:hAnsi="Times New Roman" w:cs="Times New Roman"/>
                <w:sz w:val="28"/>
                <w:szCs w:val="28"/>
              </w:rPr>
            </w:pPr>
            <w:r w:rsidRPr="00E47AA9">
              <w:rPr>
                <w:rFonts w:ascii="Times New Roman" w:hAnsi="Times New Roman" w:cs="Times New Roman"/>
                <w:sz w:val="28"/>
                <w:szCs w:val="28"/>
              </w:rPr>
              <w:t>ГРБС</w:t>
            </w:r>
          </w:p>
        </w:tc>
        <w:tc>
          <w:tcPr>
            <w:tcW w:w="7619" w:type="dxa"/>
            <w:tcBorders>
              <w:top w:val="nil"/>
              <w:left w:val="nil"/>
              <w:bottom w:val="single" w:sz="4" w:space="0" w:color="auto"/>
              <w:right w:val="single" w:sz="4" w:space="0" w:color="auto"/>
            </w:tcBorders>
            <w:shd w:val="clear" w:color="auto" w:fill="auto"/>
            <w:vAlign w:val="center"/>
          </w:tcPr>
          <w:p w14:paraId="32F3F82B"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главный распорядитель средств краевого бюджета</w:t>
            </w:r>
          </w:p>
        </w:tc>
      </w:tr>
      <w:tr w:rsidR="00E47AA9" w:rsidRPr="00E47AA9" w14:paraId="275282AB"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765B725D" w14:textId="77777777" w:rsidR="00A441A6" w:rsidRPr="00E47AA9" w:rsidRDefault="00A441A6" w:rsidP="00353702">
            <w:pPr>
              <w:rPr>
                <w:rFonts w:ascii="Times New Roman" w:hAnsi="Times New Roman" w:cs="Times New Roman"/>
                <w:sz w:val="28"/>
                <w:szCs w:val="28"/>
              </w:rPr>
            </w:pPr>
            <w:r w:rsidRPr="00E47AA9">
              <w:rPr>
                <w:rFonts w:ascii="Times New Roman" w:hAnsi="Times New Roman" w:cs="Times New Roman"/>
                <w:sz w:val="28"/>
                <w:szCs w:val="28"/>
              </w:rPr>
              <w:t>Закон № 495-КЗ или закон о краевом бюджете</w:t>
            </w:r>
          </w:p>
          <w:p w14:paraId="2D3F4E26" w14:textId="77777777" w:rsidR="00A441A6" w:rsidRPr="00E47AA9" w:rsidRDefault="00A441A6" w:rsidP="00353702">
            <w:pPr>
              <w:rPr>
                <w:rFonts w:ascii="Times New Roman" w:hAnsi="Times New Roman" w:cs="Times New Roman"/>
                <w:sz w:val="28"/>
                <w:szCs w:val="28"/>
              </w:rPr>
            </w:pPr>
          </w:p>
        </w:tc>
        <w:tc>
          <w:tcPr>
            <w:tcW w:w="7619" w:type="dxa"/>
            <w:tcBorders>
              <w:top w:val="nil"/>
              <w:left w:val="nil"/>
              <w:bottom w:val="single" w:sz="4" w:space="0" w:color="auto"/>
              <w:right w:val="single" w:sz="4" w:space="0" w:color="auto"/>
            </w:tcBorders>
            <w:shd w:val="clear" w:color="auto" w:fill="auto"/>
            <w:vAlign w:val="center"/>
          </w:tcPr>
          <w:p w14:paraId="70A5E516"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 xml:space="preserve">Закон Приморского края от 22.12.2023 № 495-КЗ "О краевом бюджете на 2024 год и плановый период 2025 и 2026 годов" (в редакции Законов Приморского края от 28.02.2024 </w:t>
            </w:r>
            <w:r w:rsidRPr="00E47AA9">
              <w:rPr>
                <w:rFonts w:ascii="Times New Roman" w:hAnsi="Times New Roman" w:cs="Times New Roman"/>
                <w:sz w:val="28"/>
                <w:szCs w:val="28"/>
              </w:rPr>
              <w:br/>
              <w:t>№ 522-КЗ, от 24.04.2024 № 548-КЗ, от 31.05.2024 № 563-КЗ, от 26.06.2024 № 584-КЗ, от 24.07.2024 № 613-КЗ, от 03.10.2024 № 655-КЗ, от 27.11.2024 № 670-КЗ,</w:t>
            </w:r>
            <w:r w:rsidRPr="00E47AA9">
              <w:rPr>
                <w:rFonts w:ascii="Times New Roman" w:hAnsi="Times New Roman" w:cs="Times New Roman"/>
              </w:rPr>
              <w:t xml:space="preserve"> </w:t>
            </w:r>
            <w:r w:rsidRPr="00E47AA9">
              <w:rPr>
                <w:rFonts w:ascii="Times New Roman" w:hAnsi="Times New Roman" w:cs="Times New Roman"/>
                <w:sz w:val="28"/>
                <w:szCs w:val="28"/>
              </w:rPr>
              <w:t>от 18.12.2024 № 687-КЗ)</w:t>
            </w:r>
          </w:p>
        </w:tc>
      </w:tr>
      <w:tr w:rsidR="00E47AA9" w:rsidRPr="00E47AA9" w14:paraId="05919C62"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236B8F66" w14:textId="77777777" w:rsidR="00A441A6" w:rsidRPr="00E47AA9" w:rsidRDefault="00A441A6" w:rsidP="00353702">
            <w:pPr>
              <w:rPr>
                <w:rFonts w:ascii="Times New Roman" w:hAnsi="Times New Roman" w:cs="Times New Roman"/>
                <w:sz w:val="28"/>
                <w:szCs w:val="28"/>
              </w:rPr>
            </w:pPr>
            <w:r w:rsidRPr="00E47AA9">
              <w:rPr>
                <w:rFonts w:ascii="Times New Roman" w:hAnsi="Times New Roman" w:cs="Times New Roman"/>
                <w:sz w:val="28"/>
                <w:szCs w:val="28"/>
              </w:rPr>
              <w:t>Закон № 271-КЗ</w:t>
            </w:r>
          </w:p>
        </w:tc>
        <w:tc>
          <w:tcPr>
            <w:tcW w:w="7619" w:type="dxa"/>
            <w:tcBorders>
              <w:top w:val="nil"/>
              <w:left w:val="nil"/>
              <w:bottom w:val="single" w:sz="4" w:space="0" w:color="auto"/>
              <w:right w:val="single" w:sz="4" w:space="0" w:color="auto"/>
            </w:tcBorders>
            <w:shd w:val="clear" w:color="auto" w:fill="auto"/>
            <w:vAlign w:val="center"/>
          </w:tcPr>
          <w:p w14:paraId="7068F526"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Закон Приморского края от 02.08.2005 № 271-КЗ "О бюджетном устройстве, бюджетном процессе и межбюджетных отношениях в Приморском крае"</w:t>
            </w:r>
          </w:p>
        </w:tc>
      </w:tr>
      <w:tr w:rsidR="00E47AA9" w:rsidRPr="00E47AA9" w14:paraId="72C5174B"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3E290C88"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Закон № 44-ФЗ</w:t>
            </w:r>
          </w:p>
        </w:tc>
        <w:tc>
          <w:tcPr>
            <w:tcW w:w="7619" w:type="dxa"/>
            <w:tcBorders>
              <w:top w:val="nil"/>
              <w:left w:val="nil"/>
              <w:bottom w:val="single" w:sz="4" w:space="0" w:color="auto"/>
              <w:right w:val="single" w:sz="4" w:space="0" w:color="auto"/>
            </w:tcBorders>
            <w:shd w:val="clear" w:color="auto" w:fill="auto"/>
            <w:vAlign w:val="center"/>
          </w:tcPr>
          <w:p w14:paraId="47D28856"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Федеральный закон от 05.04.2013 № 44-ФЗ "О контрактной системе в сфере закупок товаров, работ, услуг для обеспечения государственных и муниципальных нужд"</w:t>
            </w:r>
          </w:p>
        </w:tc>
      </w:tr>
      <w:tr w:rsidR="00E47AA9" w:rsidRPr="00E47AA9" w14:paraId="467A7771"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0E1B801A"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Инструкция № 191н</w:t>
            </w:r>
          </w:p>
        </w:tc>
        <w:tc>
          <w:tcPr>
            <w:tcW w:w="7619" w:type="dxa"/>
            <w:tcBorders>
              <w:top w:val="nil"/>
              <w:left w:val="nil"/>
              <w:bottom w:val="single" w:sz="4" w:space="0" w:color="auto"/>
              <w:right w:val="single" w:sz="4" w:space="0" w:color="auto"/>
            </w:tcBorders>
            <w:shd w:val="clear" w:color="auto" w:fill="auto"/>
            <w:vAlign w:val="center"/>
          </w:tcPr>
          <w:p w14:paraId="500E0FA1"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Приказ Министерства финансов Российской Федерации от 28.12.2010 № 191н "Об утверждении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w:t>
            </w:r>
          </w:p>
        </w:tc>
      </w:tr>
      <w:tr w:rsidR="00E47AA9" w:rsidRPr="00E47AA9" w14:paraId="2FB072FE"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3D1F953D" w14:textId="0FED2FD9" w:rsidR="0018515F" w:rsidRPr="00E47AA9" w:rsidRDefault="0018515F" w:rsidP="00353702">
            <w:pPr>
              <w:jc w:val="both"/>
              <w:rPr>
                <w:rFonts w:ascii="Times New Roman" w:hAnsi="Times New Roman" w:cs="Times New Roman"/>
                <w:sz w:val="28"/>
                <w:szCs w:val="28"/>
              </w:rPr>
            </w:pPr>
            <w:r w:rsidRPr="00E47AA9">
              <w:rPr>
                <w:rFonts w:ascii="Times New Roman" w:hAnsi="Times New Roman" w:cs="Times New Roman"/>
                <w:sz w:val="28"/>
                <w:szCs w:val="28"/>
              </w:rPr>
              <w:t>ВП</w:t>
            </w:r>
          </w:p>
        </w:tc>
        <w:tc>
          <w:tcPr>
            <w:tcW w:w="7619" w:type="dxa"/>
            <w:tcBorders>
              <w:top w:val="nil"/>
              <w:left w:val="nil"/>
              <w:bottom w:val="single" w:sz="4" w:space="0" w:color="auto"/>
              <w:right w:val="single" w:sz="4" w:space="0" w:color="auto"/>
            </w:tcBorders>
            <w:shd w:val="clear" w:color="auto" w:fill="auto"/>
            <w:vAlign w:val="center"/>
          </w:tcPr>
          <w:p w14:paraId="7FAD1FF8" w14:textId="6E61282C" w:rsidR="0018515F" w:rsidRPr="00E47AA9" w:rsidRDefault="0018515F" w:rsidP="0018515F">
            <w:pPr>
              <w:jc w:val="both"/>
              <w:rPr>
                <w:rFonts w:ascii="Times New Roman" w:hAnsi="Times New Roman" w:cs="Times New Roman"/>
                <w:sz w:val="28"/>
                <w:szCs w:val="28"/>
              </w:rPr>
            </w:pPr>
            <w:r w:rsidRPr="00E47AA9">
              <w:rPr>
                <w:rFonts w:ascii="Times New Roman" w:hAnsi="Times New Roman" w:cs="Times New Roman"/>
                <w:sz w:val="28"/>
                <w:szCs w:val="28"/>
              </w:rPr>
              <w:t>Ведомственный проект</w:t>
            </w:r>
          </w:p>
        </w:tc>
      </w:tr>
      <w:tr w:rsidR="00E47AA9" w:rsidRPr="00E47AA9" w14:paraId="2575499E"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63450FBA"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ИП</w:t>
            </w:r>
          </w:p>
        </w:tc>
        <w:tc>
          <w:tcPr>
            <w:tcW w:w="7619" w:type="dxa"/>
            <w:tcBorders>
              <w:top w:val="nil"/>
              <w:left w:val="nil"/>
              <w:bottom w:val="single" w:sz="4" w:space="0" w:color="auto"/>
              <w:right w:val="single" w:sz="4" w:space="0" w:color="auto"/>
            </w:tcBorders>
            <w:shd w:val="clear" w:color="auto" w:fill="auto"/>
            <w:vAlign w:val="center"/>
          </w:tcPr>
          <w:p w14:paraId="6B793F10"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индивидуальный предприниматель</w:t>
            </w:r>
          </w:p>
        </w:tc>
      </w:tr>
      <w:tr w:rsidR="00E47AA9" w:rsidRPr="00E47AA9" w14:paraId="1977B432"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1F95EF2B"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МО</w:t>
            </w:r>
          </w:p>
        </w:tc>
        <w:tc>
          <w:tcPr>
            <w:tcW w:w="7619" w:type="dxa"/>
            <w:tcBorders>
              <w:top w:val="nil"/>
              <w:left w:val="nil"/>
              <w:bottom w:val="single" w:sz="4" w:space="0" w:color="auto"/>
              <w:right w:val="single" w:sz="4" w:space="0" w:color="auto"/>
            </w:tcBorders>
            <w:shd w:val="clear" w:color="auto" w:fill="auto"/>
            <w:vAlign w:val="center"/>
          </w:tcPr>
          <w:p w14:paraId="56050402"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муниципальный округ</w:t>
            </w:r>
          </w:p>
        </w:tc>
      </w:tr>
      <w:tr w:rsidR="00E47AA9" w:rsidRPr="00E47AA9" w14:paraId="5FBAADC7"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2048921F"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МП</w:t>
            </w:r>
          </w:p>
        </w:tc>
        <w:tc>
          <w:tcPr>
            <w:tcW w:w="7619" w:type="dxa"/>
            <w:tcBorders>
              <w:top w:val="nil"/>
              <w:left w:val="nil"/>
              <w:bottom w:val="single" w:sz="4" w:space="0" w:color="auto"/>
              <w:right w:val="single" w:sz="4" w:space="0" w:color="auto"/>
            </w:tcBorders>
            <w:shd w:val="clear" w:color="auto" w:fill="auto"/>
            <w:vAlign w:val="center"/>
          </w:tcPr>
          <w:p w14:paraId="1B1A6C55"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муниципальная программа</w:t>
            </w:r>
          </w:p>
        </w:tc>
      </w:tr>
      <w:tr w:rsidR="00E47AA9" w:rsidRPr="00E47AA9" w14:paraId="1D24A53C"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17A98E47"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lastRenderedPageBreak/>
              <w:t>МР</w:t>
            </w:r>
          </w:p>
        </w:tc>
        <w:tc>
          <w:tcPr>
            <w:tcW w:w="7619" w:type="dxa"/>
            <w:tcBorders>
              <w:top w:val="nil"/>
              <w:left w:val="nil"/>
              <w:bottom w:val="single" w:sz="4" w:space="0" w:color="auto"/>
              <w:right w:val="single" w:sz="4" w:space="0" w:color="auto"/>
            </w:tcBorders>
            <w:shd w:val="clear" w:color="auto" w:fill="auto"/>
            <w:vAlign w:val="center"/>
          </w:tcPr>
          <w:p w14:paraId="5EC3EB3E"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муниципальный район</w:t>
            </w:r>
          </w:p>
        </w:tc>
      </w:tr>
      <w:tr w:rsidR="00E47AA9" w:rsidRPr="00E47AA9" w14:paraId="62E91011"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21E39E01"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НП</w:t>
            </w:r>
          </w:p>
        </w:tc>
        <w:tc>
          <w:tcPr>
            <w:tcW w:w="7619" w:type="dxa"/>
            <w:tcBorders>
              <w:top w:val="nil"/>
              <w:left w:val="nil"/>
              <w:bottom w:val="single" w:sz="4" w:space="0" w:color="auto"/>
              <w:right w:val="single" w:sz="4" w:space="0" w:color="auto"/>
            </w:tcBorders>
            <w:shd w:val="clear" w:color="auto" w:fill="auto"/>
            <w:vAlign w:val="center"/>
          </w:tcPr>
          <w:p w14:paraId="34315079"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национальный проект</w:t>
            </w:r>
          </w:p>
        </w:tc>
      </w:tr>
      <w:tr w:rsidR="00E47AA9" w:rsidRPr="00E47AA9" w14:paraId="5B13B224"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221A3B69"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ПК</w:t>
            </w:r>
          </w:p>
        </w:tc>
        <w:tc>
          <w:tcPr>
            <w:tcW w:w="7619" w:type="dxa"/>
            <w:tcBorders>
              <w:top w:val="nil"/>
              <w:left w:val="nil"/>
              <w:bottom w:val="single" w:sz="4" w:space="0" w:color="auto"/>
              <w:right w:val="single" w:sz="4" w:space="0" w:color="auto"/>
            </w:tcBorders>
            <w:shd w:val="clear" w:color="auto" w:fill="auto"/>
            <w:vAlign w:val="center"/>
          </w:tcPr>
          <w:p w14:paraId="6365FFD0"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Приморский край</w:t>
            </w:r>
          </w:p>
        </w:tc>
      </w:tr>
      <w:tr w:rsidR="00E47AA9" w:rsidRPr="00E47AA9" w14:paraId="46C5B7F9"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1DA5F848"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ПСД</w:t>
            </w:r>
          </w:p>
        </w:tc>
        <w:tc>
          <w:tcPr>
            <w:tcW w:w="7619" w:type="dxa"/>
            <w:tcBorders>
              <w:top w:val="nil"/>
              <w:left w:val="nil"/>
              <w:bottom w:val="single" w:sz="4" w:space="0" w:color="auto"/>
              <w:right w:val="single" w:sz="4" w:space="0" w:color="auto"/>
            </w:tcBorders>
            <w:shd w:val="clear" w:color="auto" w:fill="auto"/>
            <w:vAlign w:val="center"/>
          </w:tcPr>
          <w:p w14:paraId="03329689"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проектно-сметная документация</w:t>
            </w:r>
          </w:p>
        </w:tc>
      </w:tr>
      <w:tr w:rsidR="00E47AA9" w:rsidRPr="00E47AA9" w14:paraId="1F1136AF"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2A2F99C3"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РП</w:t>
            </w:r>
          </w:p>
        </w:tc>
        <w:tc>
          <w:tcPr>
            <w:tcW w:w="7619" w:type="dxa"/>
            <w:tcBorders>
              <w:top w:val="nil"/>
              <w:left w:val="nil"/>
              <w:bottom w:val="single" w:sz="4" w:space="0" w:color="auto"/>
              <w:right w:val="single" w:sz="4" w:space="0" w:color="auto"/>
            </w:tcBorders>
            <w:shd w:val="clear" w:color="auto" w:fill="auto"/>
            <w:vAlign w:val="center"/>
          </w:tcPr>
          <w:p w14:paraId="7F2A9132"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региональный проект</w:t>
            </w:r>
          </w:p>
        </w:tc>
      </w:tr>
      <w:tr w:rsidR="00E47AA9" w:rsidRPr="00E47AA9" w14:paraId="506EA6FC" w14:textId="77777777" w:rsidTr="00353702">
        <w:trPr>
          <w:trHeight w:val="20"/>
        </w:trPr>
        <w:tc>
          <w:tcPr>
            <w:tcW w:w="1951" w:type="dxa"/>
            <w:tcBorders>
              <w:top w:val="nil"/>
              <w:left w:val="single" w:sz="4" w:space="0" w:color="auto"/>
              <w:bottom w:val="single" w:sz="4" w:space="0" w:color="auto"/>
              <w:right w:val="single" w:sz="4" w:space="0" w:color="auto"/>
            </w:tcBorders>
            <w:shd w:val="clear" w:color="auto" w:fill="auto"/>
            <w:vAlign w:val="center"/>
          </w:tcPr>
          <w:p w14:paraId="726B9370"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РФ</w:t>
            </w:r>
          </w:p>
        </w:tc>
        <w:tc>
          <w:tcPr>
            <w:tcW w:w="7619" w:type="dxa"/>
            <w:tcBorders>
              <w:top w:val="nil"/>
              <w:left w:val="nil"/>
              <w:bottom w:val="single" w:sz="4" w:space="0" w:color="auto"/>
              <w:right w:val="single" w:sz="4" w:space="0" w:color="auto"/>
            </w:tcBorders>
            <w:shd w:val="clear" w:color="auto" w:fill="auto"/>
            <w:vAlign w:val="center"/>
          </w:tcPr>
          <w:p w14:paraId="240434E9" w14:textId="77777777" w:rsidR="00A441A6" w:rsidRPr="00E47AA9" w:rsidRDefault="00A441A6" w:rsidP="00353702">
            <w:pPr>
              <w:jc w:val="both"/>
              <w:rPr>
                <w:rFonts w:ascii="Times New Roman" w:hAnsi="Times New Roman" w:cs="Times New Roman"/>
                <w:sz w:val="28"/>
                <w:szCs w:val="28"/>
              </w:rPr>
            </w:pPr>
            <w:r w:rsidRPr="00E47AA9">
              <w:rPr>
                <w:rFonts w:ascii="Times New Roman" w:hAnsi="Times New Roman" w:cs="Times New Roman"/>
                <w:sz w:val="28"/>
                <w:szCs w:val="28"/>
              </w:rPr>
              <w:t>Российская Федерация</w:t>
            </w:r>
          </w:p>
        </w:tc>
      </w:tr>
    </w:tbl>
    <w:p w14:paraId="4008F14E" w14:textId="77777777" w:rsidR="00A441A6" w:rsidRPr="00E47AA9" w:rsidRDefault="00A441A6" w:rsidP="00A441A6">
      <w:pP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br w:type="page"/>
      </w:r>
    </w:p>
    <w:p w14:paraId="321E1C6C"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lastRenderedPageBreak/>
        <w:t>1. Общие положения</w:t>
      </w:r>
    </w:p>
    <w:p w14:paraId="483521F7" w14:textId="77777777" w:rsidR="00A441A6" w:rsidRPr="00096E5B"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1. В соответствии с Бюджетным кодексом Российской Федерации, законами Приморского края от 02.08.2005 № 271-КЗ "О бюджетном устройстве, бюджетном процессе и межбюджетных отношениях в Приморском крае, от 04.08.2011 № 795-КЗ "О Контрольно-счетной палате Приморского края" подготовлено заключение Контрольно-счетной палаты Приморского края на </w:t>
      </w:r>
      <w:r w:rsidRPr="00096E5B">
        <w:rPr>
          <w:rFonts w:ascii="Times New Roman" w:eastAsia="Times New Roman" w:hAnsi="Times New Roman" w:cs="Times New Roman"/>
          <w:sz w:val="28"/>
          <w:szCs w:val="28"/>
          <w:lang w:eastAsia="ru-RU"/>
        </w:rPr>
        <w:t>отчет об исполнении краевого бюджета за 2024 год (далее – заключение).</w:t>
      </w:r>
    </w:p>
    <w:p w14:paraId="3964EC8E" w14:textId="772BAE60" w:rsidR="00A441A6" w:rsidRPr="00096E5B"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096E5B">
        <w:rPr>
          <w:rFonts w:ascii="Times New Roman" w:eastAsia="Times New Roman" w:hAnsi="Times New Roman" w:cs="Times New Roman"/>
          <w:sz w:val="28"/>
          <w:szCs w:val="28"/>
          <w:lang w:eastAsia="ru-RU"/>
        </w:rPr>
        <w:t xml:space="preserve">Заключение рассмотрено и утверждено коллегией Контрольно-счетной палаты Приморского края (протокол от </w:t>
      </w:r>
      <w:r w:rsidR="00096E5B" w:rsidRPr="00096E5B">
        <w:rPr>
          <w:rFonts w:ascii="Times New Roman" w:eastAsia="Times New Roman" w:hAnsi="Times New Roman" w:cs="Times New Roman"/>
          <w:sz w:val="28"/>
          <w:szCs w:val="28"/>
          <w:lang w:eastAsia="ru-RU"/>
        </w:rPr>
        <w:t>30</w:t>
      </w:r>
      <w:r w:rsidRPr="00096E5B">
        <w:rPr>
          <w:rFonts w:ascii="Times New Roman" w:eastAsia="Times New Roman" w:hAnsi="Times New Roman" w:cs="Times New Roman"/>
          <w:sz w:val="28"/>
          <w:szCs w:val="28"/>
          <w:lang w:eastAsia="ru-RU"/>
        </w:rPr>
        <w:t xml:space="preserve">.05.2025 № </w:t>
      </w:r>
      <w:r w:rsidR="00096E5B" w:rsidRPr="00096E5B">
        <w:rPr>
          <w:rFonts w:ascii="Times New Roman" w:eastAsia="Times New Roman" w:hAnsi="Times New Roman" w:cs="Times New Roman"/>
          <w:sz w:val="28"/>
          <w:szCs w:val="28"/>
          <w:lang w:eastAsia="ru-RU"/>
        </w:rPr>
        <w:t>9</w:t>
      </w:r>
      <w:r w:rsidRPr="00096E5B">
        <w:rPr>
          <w:rFonts w:ascii="Times New Roman" w:eastAsia="Times New Roman" w:hAnsi="Times New Roman" w:cs="Times New Roman"/>
          <w:sz w:val="28"/>
          <w:szCs w:val="28"/>
          <w:lang w:eastAsia="ru-RU"/>
        </w:rPr>
        <w:t>).</w:t>
      </w:r>
    </w:p>
    <w:p w14:paraId="6FD3C5AC"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096E5B">
        <w:rPr>
          <w:rFonts w:ascii="Times New Roman" w:eastAsia="Times New Roman" w:hAnsi="Times New Roman" w:cs="Times New Roman"/>
          <w:sz w:val="28"/>
          <w:szCs w:val="28"/>
          <w:lang w:eastAsia="ru-RU"/>
        </w:rPr>
        <w:t>Отчет об исполнении краевого бюджета на 01.01.2025 (далее – отчет об исполнении краевого бюджета, отчет) представлен Правительством Приморского края в Контрольно-счетную</w:t>
      </w:r>
      <w:r w:rsidRPr="00E47AA9">
        <w:rPr>
          <w:rFonts w:ascii="Times New Roman" w:eastAsia="Times New Roman" w:hAnsi="Times New Roman" w:cs="Times New Roman"/>
          <w:sz w:val="28"/>
          <w:szCs w:val="28"/>
          <w:lang w:eastAsia="ru-RU"/>
        </w:rPr>
        <w:t xml:space="preserve"> палату Приморского края (далее – Контрольно-счетная палата) в соответствии с бюджетным законодательством в установленный срок. </w:t>
      </w:r>
    </w:p>
    <w:p w14:paraId="2A533944" w14:textId="3B8964CC"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соответствии со статьей 264.4 Бюджетного кодекса Российской Федерации, статьей 111</w:t>
      </w:r>
      <w:r w:rsidR="0016165F" w:rsidRPr="00E47AA9">
        <w:rPr>
          <w:rFonts w:ascii="Times New Roman" w:eastAsia="Times New Roman" w:hAnsi="Times New Roman" w:cs="Times New Roman"/>
          <w:sz w:val="28"/>
          <w:szCs w:val="28"/>
          <w:lang w:eastAsia="ru-RU"/>
        </w:rPr>
        <w:t>(1)</w:t>
      </w:r>
      <w:r w:rsidRPr="00E47AA9">
        <w:rPr>
          <w:rFonts w:ascii="Times New Roman" w:eastAsia="Times New Roman" w:hAnsi="Times New Roman" w:cs="Times New Roman"/>
          <w:sz w:val="28"/>
          <w:szCs w:val="28"/>
          <w:lang w:eastAsia="ru-RU"/>
        </w:rPr>
        <w:t xml:space="preserve"> Закона Приморского края от 02.08.2005 № 271-КЗ заключение подготовлено с учетом результатов внешней проверки годовой бюджетной отчетности за 2024 год главных администраторов бюджетных средств (далее – внешние проверки ГАБС). </w:t>
      </w:r>
    </w:p>
    <w:p w14:paraId="55C8C131"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Анализ отчета показал, что представленные данные соответствуют сводным показателям годовой бюджетной отчетности ГАБС по доходам, расходам и источникам внутреннего финансирования дефицита краевого бюджета. По итогам внешних проверок установлено, что отчет в целом является достоверным.</w:t>
      </w:r>
    </w:p>
    <w:p w14:paraId="11A84653"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При подготовке заключения также использованы материалы и результаты тематических проверок, проведенных Контрольно-счетной палатой в отчетный период,</w:t>
      </w:r>
      <w:r w:rsidRPr="00E47AA9">
        <w:rPr>
          <w:rFonts w:ascii="Times New Roman" w:hAnsi="Times New Roman" w:cs="Times New Roman"/>
        </w:rPr>
        <w:t xml:space="preserve"> </w:t>
      </w:r>
      <w:r w:rsidRPr="00E47AA9">
        <w:rPr>
          <w:rFonts w:ascii="Times New Roman" w:eastAsia="Times New Roman" w:hAnsi="Times New Roman" w:cs="Times New Roman"/>
          <w:sz w:val="28"/>
          <w:szCs w:val="28"/>
          <w:lang w:eastAsia="ru-RU"/>
        </w:rPr>
        <w:t>что позволило обеспечить комплексную оценку исполнения краевого бюджета.</w:t>
      </w:r>
    </w:p>
    <w:p w14:paraId="7F9EA99A"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Заключение сформировано на основе принципов объективности, достоверности и соответствия бюджетному законодательству Российской Федерации и нормативным правовым актам Приморского края.</w:t>
      </w:r>
    </w:p>
    <w:p w14:paraId="04DD75C8" w14:textId="33672CCD"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2. </w:t>
      </w:r>
      <w:r w:rsidRPr="00E47AA9">
        <w:rPr>
          <w:rFonts w:ascii="Times New Roman" w:eastAsia="Times New Roman" w:hAnsi="Times New Roman" w:cs="Times New Roman"/>
          <w:sz w:val="28"/>
          <w:szCs w:val="28"/>
          <w:lang w:eastAsia="ru-RU"/>
        </w:rPr>
        <w:t xml:space="preserve">Проект закона </w:t>
      </w:r>
      <w:r w:rsidR="006A31BF" w:rsidRPr="00E47AA9">
        <w:rPr>
          <w:rFonts w:ascii="Times New Roman" w:eastAsia="Times New Roman" w:hAnsi="Times New Roman" w:cs="Times New Roman"/>
          <w:sz w:val="28"/>
          <w:szCs w:val="28"/>
          <w:lang w:eastAsia="ru-RU"/>
        </w:rPr>
        <w:t xml:space="preserve">Приморского края </w:t>
      </w:r>
      <w:r w:rsidRPr="00E47AA9">
        <w:rPr>
          <w:rFonts w:ascii="Times New Roman" w:eastAsia="Times New Roman" w:hAnsi="Times New Roman" w:cs="Times New Roman"/>
          <w:sz w:val="28"/>
          <w:szCs w:val="28"/>
          <w:lang w:eastAsia="ru-RU"/>
        </w:rPr>
        <w:t xml:space="preserve">"Об исполнении краевого бюджета за 2024 год" представлен </w:t>
      </w:r>
      <w:r w:rsidR="00E33ECD" w:rsidRPr="00E47AA9">
        <w:rPr>
          <w:rFonts w:ascii="Times New Roman" w:eastAsia="Times New Roman" w:hAnsi="Times New Roman" w:cs="Times New Roman"/>
          <w:sz w:val="28"/>
          <w:szCs w:val="28"/>
          <w:lang w:eastAsia="ru-RU"/>
        </w:rPr>
        <w:t>15</w:t>
      </w:r>
      <w:r w:rsidRPr="00E47AA9">
        <w:rPr>
          <w:rFonts w:ascii="Times New Roman" w:eastAsia="Times New Roman" w:hAnsi="Times New Roman" w:cs="Times New Roman"/>
          <w:sz w:val="28"/>
          <w:szCs w:val="28"/>
          <w:lang w:eastAsia="ru-RU"/>
        </w:rPr>
        <w:t xml:space="preserve">.05.2025 в Контрольно-счетную палату Законодательным Собранием Приморского края. Законопроект и перечень приложений к нему </w:t>
      </w:r>
      <w:r w:rsidR="006D736D" w:rsidRPr="00E47AA9">
        <w:rPr>
          <w:rFonts w:ascii="Times New Roman" w:eastAsia="Times New Roman" w:hAnsi="Times New Roman" w:cs="Times New Roman"/>
          <w:sz w:val="28"/>
          <w:szCs w:val="28"/>
          <w:lang w:eastAsia="ru-RU"/>
        </w:rPr>
        <w:t xml:space="preserve">в целом </w:t>
      </w:r>
      <w:r w:rsidRPr="00E47AA9">
        <w:rPr>
          <w:rFonts w:ascii="Times New Roman" w:eastAsia="Times New Roman" w:hAnsi="Times New Roman" w:cs="Times New Roman"/>
          <w:sz w:val="28"/>
          <w:szCs w:val="28"/>
          <w:lang w:eastAsia="ru-RU"/>
        </w:rPr>
        <w:t>соответствуют условиям статьи 112 Закона Приморского края от 02.08.2005 №</w:t>
      </w:r>
      <w:r w:rsidR="00F77241"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xml:space="preserve">271-КЗ. </w:t>
      </w:r>
    </w:p>
    <w:p w14:paraId="3EFC1E72"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Показатели законопроекта соответствуют показателям отчета об исполнении краевого бюджета за 2024 год, представленным Правительством Приморского края, и взаимосвязанным данным годовой бюджетной отчетности ГАБС. </w:t>
      </w:r>
    </w:p>
    <w:p w14:paraId="6928DC5E" w14:textId="77777777" w:rsidR="00A441A6" w:rsidRPr="00E47AA9" w:rsidRDefault="00A441A6" w:rsidP="00A441A6">
      <w:pPr>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br w:type="page"/>
      </w:r>
    </w:p>
    <w:p w14:paraId="5F9B03FF" w14:textId="77777777" w:rsidR="00A441A6" w:rsidRPr="00E47AA9" w:rsidRDefault="00A441A6" w:rsidP="00A441A6">
      <w:pPr>
        <w:spacing w:after="0" w:line="240" w:lineRule="auto"/>
        <w:jc w:val="center"/>
        <w:rPr>
          <w:rFonts w:ascii="Times New Roman" w:eastAsia="Calibri" w:hAnsi="Times New Roman" w:cs="Times New Roman"/>
          <w:b/>
          <w:sz w:val="28"/>
          <w:szCs w:val="28"/>
        </w:rPr>
      </w:pPr>
      <w:r w:rsidRPr="00E47AA9">
        <w:rPr>
          <w:rFonts w:ascii="Times New Roman" w:eastAsia="Times New Roman" w:hAnsi="Times New Roman" w:cs="Times New Roman"/>
          <w:b/>
          <w:sz w:val="28"/>
          <w:szCs w:val="28"/>
          <w:lang w:eastAsia="ru-RU"/>
        </w:rPr>
        <w:lastRenderedPageBreak/>
        <w:t xml:space="preserve">2. </w:t>
      </w:r>
      <w:r w:rsidRPr="00E47AA9">
        <w:rPr>
          <w:rFonts w:ascii="Times New Roman" w:eastAsia="Calibri" w:hAnsi="Times New Roman" w:cs="Times New Roman"/>
          <w:b/>
          <w:sz w:val="28"/>
          <w:szCs w:val="28"/>
        </w:rPr>
        <w:t xml:space="preserve">Макроэкономические условия исполнения </w:t>
      </w:r>
    </w:p>
    <w:p w14:paraId="58F54585" w14:textId="77777777" w:rsidR="00A441A6" w:rsidRPr="00E47AA9" w:rsidRDefault="00A441A6" w:rsidP="00A441A6">
      <w:pPr>
        <w:spacing w:after="0" w:line="240" w:lineRule="auto"/>
        <w:jc w:val="center"/>
        <w:rPr>
          <w:rFonts w:ascii="Times New Roman" w:eastAsia="Calibri" w:hAnsi="Times New Roman" w:cs="Times New Roman"/>
          <w:b/>
          <w:sz w:val="28"/>
          <w:szCs w:val="28"/>
        </w:rPr>
      </w:pPr>
      <w:r w:rsidRPr="00E47AA9">
        <w:rPr>
          <w:rFonts w:ascii="Times New Roman" w:eastAsia="Calibri" w:hAnsi="Times New Roman" w:cs="Times New Roman"/>
          <w:b/>
          <w:sz w:val="28"/>
          <w:szCs w:val="28"/>
        </w:rPr>
        <w:t>краевого бюджета за 2024 год</w:t>
      </w:r>
    </w:p>
    <w:p w14:paraId="5478F122" w14:textId="77777777" w:rsidR="006C5C47" w:rsidRPr="00E47AA9" w:rsidRDefault="006C5C47" w:rsidP="006C5C47">
      <w:pPr>
        <w:autoSpaceDE w:val="0"/>
        <w:autoSpaceDN w:val="0"/>
        <w:adjustRightInd w:val="0"/>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В рамках осуществления полномочий по о</w:t>
      </w:r>
      <w:r w:rsidRPr="00E47AA9">
        <w:rPr>
          <w:rFonts w:ascii="Times New Roman" w:hAnsi="Times New Roman" w:cs="Times New Roman"/>
          <w:sz w:val="28"/>
          <w:szCs w:val="28"/>
        </w:rPr>
        <w:t>ценке реализуемости, рисков и результатов достижения целей социально-экономического развития Приморского края, предусмотренных документами стратегического планирования Приморского края</w:t>
      </w:r>
      <w:r w:rsidRPr="00E47AA9">
        <w:rPr>
          <w:rStyle w:val="a8"/>
          <w:rFonts w:ascii="Times New Roman" w:hAnsi="Times New Roman"/>
          <w:sz w:val="28"/>
          <w:szCs w:val="28"/>
        </w:rPr>
        <w:footnoteReference w:id="1"/>
      </w:r>
      <w:r w:rsidRPr="00E47AA9">
        <w:rPr>
          <w:rFonts w:ascii="Times New Roman" w:hAnsi="Times New Roman" w:cs="Times New Roman"/>
          <w:sz w:val="28"/>
          <w:szCs w:val="28"/>
        </w:rPr>
        <w:t>,</w:t>
      </w:r>
      <w:r w:rsidRPr="00E47AA9">
        <w:rPr>
          <w:rFonts w:ascii="Times New Roman" w:hAnsi="Times New Roman" w:cs="Times New Roman"/>
          <w:sz w:val="24"/>
          <w:szCs w:val="24"/>
        </w:rPr>
        <w:t xml:space="preserve"> </w:t>
      </w:r>
      <w:r w:rsidRPr="00E47AA9">
        <w:rPr>
          <w:rFonts w:ascii="Times New Roman" w:eastAsia="Calibri" w:hAnsi="Times New Roman" w:cs="Times New Roman"/>
          <w:sz w:val="28"/>
          <w:szCs w:val="28"/>
        </w:rPr>
        <w:t>Контрольно-счетной палатой проведен анализ основных макроэкономических показателей, принятых в расчетах на 2024 год к проекту закона Приморского края о краевом бюджете на 2024 год и плановый период 2025 и 2026 годов на основании:</w:t>
      </w:r>
    </w:p>
    <w:p w14:paraId="3EC77BD2"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прогноза социально-экономического развития Приморского края на 2024 год и плановый период до 2026 года, утвержденного распоряжением Правительства Приморского края от 09.08.2023 № 538-рп (далее – Прогноз на 2024 год);</w:t>
      </w:r>
    </w:p>
    <w:p w14:paraId="05E5F24C"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распоряжения Правительства Приморского края от 11.12.2023 № 980-рп "О внесении изменений в распоряжения Правительства Приморского края от 09.08.2023 № 538-рп "Об утверждении прогноза социально-экономического развития Приморского края на 2024 год и плановый период до 2026 года";</w:t>
      </w:r>
    </w:p>
    <w:p w14:paraId="618CFA44"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информации, предоставленной министерством экономического развития Приморского края (далее – Минэкономразвития ПК) о фактических показателях по итогам отчетного финансового года;</w:t>
      </w:r>
    </w:p>
    <w:p w14:paraId="7869E66E"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данных территориального органа Федеральной службы государственной статистики по Приморскому краю (далее – </w:t>
      </w:r>
      <w:proofErr w:type="spellStart"/>
      <w:r w:rsidRPr="00E47AA9">
        <w:rPr>
          <w:rFonts w:ascii="Times New Roman" w:eastAsia="Calibri" w:hAnsi="Times New Roman" w:cs="Times New Roman"/>
          <w:sz w:val="28"/>
          <w:szCs w:val="28"/>
        </w:rPr>
        <w:t>Приморскстат</w:t>
      </w:r>
      <w:proofErr w:type="spellEnd"/>
      <w:r w:rsidRPr="00E47AA9">
        <w:rPr>
          <w:rFonts w:ascii="Times New Roman" w:eastAsia="Calibri" w:hAnsi="Times New Roman" w:cs="Times New Roman"/>
          <w:sz w:val="28"/>
          <w:szCs w:val="28"/>
        </w:rPr>
        <w:t>)</w:t>
      </w:r>
      <w:r w:rsidRPr="00E47AA9">
        <w:rPr>
          <w:rStyle w:val="a8"/>
          <w:rFonts w:ascii="Times New Roman" w:hAnsi="Times New Roman"/>
          <w:sz w:val="28"/>
          <w:szCs w:val="28"/>
        </w:rPr>
        <w:footnoteReference w:id="2"/>
      </w:r>
      <w:r w:rsidRPr="00E47AA9">
        <w:rPr>
          <w:rFonts w:ascii="Times New Roman" w:eastAsia="Calibri" w:hAnsi="Times New Roman" w:cs="Times New Roman"/>
          <w:sz w:val="28"/>
          <w:szCs w:val="28"/>
        </w:rPr>
        <w:t>.</w:t>
      </w:r>
    </w:p>
    <w:p w14:paraId="11BA011A"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Как правило, на момент составления заключения отсутствуют Сведения о показателях валового регионального продукта в Приморском крае (далее – ВРП) по итогам отчетного года. Согласно п. 1.2.6 Федерального плана статистических работ, утвержденного распоряжением Правительства Российской Федерации от 06.05.2008 № 671-р, предусмотрен срок предоставления информации об объеме ВРП по субъектам Российской Федерации за год, предшествующий отчетному</w:t>
      </w:r>
      <w:r w:rsidR="00F77241"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 в первую декаду марта. Соответственно значение показателя ВРП по Приморскому краю за 2024 год не публикуется </w:t>
      </w:r>
      <w:proofErr w:type="spellStart"/>
      <w:r w:rsidRPr="00E47AA9">
        <w:rPr>
          <w:rFonts w:ascii="Times New Roman" w:eastAsia="Calibri" w:hAnsi="Times New Roman" w:cs="Times New Roman"/>
          <w:sz w:val="28"/>
          <w:szCs w:val="28"/>
        </w:rPr>
        <w:t>Приморскстатом</w:t>
      </w:r>
      <w:proofErr w:type="spellEnd"/>
      <w:r w:rsidRPr="00E47AA9">
        <w:rPr>
          <w:rFonts w:ascii="Times New Roman" w:eastAsia="Calibri" w:hAnsi="Times New Roman" w:cs="Times New Roman"/>
          <w:sz w:val="28"/>
          <w:szCs w:val="28"/>
        </w:rPr>
        <w:t xml:space="preserve"> в период составления заключения. </w:t>
      </w:r>
    </w:p>
    <w:p w14:paraId="27C8EEBB" w14:textId="77777777" w:rsidR="006C5C47" w:rsidRPr="00E47AA9" w:rsidRDefault="006C5C47" w:rsidP="006C5C47">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hAnsi="Times New Roman" w:cs="Times New Roman"/>
          <w:sz w:val="28"/>
          <w:szCs w:val="28"/>
        </w:rPr>
        <w:t>При этом по ряду показателей Прогноза</w:t>
      </w:r>
      <w:r w:rsidRPr="00E47AA9">
        <w:rPr>
          <w:rFonts w:ascii="Times New Roman" w:hAnsi="Times New Roman" w:cs="Times New Roman"/>
        </w:rPr>
        <w:t xml:space="preserve"> </w:t>
      </w:r>
      <w:r w:rsidRPr="00E47AA9">
        <w:rPr>
          <w:rFonts w:ascii="Times New Roman" w:hAnsi="Times New Roman" w:cs="Times New Roman"/>
          <w:sz w:val="28"/>
          <w:szCs w:val="28"/>
        </w:rPr>
        <w:t>на 2024 год отсутствуют статистические данные на момент составления заключения, в связи с чем фактические значения за 2024 год указаны на уровне оценочных значений</w:t>
      </w:r>
      <w:r w:rsidRPr="00E47AA9">
        <w:rPr>
          <w:rStyle w:val="a8"/>
          <w:rFonts w:ascii="Times New Roman" w:hAnsi="Times New Roman"/>
          <w:sz w:val="28"/>
          <w:szCs w:val="28"/>
        </w:rPr>
        <w:footnoteReference w:id="3"/>
      </w:r>
      <w:r w:rsidRPr="00E47AA9">
        <w:rPr>
          <w:rFonts w:ascii="Times New Roman" w:hAnsi="Times New Roman" w:cs="Times New Roman"/>
          <w:sz w:val="28"/>
          <w:szCs w:val="28"/>
        </w:rPr>
        <w:t xml:space="preserve">, принятых при расчете показателей </w:t>
      </w:r>
      <w:r w:rsidRPr="00E47AA9">
        <w:rPr>
          <w:rFonts w:ascii="Times New Roman" w:eastAsia="Calibri" w:hAnsi="Times New Roman" w:cs="Times New Roman"/>
          <w:sz w:val="28"/>
          <w:szCs w:val="28"/>
        </w:rPr>
        <w:t xml:space="preserve">прогноза социально-экономического развития Приморского края на 2025 год и плановый период до 2027 года, утвержденного распоряжением Правительства Приморского края от 07.08.2024 № 546-рп (далее – Прогноз на 2025 год). Стоит отметить, что в действующих условиях текущего года приведенные ожидаемые макроэкономические показатели на 2025 год и последующие годы имеют </w:t>
      </w:r>
      <w:r w:rsidRPr="00E47AA9">
        <w:rPr>
          <w:rFonts w:ascii="Times New Roman" w:eastAsia="Calibri" w:hAnsi="Times New Roman" w:cs="Times New Roman"/>
          <w:sz w:val="28"/>
          <w:szCs w:val="28"/>
        </w:rPr>
        <w:lastRenderedPageBreak/>
        <w:t xml:space="preserve">информационный характер и не применяются как основа для анализа (оценки) таковых. </w:t>
      </w:r>
    </w:p>
    <w:p w14:paraId="627B3CD2" w14:textId="77777777" w:rsidR="006C5C47" w:rsidRPr="00E47AA9" w:rsidRDefault="006C5C47" w:rsidP="006C5C47">
      <w:pPr>
        <w:autoSpaceDE w:val="0"/>
        <w:autoSpaceDN w:val="0"/>
        <w:adjustRightInd w:val="0"/>
        <w:spacing w:after="0" w:line="240" w:lineRule="auto"/>
        <w:ind w:firstLine="709"/>
        <w:jc w:val="both"/>
        <w:rPr>
          <w:rFonts w:ascii="Times New Roman" w:eastAsia="Calibri" w:hAnsi="Times New Roman" w:cs="Times New Roman"/>
          <w:sz w:val="28"/>
          <w:szCs w:val="28"/>
        </w:rPr>
      </w:pPr>
    </w:p>
    <w:tbl>
      <w:tblPr>
        <w:tblW w:w="10492" w:type="dxa"/>
        <w:tblInd w:w="-856" w:type="dxa"/>
        <w:tblLook w:val="04A0" w:firstRow="1" w:lastRow="0" w:firstColumn="1" w:lastColumn="0" w:noHBand="0" w:noVBand="1"/>
      </w:tblPr>
      <w:tblGrid>
        <w:gridCol w:w="446"/>
        <w:gridCol w:w="2235"/>
        <w:gridCol w:w="939"/>
        <w:gridCol w:w="939"/>
        <w:gridCol w:w="1146"/>
        <w:gridCol w:w="1021"/>
        <w:gridCol w:w="1172"/>
        <w:gridCol w:w="929"/>
        <w:gridCol w:w="939"/>
        <w:gridCol w:w="726"/>
      </w:tblGrid>
      <w:tr w:rsidR="00E47AA9" w:rsidRPr="00E47AA9" w14:paraId="79CD6C4C" w14:textId="77777777" w:rsidTr="00BB056E">
        <w:trPr>
          <w:trHeight w:val="340"/>
          <w:tblHeader/>
        </w:trPr>
        <w:tc>
          <w:tcPr>
            <w:tcW w:w="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D929AB"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п/п</w:t>
            </w:r>
          </w:p>
        </w:tc>
        <w:tc>
          <w:tcPr>
            <w:tcW w:w="2235" w:type="dxa"/>
            <w:tcBorders>
              <w:top w:val="single" w:sz="4" w:space="0" w:color="auto"/>
              <w:left w:val="nil"/>
              <w:bottom w:val="single" w:sz="4" w:space="0" w:color="auto"/>
              <w:right w:val="single" w:sz="4" w:space="0" w:color="auto"/>
            </w:tcBorders>
            <w:shd w:val="clear" w:color="auto" w:fill="auto"/>
            <w:noWrap/>
            <w:vAlign w:val="center"/>
            <w:hideMark/>
          </w:tcPr>
          <w:p w14:paraId="222055BF"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Показатели/единица измерения</w:t>
            </w:r>
          </w:p>
        </w:tc>
        <w:tc>
          <w:tcPr>
            <w:tcW w:w="939" w:type="dxa"/>
            <w:tcBorders>
              <w:top w:val="single" w:sz="4" w:space="0" w:color="auto"/>
              <w:left w:val="nil"/>
              <w:bottom w:val="nil"/>
              <w:right w:val="single" w:sz="4" w:space="0" w:color="auto"/>
            </w:tcBorders>
            <w:shd w:val="clear" w:color="auto" w:fill="auto"/>
            <w:vAlign w:val="center"/>
            <w:hideMark/>
          </w:tcPr>
          <w:p w14:paraId="4D8644F2"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xml:space="preserve">2022 </w:t>
            </w:r>
          </w:p>
          <w:p w14:paraId="330FD979"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xml:space="preserve">год </w:t>
            </w:r>
          </w:p>
          <w:p w14:paraId="0216BD78"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отчет</w:t>
            </w:r>
          </w:p>
        </w:tc>
        <w:tc>
          <w:tcPr>
            <w:tcW w:w="939" w:type="dxa"/>
            <w:tcBorders>
              <w:top w:val="single" w:sz="4" w:space="0" w:color="auto"/>
              <w:left w:val="nil"/>
              <w:bottom w:val="nil"/>
              <w:right w:val="single" w:sz="4" w:space="0" w:color="auto"/>
            </w:tcBorders>
            <w:shd w:val="clear" w:color="auto" w:fill="auto"/>
            <w:vAlign w:val="center"/>
            <w:hideMark/>
          </w:tcPr>
          <w:p w14:paraId="3D6F5526"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xml:space="preserve">2023 </w:t>
            </w:r>
          </w:p>
          <w:p w14:paraId="73226141"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xml:space="preserve">год </w:t>
            </w:r>
          </w:p>
          <w:p w14:paraId="08F9F247"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отчет</w:t>
            </w:r>
          </w:p>
        </w:tc>
        <w:tc>
          <w:tcPr>
            <w:tcW w:w="1172" w:type="dxa"/>
            <w:tcBorders>
              <w:top w:val="single" w:sz="4" w:space="0" w:color="auto"/>
              <w:left w:val="nil"/>
              <w:bottom w:val="nil"/>
              <w:right w:val="single" w:sz="4" w:space="0" w:color="auto"/>
            </w:tcBorders>
            <w:shd w:val="clear" w:color="auto" w:fill="auto"/>
            <w:vAlign w:val="center"/>
            <w:hideMark/>
          </w:tcPr>
          <w:p w14:paraId="77D0446A" w14:textId="77777777" w:rsidR="006C5C47" w:rsidRPr="00E47AA9" w:rsidRDefault="006C5C47" w:rsidP="00F77241">
            <w:pPr>
              <w:spacing w:after="0" w:line="240" w:lineRule="auto"/>
              <w:ind w:right="-133"/>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Прогноз на 2024 год (базовому варианту развития экономики)</w:t>
            </w:r>
            <w:r w:rsidRPr="00E47AA9">
              <w:rPr>
                <w:rStyle w:val="a8"/>
                <w:rFonts w:ascii="Times New Roman" w:eastAsia="Times New Roman" w:hAnsi="Times New Roman"/>
                <w:sz w:val="17"/>
                <w:szCs w:val="17"/>
                <w:lang w:eastAsia="ru-RU"/>
              </w:rPr>
              <w:footnoteReference w:id="4"/>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0BDD804F" w14:textId="77777777" w:rsidR="006C5C47" w:rsidRPr="00E47AA9" w:rsidRDefault="006C5C47" w:rsidP="00F77241">
            <w:pPr>
              <w:spacing w:after="0" w:line="240" w:lineRule="auto"/>
              <w:ind w:left="-69" w:right="-52"/>
              <w:jc w:val="center"/>
              <w:rPr>
                <w:rFonts w:ascii="Times New Roman" w:eastAsia="Times New Roman" w:hAnsi="Times New Roman" w:cs="Times New Roman"/>
                <w:sz w:val="17"/>
                <w:szCs w:val="17"/>
                <w:lang w:eastAsia="ru-RU"/>
              </w:rPr>
            </w:pPr>
            <w:proofErr w:type="spellStart"/>
            <w:r w:rsidRPr="00E47AA9">
              <w:rPr>
                <w:rFonts w:ascii="Times New Roman" w:eastAsia="Times New Roman" w:hAnsi="Times New Roman" w:cs="Times New Roman"/>
                <w:sz w:val="17"/>
                <w:szCs w:val="17"/>
                <w:lang w:eastAsia="ru-RU"/>
              </w:rPr>
              <w:t>Факти</w:t>
            </w:r>
            <w:proofErr w:type="spellEnd"/>
            <w:r w:rsidRPr="00E47AA9">
              <w:rPr>
                <w:rFonts w:ascii="Times New Roman" w:eastAsia="Times New Roman" w:hAnsi="Times New Roman" w:cs="Times New Roman"/>
                <w:sz w:val="17"/>
                <w:szCs w:val="17"/>
                <w:lang w:eastAsia="ru-RU"/>
              </w:rPr>
              <w:t>-</w:t>
            </w:r>
          </w:p>
          <w:p w14:paraId="4B901C75" w14:textId="77777777" w:rsidR="006C5C47" w:rsidRPr="00E47AA9" w:rsidRDefault="006C5C47" w:rsidP="00F77241">
            <w:pPr>
              <w:spacing w:after="0" w:line="240" w:lineRule="auto"/>
              <w:ind w:left="-69" w:right="-52"/>
              <w:jc w:val="center"/>
              <w:rPr>
                <w:rFonts w:ascii="Times New Roman" w:eastAsia="Times New Roman" w:hAnsi="Times New Roman" w:cs="Times New Roman"/>
                <w:sz w:val="17"/>
                <w:szCs w:val="17"/>
                <w:lang w:eastAsia="ru-RU"/>
              </w:rPr>
            </w:pPr>
            <w:proofErr w:type="spellStart"/>
            <w:r w:rsidRPr="00E47AA9">
              <w:rPr>
                <w:rFonts w:ascii="Times New Roman" w:eastAsia="Times New Roman" w:hAnsi="Times New Roman" w:cs="Times New Roman"/>
                <w:sz w:val="17"/>
                <w:szCs w:val="17"/>
                <w:lang w:eastAsia="ru-RU"/>
              </w:rPr>
              <w:t>ческие</w:t>
            </w:r>
            <w:proofErr w:type="spellEnd"/>
            <w:r w:rsidRPr="00E47AA9">
              <w:rPr>
                <w:rFonts w:ascii="Times New Roman" w:eastAsia="Times New Roman" w:hAnsi="Times New Roman" w:cs="Times New Roman"/>
                <w:sz w:val="17"/>
                <w:szCs w:val="17"/>
                <w:lang w:eastAsia="ru-RU"/>
              </w:rPr>
              <w:t xml:space="preserve"> (</w:t>
            </w:r>
            <w:proofErr w:type="spellStart"/>
            <w:proofErr w:type="gramStart"/>
            <w:r w:rsidRPr="00E47AA9">
              <w:rPr>
                <w:rFonts w:ascii="Times New Roman" w:eastAsia="Times New Roman" w:hAnsi="Times New Roman" w:cs="Times New Roman"/>
                <w:sz w:val="17"/>
                <w:szCs w:val="17"/>
                <w:lang w:eastAsia="ru-RU"/>
              </w:rPr>
              <w:t>предва-рительные</w:t>
            </w:r>
            <w:proofErr w:type="spellEnd"/>
            <w:proofErr w:type="gramEnd"/>
            <w:r w:rsidRPr="00E47AA9">
              <w:rPr>
                <w:rFonts w:ascii="Times New Roman" w:eastAsia="Times New Roman" w:hAnsi="Times New Roman" w:cs="Times New Roman"/>
                <w:sz w:val="17"/>
                <w:szCs w:val="17"/>
                <w:lang w:eastAsia="ru-RU"/>
              </w:rPr>
              <w:t>) данные за 2024 год</w:t>
            </w:r>
          </w:p>
        </w:tc>
        <w:tc>
          <w:tcPr>
            <w:tcW w:w="1172" w:type="dxa"/>
            <w:tcBorders>
              <w:top w:val="single" w:sz="4" w:space="0" w:color="auto"/>
              <w:left w:val="nil"/>
              <w:bottom w:val="single" w:sz="4" w:space="0" w:color="auto"/>
              <w:right w:val="single" w:sz="4" w:space="0" w:color="auto"/>
            </w:tcBorders>
            <w:shd w:val="clear" w:color="auto" w:fill="auto"/>
            <w:vAlign w:val="center"/>
            <w:hideMark/>
          </w:tcPr>
          <w:p w14:paraId="72A09276"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Прогноз на 2025 год (по базовому варианту развития экономики)</w:t>
            </w:r>
            <w:r w:rsidRPr="00E47AA9">
              <w:rPr>
                <w:rStyle w:val="a8"/>
                <w:rFonts w:ascii="Times New Roman" w:eastAsia="Times New Roman" w:hAnsi="Times New Roman"/>
                <w:sz w:val="17"/>
                <w:szCs w:val="17"/>
                <w:lang w:eastAsia="ru-RU"/>
              </w:rPr>
              <w:footnoteReference w:id="5"/>
            </w:r>
          </w:p>
        </w:tc>
        <w:tc>
          <w:tcPr>
            <w:tcW w:w="929" w:type="dxa"/>
            <w:tcBorders>
              <w:top w:val="single" w:sz="4" w:space="0" w:color="auto"/>
              <w:left w:val="nil"/>
              <w:bottom w:val="single" w:sz="4" w:space="0" w:color="auto"/>
              <w:right w:val="single" w:sz="4" w:space="0" w:color="auto"/>
            </w:tcBorders>
            <w:shd w:val="clear" w:color="auto" w:fill="auto"/>
            <w:vAlign w:val="center"/>
            <w:hideMark/>
          </w:tcPr>
          <w:p w14:paraId="151FB088"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proofErr w:type="gramStart"/>
            <w:r w:rsidRPr="00E47AA9">
              <w:rPr>
                <w:rFonts w:ascii="Times New Roman" w:eastAsia="Times New Roman" w:hAnsi="Times New Roman" w:cs="Times New Roman"/>
                <w:sz w:val="17"/>
                <w:szCs w:val="17"/>
                <w:lang w:eastAsia="ru-RU"/>
              </w:rPr>
              <w:t>Абсолют-</w:t>
            </w:r>
            <w:proofErr w:type="spellStart"/>
            <w:r w:rsidRPr="00E47AA9">
              <w:rPr>
                <w:rFonts w:ascii="Times New Roman" w:eastAsia="Times New Roman" w:hAnsi="Times New Roman" w:cs="Times New Roman"/>
                <w:sz w:val="17"/>
                <w:szCs w:val="17"/>
                <w:lang w:eastAsia="ru-RU"/>
              </w:rPr>
              <w:t>ное</w:t>
            </w:r>
            <w:proofErr w:type="spellEnd"/>
            <w:proofErr w:type="gramEnd"/>
            <w:r w:rsidRPr="00E47AA9">
              <w:rPr>
                <w:rFonts w:ascii="Times New Roman" w:eastAsia="Times New Roman" w:hAnsi="Times New Roman" w:cs="Times New Roman"/>
                <w:sz w:val="17"/>
                <w:szCs w:val="17"/>
                <w:lang w:eastAsia="ru-RU"/>
              </w:rPr>
              <w:t xml:space="preserve"> </w:t>
            </w:r>
            <w:proofErr w:type="spellStart"/>
            <w:r w:rsidRPr="00E47AA9">
              <w:rPr>
                <w:rFonts w:ascii="Times New Roman" w:eastAsia="Times New Roman" w:hAnsi="Times New Roman" w:cs="Times New Roman"/>
                <w:sz w:val="17"/>
                <w:szCs w:val="17"/>
                <w:lang w:eastAsia="ru-RU"/>
              </w:rPr>
              <w:t>отклоне-ние</w:t>
            </w:r>
            <w:proofErr w:type="spellEnd"/>
            <w:r w:rsidRPr="00E47AA9">
              <w:rPr>
                <w:rFonts w:ascii="Times New Roman" w:eastAsia="Times New Roman" w:hAnsi="Times New Roman" w:cs="Times New Roman"/>
                <w:sz w:val="17"/>
                <w:szCs w:val="17"/>
                <w:lang w:eastAsia="ru-RU"/>
              </w:rPr>
              <w:t xml:space="preserve"> 2024 года от Прогноза на 2024 год</w:t>
            </w:r>
          </w:p>
        </w:tc>
        <w:tc>
          <w:tcPr>
            <w:tcW w:w="939" w:type="dxa"/>
            <w:tcBorders>
              <w:top w:val="single" w:sz="4" w:space="0" w:color="auto"/>
              <w:left w:val="nil"/>
              <w:bottom w:val="single" w:sz="4" w:space="0" w:color="auto"/>
              <w:right w:val="single" w:sz="4" w:space="0" w:color="auto"/>
            </w:tcBorders>
            <w:shd w:val="clear" w:color="auto" w:fill="auto"/>
            <w:vAlign w:val="center"/>
            <w:hideMark/>
          </w:tcPr>
          <w:p w14:paraId="7BC40807"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proofErr w:type="spellStart"/>
            <w:proofErr w:type="gramStart"/>
            <w:r w:rsidRPr="00E47AA9">
              <w:rPr>
                <w:rFonts w:ascii="Times New Roman" w:eastAsia="Times New Roman" w:hAnsi="Times New Roman" w:cs="Times New Roman"/>
                <w:sz w:val="17"/>
                <w:szCs w:val="17"/>
                <w:lang w:eastAsia="ru-RU"/>
              </w:rPr>
              <w:t>Откло-нение</w:t>
            </w:r>
            <w:proofErr w:type="spellEnd"/>
            <w:proofErr w:type="gramEnd"/>
            <w:r w:rsidRPr="00E47AA9">
              <w:rPr>
                <w:rFonts w:ascii="Times New Roman" w:eastAsia="Times New Roman" w:hAnsi="Times New Roman" w:cs="Times New Roman"/>
                <w:sz w:val="17"/>
                <w:szCs w:val="17"/>
                <w:lang w:eastAsia="ru-RU"/>
              </w:rPr>
              <w:t xml:space="preserve"> 2024 от 2023 </w:t>
            </w:r>
          </w:p>
          <w:p w14:paraId="2A74DE58"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года</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60829BBA"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2024 к 2023</w:t>
            </w:r>
          </w:p>
          <w:p w14:paraId="0D9D0C89"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xml:space="preserve"> году, </w:t>
            </w:r>
          </w:p>
          <w:p w14:paraId="5CF68EB4"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w:t>
            </w:r>
          </w:p>
        </w:tc>
      </w:tr>
      <w:tr w:rsidR="00E47AA9" w:rsidRPr="00E47AA9" w14:paraId="599B518A" w14:textId="77777777" w:rsidTr="00BB056E">
        <w:trPr>
          <w:trHeight w:val="340"/>
          <w:tblHead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58C0A8CD"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w:t>
            </w:r>
          </w:p>
        </w:tc>
        <w:tc>
          <w:tcPr>
            <w:tcW w:w="2235" w:type="dxa"/>
            <w:tcBorders>
              <w:top w:val="nil"/>
              <w:left w:val="nil"/>
              <w:bottom w:val="single" w:sz="4" w:space="0" w:color="auto"/>
              <w:right w:val="single" w:sz="4" w:space="0" w:color="auto"/>
            </w:tcBorders>
            <w:shd w:val="clear" w:color="auto" w:fill="auto"/>
            <w:noWrap/>
            <w:vAlign w:val="center"/>
            <w:hideMark/>
          </w:tcPr>
          <w:p w14:paraId="7218B0CA"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w:t>
            </w:r>
          </w:p>
        </w:tc>
        <w:tc>
          <w:tcPr>
            <w:tcW w:w="939" w:type="dxa"/>
            <w:tcBorders>
              <w:top w:val="single" w:sz="4" w:space="0" w:color="auto"/>
              <w:left w:val="nil"/>
              <w:bottom w:val="single" w:sz="4" w:space="0" w:color="auto"/>
              <w:right w:val="single" w:sz="4" w:space="0" w:color="auto"/>
            </w:tcBorders>
            <w:shd w:val="clear" w:color="auto" w:fill="auto"/>
            <w:vAlign w:val="center"/>
            <w:hideMark/>
          </w:tcPr>
          <w:p w14:paraId="384319F0"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3</w:t>
            </w:r>
          </w:p>
        </w:tc>
        <w:tc>
          <w:tcPr>
            <w:tcW w:w="939" w:type="dxa"/>
            <w:tcBorders>
              <w:top w:val="single" w:sz="4" w:space="0" w:color="auto"/>
              <w:left w:val="nil"/>
              <w:bottom w:val="single" w:sz="4" w:space="0" w:color="auto"/>
              <w:right w:val="single" w:sz="4" w:space="0" w:color="auto"/>
            </w:tcBorders>
            <w:shd w:val="clear" w:color="auto" w:fill="auto"/>
            <w:vAlign w:val="center"/>
            <w:hideMark/>
          </w:tcPr>
          <w:p w14:paraId="0146DD0A"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4 </w:t>
            </w:r>
          </w:p>
        </w:tc>
        <w:tc>
          <w:tcPr>
            <w:tcW w:w="1172" w:type="dxa"/>
            <w:tcBorders>
              <w:top w:val="single" w:sz="4" w:space="0" w:color="auto"/>
              <w:left w:val="nil"/>
              <w:bottom w:val="single" w:sz="4" w:space="0" w:color="auto"/>
              <w:right w:val="single" w:sz="4" w:space="0" w:color="auto"/>
            </w:tcBorders>
            <w:shd w:val="clear" w:color="auto" w:fill="auto"/>
            <w:vAlign w:val="center"/>
            <w:hideMark/>
          </w:tcPr>
          <w:p w14:paraId="169A7BBD"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5</w:t>
            </w:r>
          </w:p>
        </w:tc>
        <w:tc>
          <w:tcPr>
            <w:tcW w:w="1021" w:type="dxa"/>
            <w:tcBorders>
              <w:top w:val="nil"/>
              <w:left w:val="nil"/>
              <w:bottom w:val="single" w:sz="4" w:space="0" w:color="auto"/>
              <w:right w:val="single" w:sz="4" w:space="0" w:color="auto"/>
            </w:tcBorders>
            <w:shd w:val="clear" w:color="auto" w:fill="auto"/>
            <w:noWrap/>
            <w:vAlign w:val="center"/>
            <w:hideMark/>
          </w:tcPr>
          <w:p w14:paraId="3F89B07E"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6</w:t>
            </w:r>
          </w:p>
        </w:tc>
        <w:tc>
          <w:tcPr>
            <w:tcW w:w="1172" w:type="dxa"/>
            <w:tcBorders>
              <w:top w:val="nil"/>
              <w:left w:val="nil"/>
              <w:bottom w:val="single" w:sz="4" w:space="0" w:color="auto"/>
              <w:right w:val="single" w:sz="4" w:space="0" w:color="auto"/>
            </w:tcBorders>
            <w:shd w:val="clear" w:color="auto" w:fill="auto"/>
            <w:noWrap/>
            <w:vAlign w:val="center"/>
            <w:hideMark/>
          </w:tcPr>
          <w:p w14:paraId="2044A4E9"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7</w:t>
            </w:r>
          </w:p>
        </w:tc>
        <w:tc>
          <w:tcPr>
            <w:tcW w:w="929" w:type="dxa"/>
            <w:tcBorders>
              <w:top w:val="nil"/>
              <w:left w:val="nil"/>
              <w:bottom w:val="single" w:sz="4" w:space="0" w:color="auto"/>
              <w:right w:val="single" w:sz="4" w:space="0" w:color="auto"/>
            </w:tcBorders>
            <w:shd w:val="clear" w:color="auto" w:fill="auto"/>
            <w:vAlign w:val="center"/>
            <w:hideMark/>
          </w:tcPr>
          <w:p w14:paraId="04773340"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8=6-5</w:t>
            </w:r>
          </w:p>
        </w:tc>
        <w:tc>
          <w:tcPr>
            <w:tcW w:w="939" w:type="dxa"/>
            <w:tcBorders>
              <w:top w:val="nil"/>
              <w:left w:val="nil"/>
              <w:bottom w:val="single" w:sz="4" w:space="0" w:color="auto"/>
              <w:right w:val="single" w:sz="4" w:space="0" w:color="auto"/>
            </w:tcBorders>
            <w:shd w:val="clear" w:color="auto" w:fill="auto"/>
            <w:vAlign w:val="center"/>
            <w:hideMark/>
          </w:tcPr>
          <w:p w14:paraId="6BF5BEFE"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9=6-4</w:t>
            </w:r>
          </w:p>
        </w:tc>
        <w:tc>
          <w:tcPr>
            <w:tcW w:w="700" w:type="dxa"/>
            <w:tcBorders>
              <w:top w:val="nil"/>
              <w:left w:val="nil"/>
              <w:bottom w:val="single" w:sz="4" w:space="0" w:color="auto"/>
              <w:right w:val="single" w:sz="4" w:space="0" w:color="auto"/>
            </w:tcBorders>
            <w:shd w:val="clear" w:color="auto" w:fill="auto"/>
            <w:vAlign w:val="center"/>
            <w:hideMark/>
          </w:tcPr>
          <w:p w14:paraId="4DACFE93"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10=6/4</w:t>
            </w:r>
          </w:p>
          <w:p w14:paraId="00AF2140"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*100</w:t>
            </w:r>
          </w:p>
        </w:tc>
      </w:tr>
      <w:tr w:rsidR="00E47AA9" w:rsidRPr="00E47AA9" w14:paraId="2EEAB0B0" w14:textId="77777777" w:rsidTr="00BB056E">
        <w:trPr>
          <w:trHeight w:val="340"/>
        </w:trPr>
        <w:tc>
          <w:tcPr>
            <w:tcW w:w="446" w:type="dxa"/>
            <w:vMerge w:val="restart"/>
            <w:tcBorders>
              <w:top w:val="nil"/>
              <w:left w:val="single" w:sz="4" w:space="0" w:color="auto"/>
              <w:bottom w:val="single" w:sz="4" w:space="0" w:color="auto"/>
              <w:right w:val="single" w:sz="4" w:space="0" w:color="auto"/>
            </w:tcBorders>
            <w:shd w:val="clear" w:color="auto" w:fill="auto"/>
            <w:vAlign w:val="center"/>
            <w:hideMark/>
          </w:tcPr>
          <w:p w14:paraId="36940B4D"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w:t>
            </w:r>
          </w:p>
        </w:tc>
        <w:tc>
          <w:tcPr>
            <w:tcW w:w="2235" w:type="dxa"/>
            <w:tcBorders>
              <w:top w:val="nil"/>
              <w:left w:val="nil"/>
              <w:bottom w:val="single" w:sz="4" w:space="0" w:color="auto"/>
              <w:right w:val="single" w:sz="4" w:space="0" w:color="auto"/>
            </w:tcBorders>
            <w:shd w:val="clear" w:color="auto" w:fill="auto"/>
            <w:noWrap/>
            <w:vAlign w:val="center"/>
            <w:hideMark/>
          </w:tcPr>
          <w:p w14:paraId="68826B0D"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xml:space="preserve">Численность населения (среднегодовая)/ </w:t>
            </w:r>
          </w:p>
        </w:tc>
        <w:tc>
          <w:tcPr>
            <w:tcW w:w="93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E51C902"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1831,02</w:t>
            </w:r>
          </w:p>
        </w:tc>
        <w:tc>
          <w:tcPr>
            <w:tcW w:w="93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2993229"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1813,20</w:t>
            </w:r>
          </w:p>
        </w:tc>
        <w:tc>
          <w:tcPr>
            <w:tcW w:w="1172" w:type="dxa"/>
            <w:vMerge w:val="restart"/>
            <w:tcBorders>
              <w:top w:val="nil"/>
              <w:left w:val="single" w:sz="4" w:space="0" w:color="auto"/>
              <w:bottom w:val="single" w:sz="4" w:space="0" w:color="auto"/>
              <w:right w:val="single" w:sz="4" w:space="0" w:color="auto"/>
            </w:tcBorders>
            <w:shd w:val="clear" w:color="000000" w:fill="FFFFFF"/>
            <w:vAlign w:val="center"/>
            <w:hideMark/>
          </w:tcPr>
          <w:p w14:paraId="5A26200A"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1801,94</w:t>
            </w:r>
          </w:p>
        </w:tc>
        <w:tc>
          <w:tcPr>
            <w:tcW w:w="1021"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03A814F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1799,60</w:t>
            </w:r>
            <w:r w:rsidRPr="00E47AA9">
              <w:rPr>
                <w:rStyle w:val="a8"/>
                <w:rFonts w:ascii="Times New Roman" w:eastAsia="Times New Roman" w:hAnsi="Times New Roman"/>
                <w:sz w:val="17"/>
                <w:szCs w:val="17"/>
                <w:lang w:eastAsia="ru-RU"/>
              </w:rPr>
              <w:footnoteReference w:id="6"/>
            </w:r>
          </w:p>
        </w:tc>
        <w:tc>
          <w:tcPr>
            <w:tcW w:w="1172"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239592A"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1791,40</w:t>
            </w:r>
          </w:p>
        </w:tc>
        <w:tc>
          <w:tcPr>
            <w:tcW w:w="929" w:type="dxa"/>
            <w:vMerge w:val="restart"/>
            <w:tcBorders>
              <w:top w:val="nil"/>
              <w:left w:val="single" w:sz="4" w:space="0" w:color="auto"/>
              <w:bottom w:val="single" w:sz="4" w:space="0" w:color="auto"/>
              <w:right w:val="single" w:sz="4" w:space="0" w:color="auto"/>
            </w:tcBorders>
            <w:shd w:val="clear" w:color="000000" w:fill="FFFFFF"/>
            <w:vAlign w:val="center"/>
            <w:hideMark/>
          </w:tcPr>
          <w:p w14:paraId="4D1E8FC0"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-2,34</w:t>
            </w:r>
          </w:p>
        </w:tc>
        <w:tc>
          <w:tcPr>
            <w:tcW w:w="939" w:type="dxa"/>
            <w:vMerge w:val="restart"/>
            <w:tcBorders>
              <w:top w:val="nil"/>
              <w:left w:val="single" w:sz="4" w:space="0" w:color="auto"/>
              <w:bottom w:val="single" w:sz="4" w:space="0" w:color="auto"/>
              <w:right w:val="single" w:sz="4" w:space="0" w:color="auto"/>
            </w:tcBorders>
            <w:shd w:val="clear" w:color="000000" w:fill="FFFFFF"/>
            <w:vAlign w:val="center"/>
            <w:hideMark/>
          </w:tcPr>
          <w:p w14:paraId="287D9D6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-13,60</w:t>
            </w:r>
          </w:p>
        </w:tc>
        <w:tc>
          <w:tcPr>
            <w:tcW w:w="700" w:type="dxa"/>
            <w:vMerge w:val="restart"/>
            <w:tcBorders>
              <w:top w:val="nil"/>
              <w:left w:val="single" w:sz="4" w:space="0" w:color="auto"/>
              <w:bottom w:val="single" w:sz="4" w:space="0" w:color="auto"/>
              <w:right w:val="single" w:sz="4" w:space="0" w:color="auto"/>
            </w:tcBorders>
            <w:shd w:val="clear" w:color="000000" w:fill="FFFFFF"/>
            <w:vAlign w:val="center"/>
            <w:hideMark/>
          </w:tcPr>
          <w:p w14:paraId="760B69E7"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99,25</w:t>
            </w:r>
          </w:p>
        </w:tc>
      </w:tr>
      <w:tr w:rsidR="00E47AA9" w:rsidRPr="00E47AA9" w14:paraId="778CF8A8" w14:textId="77777777" w:rsidTr="00BB056E">
        <w:trPr>
          <w:trHeight w:val="340"/>
        </w:trPr>
        <w:tc>
          <w:tcPr>
            <w:tcW w:w="446" w:type="dxa"/>
            <w:vMerge/>
            <w:tcBorders>
              <w:top w:val="nil"/>
              <w:left w:val="single" w:sz="4" w:space="0" w:color="auto"/>
              <w:bottom w:val="single" w:sz="4" w:space="0" w:color="auto"/>
              <w:right w:val="single" w:sz="4" w:space="0" w:color="auto"/>
            </w:tcBorders>
            <w:vAlign w:val="center"/>
            <w:hideMark/>
          </w:tcPr>
          <w:p w14:paraId="7C892DD2"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2235" w:type="dxa"/>
            <w:tcBorders>
              <w:top w:val="nil"/>
              <w:left w:val="nil"/>
              <w:bottom w:val="single" w:sz="4" w:space="0" w:color="auto"/>
              <w:right w:val="single" w:sz="4" w:space="0" w:color="auto"/>
            </w:tcBorders>
            <w:shd w:val="clear" w:color="auto" w:fill="auto"/>
            <w:noWrap/>
            <w:vAlign w:val="center"/>
            <w:hideMark/>
          </w:tcPr>
          <w:p w14:paraId="35AFC1FB"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тыс. человек</w:t>
            </w:r>
          </w:p>
        </w:tc>
        <w:tc>
          <w:tcPr>
            <w:tcW w:w="939" w:type="dxa"/>
            <w:vMerge/>
            <w:tcBorders>
              <w:top w:val="nil"/>
              <w:left w:val="single" w:sz="4" w:space="0" w:color="auto"/>
              <w:bottom w:val="single" w:sz="4" w:space="0" w:color="000000"/>
              <w:right w:val="single" w:sz="4" w:space="0" w:color="auto"/>
            </w:tcBorders>
            <w:vAlign w:val="center"/>
            <w:hideMark/>
          </w:tcPr>
          <w:p w14:paraId="32B19B38"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939" w:type="dxa"/>
            <w:vMerge/>
            <w:tcBorders>
              <w:top w:val="nil"/>
              <w:left w:val="single" w:sz="4" w:space="0" w:color="auto"/>
              <w:bottom w:val="single" w:sz="4" w:space="0" w:color="000000"/>
              <w:right w:val="single" w:sz="4" w:space="0" w:color="auto"/>
            </w:tcBorders>
            <w:vAlign w:val="center"/>
            <w:hideMark/>
          </w:tcPr>
          <w:p w14:paraId="629C6F6F"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1172" w:type="dxa"/>
            <w:vMerge/>
            <w:tcBorders>
              <w:top w:val="nil"/>
              <w:left w:val="single" w:sz="4" w:space="0" w:color="auto"/>
              <w:bottom w:val="single" w:sz="4" w:space="0" w:color="auto"/>
              <w:right w:val="single" w:sz="4" w:space="0" w:color="auto"/>
            </w:tcBorders>
            <w:vAlign w:val="center"/>
            <w:hideMark/>
          </w:tcPr>
          <w:p w14:paraId="266BE917"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1021" w:type="dxa"/>
            <w:vMerge/>
            <w:tcBorders>
              <w:top w:val="nil"/>
              <w:left w:val="single" w:sz="4" w:space="0" w:color="auto"/>
              <w:bottom w:val="single" w:sz="4" w:space="0" w:color="auto"/>
              <w:right w:val="single" w:sz="4" w:space="0" w:color="auto"/>
            </w:tcBorders>
            <w:vAlign w:val="center"/>
            <w:hideMark/>
          </w:tcPr>
          <w:p w14:paraId="14D9E330"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1172" w:type="dxa"/>
            <w:vMerge/>
            <w:tcBorders>
              <w:top w:val="nil"/>
              <w:left w:val="single" w:sz="4" w:space="0" w:color="auto"/>
              <w:bottom w:val="single" w:sz="4" w:space="0" w:color="auto"/>
              <w:right w:val="single" w:sz="4" w:space="0" w:color="auto"/>
            </w:tcBorders>
            <w:vAlign w:val="center"/>
            <w:hideMark/>
          </w:tcPr>
          <w:p w14:paraId="05ED5506"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929" w:type="dxa"/>
            <w:vMerge/>
            <w:tcBorders>
              <w:top w:val="nil"/>
              <w:left w:val="single" w:sz="4" w:space="0" w:color="auto"/>
              <w:bottom w:val="single" w:sz="4" w:space="0" w:color="auto"/>
              <w:right w:val="single" w:sz="4" w:space="0" w:color="auto"/>
            </w:tcBorders>
            <w:vAlign w:val="center"/>
            <w:hideMark/>
          </w:tcPr>
          <w:p w14:paraId="7CE37D93"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p>
        </w:tc>
        <w:tc>
          <w:tcPr>
            <w:tcW w:w="939" w:type="dxa"/>
            <w:vMerge/>
            <w:tcBorders>
              <w:top w:val="nil"/>
              <w:left w:val="single" w:sz="4" w:space="0" w:color="auto"/>
              <w:bottom w:val="single" w:sz="4" w:space="0" w:color="auto"/>
              <w:right w:val="single" w:sz="4" w:space="0" w:color="auto"/>
            </w:tcBorders>
            <w:vAlign w:val="center"/>
            <w:hideMark/>
          </w:tcPr>
          <w:p w14:paraId="3E556BA9"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700" w:type="dxa"/>
            <w:vMerge/>
            <w:tcBorders>
              <w:top w:val="nil"/>
              <w:left w:val="single" w:sz="4" w:space="0" w:color="auto"/>
              <w:bottom w:val="single" w:sz="4" w:space="0" w:color="auto"/>
              <w:right w:val="single" w:sz="4" w:space="0" w:color="auto"/>
            </w:tcBorders>
            <w:vAlign w:val="center"/>
            <w:hideMark/>
          </w:tcPr>
          <w:p w14:paraId="6E100497"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r>
      <w:tr w:rsidR="00E47AA9" w:rsidRPr="00E47AA9" w14:paraId="4CC17A6B" w14:textId="77777777" w:rsidTr="00BB056E">
        <w:trPr>
          <w:trHeight w:val="340"/>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762C4322"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w:t>
            </w:r>
          </w:p>
        </w:tc>
        <w:tc>
          <w:tcPr>
            <w:tcW w:w="2235" w:type="dxa"/>
            <w:tcBorders>
              <w:top w:val="nil"/>
              <w:left w:val="nil"/>
              <w:bottom w:val="single" w:sz="4" w:space="0" w:color="auto"/>
              <w:right w:val="single" w:sz="4" w:space="0" w:color="auto"/>
            </w:tcBorders>
            <w:shd w:val="clear" w:color="auto" w:fill="auto"/>
            <w:vAlign w:val="center"/>
            <w:hideMark/>
          </w:tcPr>
          <w:p w14:paraId="1B18642B"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bookmarkStart w:id="1" w:name="_Hlk196749664"/>
            <w:r w:rsidRPr="00E47AA9">
              <w:rPr>
                <w:rFonts w:ascii="Times New Roman" w:eastAsia="Times New Roman" w:hAnsi="Times New Roman" w:cs="Times New Roman"/>
                <w:sz w:val="17"/>
                <w:szCs w:val="17"/>
                <w:lang w:eastAsia="ru-RU"/>
              </w:rPr>
              <w:t xml:space="preserve">Индекс потребительских цен </w:t>
            </w:r>
            <w:bookmarkEnd w:id="1"/>
            <w:r w:rsidRPr="00E47AA9">
              <w:rPr>
                <w:rFonts w:ascii="Times New Roman" w:eastAsia="Times New Roman" w:hAnsi="Times New Roman" w:cs="Times New Roman"/>
                <w:sz w:val="17"/>
                <w:szCs w:val="17"/>
                <w:lang w:eastAsia="ru-RU"/>
              </w:rPr>
              <w:t>/в % к соответствую</w:t>
            </w:r>
            <w:r w:rsidRPr="00E47AA9">
              <w:rPr>
                <w:rFonts w:ascii="Times New Roman" w:eastAsia="Times New Roman" w:hAnsi="Times New Roman" w:cs="Times New Roman"/>
                <w:sz w:val="17"/>
                <w:szCs w:val="17"/>
                <w:lang w:eastAsia="ru-RU"/>
              </w:rPr>
              <w:softHyphen/>
              <w:t>щему периоду предыдущего года</w:t>
            </w:r>
          </w:p>
        </w:tc>
        <w:tc>
          <w:tcPr>
            <w:tcW w:w="939" w:type="dxa"/>
            <w:tcBorders>
              <w:top w:val="nil"/>
              <w:left w:val="nil"/>
              <w:bottom w:val="single" w:sz="4" w:space="0" w:color="auto"/>
              <w:right w:val="single" w:sz="4" w:space="0" w:color="auto"/>
            </w:tcBorders>
            <w:shd w:val="clear" w:color="000000" w:fill="FFFFFF"/>
            <w:vAlign w:val="center"/>
            <w:hideMark/>
          </w:tcPr>
          <w:p w14:paraId="11C77FFE"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111,30</w:t>
            </w:r>
            <w:r w:rsidRPr="00E47AA9">
              <w:rPr>
                <w:rStyle w:val="a8"/>
                <w:rFonts w:ascii="Times New Roman" w:eastAsia="Times New Roman" w:hAnsi="Times New Roman"/>
                <w:sz w:val="17"/>
                <w:szCs w:val="17"/>
                <w:lang w:eastAsia="ru-RU"/>
              </w:rPr>
              <w:footnoteReference w:id="7"/>
            </w:r>
          </w:p>
        </w:tc>
        <w:tc>
          <w:tcPr>
            <w:tcW w:w="939" w:type="dxa"/>
            <w:tcBorders>
              <w:top w:val="nil"/>
              <w:left w:val="nil"/>
              <w:bottom w:val="single" w:sz="4" w:space="0" w:color="auto"/>
              <w:right w:val="single" w:sz="4" w:space="0" w:color="auto"/>
            </w:tcBorders>
            <w:shd w:val="clear" w:color="000000" w:fill="FFFFFF"/>
            <w:vAlign w:val="center"/>
            <w:hideMark/>
          </w:tcPr>
          <w:p w14:paraId="2D85F9DB"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109,43</w:t>
            </w:r>
            <w:r w:rsidRPr="00E47AA9">
              <w:rPr>
                <w:rStyle w:val="a8"/>
                <w:rFonts w:ascii="Times New Roman" w:eastAsia="Times New Roman" w:hAnsi="Times New Roman"/>
                <w:sz w:val="17"/>
                <w:szCs w:val="17"/>
                <w:lang w:eastAsia="ru-RU"/>
              </w:rPr>
              <w:footnoteReference w:id="8"/>
            </w:r>
          </w:p>
        </w:tc>
        <w:tc>
          <w:tcPr>
            <w:tcW w:w="1172" w:type="dxa"/>
            <w:tcBorders>
              <w:top w:val="nil"/>
              <w:left w:val="nil"/>
              <w:bottom w:val="single" w:sz="4" w:space="0" w:color="auto"/>
              <w:right w:val="single" w:sz="4" w:space="0" w:color="auto"/>
            </w:tcBorders>
            <w:shd w:val="clear" w:color="000000" w:fill="FFFFFF"/>
            <w:vAlign w:val="center"/>
            <w:hideMark/>
          </w:tcPr>
          <w:p w14:paraId="07CF2473"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104,50</w:t>
            </w:r>
          </w:p>
        </w:tc>
        <w:tc>
          <w:tcPr>
            <w:tcW w:w="1021" w:type="dxa"/>
            <w:tcBorders>
              <w:top w:val="nil"/>
              <w:left w:val="nil"/>
              <w:bottom w:val="single" w:sz="4" w:space="0" w:color="auto"/>
              <w:right w:val="single" w:sz="4" w:space="0" w:color="auto"/>
            </w:tcBorders>
            <w:shd w:val="clear" w:color="000000" w:fill="FFFFFF"/>
            <w:vAlign w:val="center"/>
            <w:hideMark/>
          </w:tcPr>
          <w:p w14:paraId="30B5F3BF"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bookmarkStart w:id="2" w:name="RANGE!I5"/>
            <w:r w:rsidRPr="00E47AA9">
              <w:rPr>
                <w:rFonts w:ascii="Times New Roman" w:eastAsia="Times New Roman" w:hAnsi="Times New Roman" w:cs="Times New Roman"/>
                <w:sz w:val="17"/>
                <w:szCs w:val="17"/>
                <w:lang w:eastAsia="ru-RU"/>
              </w:rPr>
              <w:t>109,20</w:t>
            </w:r>
            <w:bookmarkEnd w:id="2"/>
            <w:r w:rsidRPr="00E47AA9">
              <w:rPr>
                <w:rStyle w:val="a8"/>
                <w:rFonts w:ascii="Times New Roman" w:eastAsia="Times New Roman" w:hAnsi="Times New Roman"/>
                <w:sz w:val="17"/>
                <w:szCs w:val="17"/>
                <w:lang w:eastAsia="ru-RU"/>
              </w:rPr>
              <w:footnoteReference w:id="9"/>
            </w:r>
          </w:p>
        </w:tc>
        <w:tc>
          <w:tcPr>
            <w:tcW w:w="1172" w:type="dxa"/>
            <w:tcBorders>
              <w:top w:val="nil"/>
              <w:left w:val="nil"/>
              <w:bottom w:val="single" w:sz="4" w:space="0" w:color="auto"/>
              <w:right w:val="single" w:sz="4" w:space="0" w:color="auto"/>
            </w:tcBorders>
            <w:shd w:val="clear" w:color="000000" w:fill="FFFFFF"/>
            <w:vAlign w:val="center"/>
            <w:hideMark/>
          </w:tcPr>
          <w:p w14:paraId="4F54A10E"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104,50</w:t>
            </w:r>
          </w:p>
        </w:tc>
        <w:tc>
          <w:tcPr>
            <w:tcW w:w="929" w:type="dxa"/>
            <w:tcBorders>
              <w:top w:val="nil"/>
              <w:left w:val="nil"/>
              <w:bottom w:val="single" w:sz="4" w:space="0" w:color="auto"/>
              <w:right w:val="single" w:sz="4" w:space="0" w:color="auto"/>
            </w:tcBorders>
            <w:shd w:val="clear" w:color="000000" w:fill="FFFFFF"/>
            <w:vAlign w:val="center"/>
            <w:hideMark/>
          </w:tcPr>
          <w:p w14:paraId="7CB3788A"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4,70</w:t>
            </w:r>
          </w:p>
        </w:tc>
        <w:tc>
          <w:tcPr>
            <w:tcW w:w="939" w:type="dxa"/>
            <w:tcBorders>
              <w:top w:val="nil"/>
              <w:left w:val="nil"/>
              <w:bottom w:val="single" w:sz="4" w:space="0" w:color="auto"/>
              <w:right w:val="single" w:sz="4" w:space="0" w:color="auto"/>
            </w:tcBorders>
            <w:shd w:val="clear" w:color="000000" w:fill="FFFFFF"/>
            <w:vAlign w:val="center"/>
            <w:hideMark/>
          </w:tcPr>
          <w:p w14:paraId="0C2439E7"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-0,23</w:t>
            </w:r>
          </w:p>
        </w:tc>
        <w:tc>
          <w:tcPr>
            <w:tcW w:w="700" w:type="dxa"/>
            <w:tcBorders>
              <w:top w:val="nil"/>
              <w:left w:val="nil"/>
              <w:bottom w:val="single" w:sz="4" w:space="0" w:color="auto"/>
              <w:right w:val="single" w:sz="4" w:space="0" w:color="auto"/>
            </w:tcBorders>
            <w:shd w:val="clear" w:color="000000" w:fill="FFFFFF"/>
            <w:vAlign w:val="center"/>
            <w:hideMark/>
          </w:tcPr>
          <w:p w14:paraId="64CDF875"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х</w:t>
            </w:r>
          </w:p>
        </w:tc>
      </w:tr>
      <w:tr w:rsidR="00E47AA9" w:rsidRPr="00E47AA9" w14:paraId="59EE1B63" w14:textId="77777777" w:rsidTr="00BB056E">
        <w:trPr>
          <w:trHeight w:val="340"/>
        </w:trPr>
        <w:tc>
          <w:tcPr>
            <w:tcW w:w="446" w:type="dxa"/>
            <w:vMerge w:val="restart"/>
            <w:tcBorders>
              <w:top w:val="nil"/>
              <w:left w:val="single" w:sz="4" w:space="0" w:color="auto"/>
              <w:bottom w:val="single" w:sz="4" w:space="0" w:color="auto"/>
              <w:right w:val="single" w:sz="4" w:space="0" w:color="auto"/>
            </w:tcBorders>
            <w:shd w:val="clear" w:color="auto" w:fill="auto"/>
            <w:vAlign w:val="center"/>
            <w:hideMark/>
          </w:tcPr>
          <w:p w14:paraId="35823383"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3.</w:t>
            </w:r>
          </w:p>
        </w:tc>
        <w:tc>
          <w:tcPr>
            <w:tcW w:w="2235" w:type="dxa"/>
            <w:tcBorders>
              <w:top w:val="nil"/>
              <w:left w:val="nil"/>
              <w:bottom w:val="single" w:sz="4" w:space="0" w:color="auto"/>
              <w:right w:val="single" w:sz="4" w:space="0" w:color="auto"/>
            </w:tcBorders>
            <w:shd w:val="clear" w:color="000000" w:fill="FFFFFF"/>
            <w:vAlign w:val="center"/>
            <w:hideMark/>
          </w:tcPr>
          <w:p w14:paraId="5EFEFDDB"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Валовой региональный продукт (в основных ценах соответствующих лет) – всего/ млрд рублей</w:t>
            </w:r>
          </w:p>
        </w:tc>
        <w:tc>
          <w:tcPr>
            <w:tcW w:w="93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75DAF85"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1467,96</w:t>
            </w:r>
          </w:p>
        </w:tc>
        <w:tc>
          <w:tcPr>
            <w:tcW w:w="93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0236FE9"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1692,92</w:t>
            </w:r>
          </w:p>
        </w:tc>
        <w:tc>
          <w:tcPr>
            <w:tcW w:w="1172" w:type="dxa"/>
            <w:vMerge w:val="restart"/>
            <w:tcBorders>
              <w:top w:val="nil"/>
              <w:left w:val="single" w:sz="4" w:space="0" w:color="auto"/>
              <w:bottom w:val="single" w:sz="4" w:space="0" w:color="auto"/>
              <w:right w:val="single" w:sz="4" w:space="0" w:color="auto"/>
            </w:tcBorders>
            <w:shd w:val="clear" w:color="000000" w:fill="FFFFFF"/>
            <w:vAlign w:val="center"/>
            <w:hideMark/>
          </w:tcPr>
          <w:p w14:paraId="4A891B6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1732,75</w:t>
            </w:r>
          </w:p>
        </w:tc>
        <w:tc>
          <w:tcPr>
            <w:tcW w:w="1021" w:type="dxa"/>
            <w:vMerge w:val="restart"/>
            <w:tcBorders>
              <w:top w:val="nil"/>
              <w:left w:val="single" w:sz="4" w:space="0" w:color="auto"/>
              <w:bottom w:val="single" w:sz="4" w:space="0" w:color="auto"/>
              <w:right w:val="single" w:sz="4" w:space="0" w:color="auto"/>
            </w:tcBorders>
            <w:shd w:val="clear" w:color="000000" w:fill="FFFFFF"/>
            <w:vAlign w:val="center"/>
            <w:hideMark/>
          </w:tcPr>
          <w:p w14:paraId="08EC3AFF"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1908,62</w:t>
            </w:r>
            <w:r w:rsidRPr="00E47AA9">
              <w:rPr>
                <w:rStyle w:val="a8"/>
                <w:rFonts w:ascii="Times New Roman" w:eastAsia="Times New Roman" w:hAnsi="Times New Roman"/>
                <w:sz w:val="17"/>
                <w:szCs w:val="17"/>
                <w:lang w:eastAsia="ru-RU"/>
              </w:rPr>
              <w:footnoteReference w:id="10"/>
            </w:r>
          </w:p>
        </w:tc>
        <w:tc>
          <w:tcPr>
            <w:tcW w:w="1172" w:type="dxa"/>
            <w:vMerge w:val="restart"/>
            <w:tcBorders>
              <w:top w:val="nil"/>
              <w:left w:val="single" w:sz="4" w:space="0" w:color="auto"/>
              <w:bottom w:val="single" w:sz="4" w:space="0" w:color="auto"/>
              <w:right w:val="single" w:sz="4" w:space="0" w:color="auto"/>
            </w:tcBorders>
            <w:shd w:val="clear" w:color="000000" w:fill="FFFFFF"/>
            <w:vAlign w:val="center"/>
            <w:hideMark/>
          </w:tcPr>
          <w:p w14:paraId="69A00B8C"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2089,12</w:t>
            </w:r>
          </w:p>
        </w:tc>
        <w:tc>
          <w:tcPr>
            <w:tcW w:w="929" w:type="dxa"/>
            <w:vMerge w:val="restart"/>
            <w:tcBorders>
              <w:top w:val="nil"/>
              <w:left w:val="single" w:sz="4" w:space="0" w:color="auto"/>
              <w:bottom w:val="single" w:sz="4" w:space="0" w:color="auto"/>
              <w:right w:val="single" w:sz="4" w:space="0" w:color="auto"/>
            </w:tcBorders>
            <w:shd w:val="clear" w:color="000000" w:fill="FFFFFF"/>
            <w:vAlign w:val="center"/>
            <w:hideMark/>
          </w:tcPr>
          <w:p w14:paraId="3BE7DB9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175,87</w:t>
            </w:r>
          </w:p>
        </w:tc>
        <w:tc>
          <w:tcPr>
            <w:tcW w:w="93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8DF1E1F"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215,70</w:t>
            </w:r>
          </w:p>
        </w:tc>
        <w:tc>
          <w:tcPr>
            <w:tcW w:w="700" w:type="dxa"/>
            <w:vMerge w:val="restart"/>
            <w:tcBorders>
              <w:top w:val="nil"/>
              <w:left w:val="single" w:sz="4" w:space="0" w:color="auto"/>
              <w:bottom w:val="single" w:sz="4" w:space="0" w:color="auto"/>
              <w:right w:val="single" w:sz="4" w:space="0" w:color="auto"/>
            </w:tcBorders>
            <w:shd w:val="clear" w:color="000000" w:fill="FFFFFF"/>
            <w:vAlign w:val="center"/>
            <w:hideMark/>
          </w:tcPr>
          <w:p w14:paraId="329359F0"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112,74</w:t>
            </w:r>
          </w:p>
        </w:tc>
      </w:tr>
      <w:tr w:rsidR="00E47AA9" w:rsidRPr="00E47AA9" w14:paraId="3AD588E6" w14:textId="77777777" w:rsidTr="00BB056E">
        <w:trPr>
          <w:trHeight w:val="340"/>
        </w:trPr>
        <w:tc>
          <w:tcPr>
            <w:tcW w:w="446" w:type="dxa"/>
            <w:vMerge/>
            <w:tcBorders>
              <w:top w:val="nil"/>
              <w:left w:val="single" w:sz="4" w:space="0" w:color="auto"/>
              <w:bottom w:val="single" w:sz="4" w:space="0" w:color="auto"/>
              <w:right w:val="single" w:sz="4" w:space="0" w:color="auto"/>
            </w:tcBorders>
            <w:vAlign w:val="center"/>
            <w:hideMark/>
          </w:tcPr>
          <w:p w14:paraId="1E9D7E95"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2235" w:type="dxa"/>
            <w:tcBorders>
              <w:top w:val="nil"/>
              <w:left w:val="nil"/>
              <w:bottom w:val="single" w:sz="4" w:space="0" w:color="auto"/>
              <w:right w:val="single" w:sz="4" w:space="0" w:color="auto"/>
            </w:tcBorders>
            <w:shd w:val="clear" w:color="000000" w:fill="FFFFFF"/>
            <w:vAlign w:val="center"/>
            <w:hideMark/>
          </w:tcPr>
          <w:p w14:paraId="1B0DD6E6"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*оценка 2024 год</w:t>
            </w:r>
          </w:p>
        </w:tc>
        <w:tc>
          <w:tcPr>
            <w:tcW w:w="939" w:type="dxa"/>
            <w:vMerge/>
            <w:tcBorders>
              <w:top w:val="nil"/>
              <w:left w:val="single" w:sz="4" w:space="0" w:color="auto"/>
              <w:bottom w:val="single" w:sz="4" w:space="0" w:color="000000"/>
              <w:right w:val="single" w:sz="4" w:space="0" w:color="auto"/>
            </w:tcBorders>
            <w:vAlign w:val="center"/>
            <w:hideMark/>
          </w:tcPr>
          <w:p w14:paraId="7CF9F4F1"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939" w:type="dxa"/>
            <w:vMerge/>
            <w:tcBorders>
              <w:top w:val="nil"/>
              <w:left w:val="single" w:sz="4" w:space="0" w:color="auto"/>
              <w:bottom w:val="single" w:sz="4" w:space="0" w:color="000000"/>
              <w:right w:val="single" w:sz="4" w:space="0" w:color="auto"/>
            </w:tcBorders>
            <w:vAlign w:val="center"/>
            <w:hideMark/>
          </w:tcPr>
          <w:p w14:paraId="1C36B505"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1172" w:type="dxa"/>
            <w:vMerge/>
            <w:tcBorders>
              <w:top w:val="nil"/>
              <w:left w:val="single" w:sz="4" w:space="0" w:color="auto"/>
              <w:bottom w:val="single" w:sz="4" w:space="0" w:color="auto"/>
              <w:right w:val="single" w:sz="4" w:space="0" w:color="auto"/>
            </w:tcBorders>
            <w:vAlign w:val="center"/>
            <w:hideMark/>
          </w:tcPr>
          <w:p w14:paraId="79CB30D8"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1021" w:type="dxa"/>
            <w:vMerge/>
            <w:tcBorders>
              <w:top w:val="nil"/>
              <w:left w:val="single" w:sz="4" w:space="0" w:color="auto"/>
              <w:bottom w:val="single" w:sz="4" w:space="0" w:color="auto"/>
              <w:right w:val="single" w:sz="4" w:space="0" w:color="auto"/>
            </w:tcBorders>
            <w:vAlign w:val="center"/>
            <w:hideMark/>
          </w:tcPr>
          <w:p w14:paraId="031DB8DF"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1172" w:type="dxa"/>
            <w:vMerge/>
            <w:tcBorders>
              <w:top w:val="nil"/>
              <w:left w:val="single" w:sz="4" w:space="0" w:color="auto"/>
              <w:bottom w:val="single" w:sz="4" w:space="0" w:color="auto"/>
              <w:right w:val="single" w:sz="4" w:space="0" w:color="auto"/>
            </w:tcBorders>
            <w:vAlign w:val="center"/>
            <w:hideMark/>
          </w:tcPr>
          <w:p w14:paraId="2649F3CB"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929" w:type="dxa"/>
            <w:vMerge/>
            <w:tcBorders>
              <w:top w:val="nil"/>
              <w:left w:val="single" w:sz="4" w:space="0" w:color="auto"/>
              <w:bottom w:val="single" w:sz="4" w:space="0" w:color="auto"/>
              <w:right w:val="single" w:sz="4" w:space="0" w:color="auto"/>
            </w:tcBorders>
            <w:vAlign w:val="center"/>
            <w:hideMark/>
          </w:tcPr>
          <w:p w14:paraId="7E1A6FB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p>
        </w:tc>
        <w:tc>
          <w:tcPr>
            <w:tcW w:w="939" w:type="dxa"/>
            <w:vMerge/>
            <w:tcBorders>
              <w:top w:val="nil"/>
              <w:left w:val="single" w:sz="4" w:space="0" w:color="auto"/>
              <w:bottom w:val="single" w:sz="4" w:space="0" w:color="000000"/>
              <w:right w:val="single" w:sz="4" w:space="0" w:color="auto"/>
            </w:tcBorders>
            <w:vAlign w:val="center"/>
            <w:hideMark/>
          </w:tcPr>
          <w:p w14:paraId="573D90F5"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700" w:type="dxa"/>
            <w:vMerge/>
            <w:tcBorders>
              <w:top w:val="nil"/>
              <w:left w:val="single" w:sz="4" w:space="0" w:color="auto"/>
              <w:bottom w:val="single" w:sz="4" w:space="0" w:color="auto"/>
              <w:right w:val="single" w:sz="4" w:space="0" w:color="auto"/>
            </w:tcBorders>
            <w:vAlign w:val="center"/>
            <w:hideMark/>
          </w:tcPr>
          <w:p w14:paraId="6FEEE509"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r>
      <w:tr w:rsidR="00E47AA9" w:rsidRPr="00E47AA9" w14:paraId="660294DB" w14:textId="77777777" w:rsidTr="00BB056E">
        <w:trPr>
          <w:trHeight w:val="340"/>
        </w:trPr>
        <w:tc>
          <w:tcPr>
            <w:tcW w:w="446" w:type="dxa"/>
            <w:vMerge/>
            <w:tcBorders>
              <w:top w:val="nil"/>
              <w:left w:val="single" w:sz="4" w:space="0" w:color="auto"/>
              <w:bottom w:val="single" w:sz="4" w:space="0" w:color="auto"/>
              <w:right w:val="single" w:sz="4" w:space="0" w:color="auto"/>
            </w:tcBorders>
            <w:vAlign w:val="center"/>
            <w:hideMark/>
          </w:tcPr>
          <w:p w14:paraId="2CF1B87F"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2235" w:type="dxa"/>
            <w:tcBorders>
              <w:top w:val="nil"/>
              <w:left w:val="nil"/>
              <w:bottom w:val="single" w:sz="4" w:space="0" w:color="auto"/>
              <w:right w:val="single" w:sz="4" w:space="0" w:color="auto"/>
            </w:tcBorders>
            <w:shd w:val="clear" w:color="000000" w:fill="FFFFFF"/>
            <w:vAlign w:val="center"/>
            <w:hideMark/>
          </w:tcPr>
          <w:p w14:paraId="503FAAEA"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Индекс физического объема валового регионального продукта /в % к предыдущему году</w:t>
            </w:r>
          </w:p>
        </w:tc>
        <w:tc>
          <w:tcPr>
            <w:tcW w:w="93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58CB77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102,20</w:t>
            </w:r>
          </w:p>
        </w:tc>
        <w:tc>
          <w:tcPr>
            <w:tcW w:w="93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2680023"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102,70</w:t>
            </w:r>
          </w:p>
        </w:tc>
        <w:tc>
          <w:tcPr>
            <w:tcW w:w="1172" w:type="dxa"/>
            <w:vMerge w:val="restart"/>
            <w:tcBorders>
              <w:top w:val="nil"/>
              <w:left w:val="single" w:sz="4" w:space="0" w:color="auto"/>
              <w:bottom w:val="single" w:sz="4" w:space="0" w:color="auto"/>
              <w:right w:val="single" w:sz="4" w:space="0" w:color="auto"/>
            </w:tcBorders>
            <w:shd w:val="clear" w:color="000000" w:fill="FFFFFF"/>
            <w:vAlign w:val="center"/>
            <w:hideMark/>
          </w:tcPr>
          <w:p w14:paraId="1ADA34BB"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104,20</w:t>
            </w:r>
          </w:p>
        </w:tc>
        <w:tc>
          <w:tcPr>
            <w:tcW w:w="1021" w:type="dxa"/>
            <w:vMerge w:val="restart"/>
            <w:tcBorders>
              <w:top w:val="nil"/>
              <w:left w:val="single" w:sz="4" w:space="0" w:color="auto"/>
              <w:bottom w:val="single" w:sz="4" w:space="0" w:color="auto"/>
              <w:right w:val="single" w:sz="4" w:space="0" w:color="auto"/>
            </w:tcBorders>
            <w:shd w:val="clear" w:color="000000" w:fill="FFFFFF"/>
            <w:vAlign w:val="center"/>
            <w:hideMark/>
          </w:tcPr>
          <w:p w14:paraId="4025A0B5"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103,30</w:t>
            </w:r>
            <w:r w:rsidRPr="00E47AA9">
              <w:rPr>
                <w:rStyle w:val="a8"/>
                <w:rFonts w:ascii="Times New Roman" w:eastAsia="Times New Roman" w:hAnsi="Times New Roman"/>
                <w:sz w:val="17"/>
                <w:szCs w:val="17"/>
                <w:lang w:eastAsia="ru-RU"/>
              </w:rPr>
              <w:footnoteReference w:id="11"/>
            </w:r>
          </w:p>
        </w:tc>
        <w:tc>
          <w:tcPr>
            <w:tcW w:w="1172" w:type="dxa"/>
            <w:vMerge w:val="restart"/>
            <w:tcBorders>
              <w:top w:val="nil"/>
              <w:left w:val="single" w:sz="4" w:space="0" w:color="auto"/>
              <w:bottom w:val="single" w:sz="4" w:space="0" w:color="auto"/>
              <w:right w:val="single" w:sz="4" w:space="0" w:color="auto"/>
            </w:tcBorders>
            <w:shd w:val="clear" w:color="000000" w:fill="FFFFFF"/>
            <w:vAlign w:val="center"/>
            <w:hideMark/>
          </w:tcPr>
          <w:p w14:paraId="7E93111F"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102,50</w:t>
            </w:r>
          </w:p>
        </w:tc>
        <w:tc>
          <w:tcPr>
            <w:tcW w:w="929" w:type="dxa"/>
            <w:vMerge w:val="restart"/>
            <w:tcBorders>
              <w:top w:val="nil"/>
              <w:left w:val="single" w:sz="4" w:space="0" w:color="auto"/>
              <w:bottom w:val="single" w:sz="4" w:space="0" w:color="auto"/>
              <w:right w:val="single" w:sz="4" w:space="0" w:color="auto"/>
            </w:tcBorders>
            <w:shd w:val="clear" w:color="000000" w:fill="FFFFFF"/>
            <w:vAlign w:val="center"/>
            <w:hideMark/>
          </w:tcPr>
          <w:p w14:paraId="6B04DC8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-0,90</w:t>
            </w:r>
          </w:p>
        </w:tc>
        <w:tc>
          <w:tcPr>
            <w:tcW w:w="939" w:type="dxa"/>
            <w:vMerge w:val="restart"/>
            <w:tcBorders>
              <w:top w:val="nil"/>
              <w:left w:val="single" w:sz="4" w:space="0" w:color="auto"/>
              <w:bottom w:val="single" w:sz="4" w:space="0" w:color="auto"/>
              <w:right w:val="single" w:sz="4" w:space="0" w:color="auto"/>
            </w:tcBorders>
            <w:shd w:val="clear" w:color="000000" w:fill="FFFFFF"/>
            <w:vAlign w:val="center"/>
            <w:hideMark/>
          </w:tcPr>
          <w:p w14:paraId="348C1FA6"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0,60</w:t>
            </w:r>
          </w:p>
        </w:tc>
        <w:tc>
          <w:tcPr>
            <w:tcW w:w="700" w:type="dxa"/>
            <w:vMerge w:val="restart"/>
            <w:tcBorders>
              <w:top w:val="nil"/>
              <w:left w:val="single" w:sz="4" w:space="0" w:color="auto"/>
              <w:bottom w:val="single" w:sz="4" w:space="0" w:color="auto"/>
              <w:right w:val="single" w:sz="4" w:space="0" w:color="auto"/>
            </w:tcBorders>
            <w:shd w:val="clear" w:color="000000" w:fill="FFFFFF"/>
            <w:vAlign w:val="center"/>
            <w:hideMark/>
          </w:tcPr>
          <w:p w14:paraId="7EA6F49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х</w:t>
            </w:r>
          </w:p>
        </w:tc>
      </w:tr>
      <w:tr w:rsidR="00E47AA9" w:rsidRPr="00E47AA9" w14:paraId="6133C950" w14:textId="77777777" w:rsidTr="00BB056E">
        <w:trPr>
          <w:trHeight w:val="340"/>
        </w:trPr>
        <w:tc>
          <w:tcPr>
            <w:tcW w:w="446" w:type="dxa"/>
            <w:vMerge/>
            <w:tcBorders>
              <w:top w:val="nil"/>
              <w:left w:val="single" w:sz="4" w:space="0" w:color="auto"/>
              <w:bottom w:val="single" w:sz="4" w:space="0" w:color="auto"/>
              <w:right w:val="single" w:sz="4" w:space="0" w:color="auto"/>
            </w:tcBorders>
            <w:vAlign w:val="center"/>
            <w:hideMark/>
          </w:tcPr>
          <w:p w14:paraId="0C157864"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2235" w:type="dxa"/>
            <w:tcBorders>
              <w:top w:val="nil"/>
              <w:left w:val="nil"/>
              <w:bottom w:val="single" w:sz="4" w:space="0" w:color="auto"/>
              <w:right w:val="single" w:sz="4" w:space="0" w:color="auto"/>
            </w:tcBorders>
            <w:shd w:val="clear" w:color="000000" w:fill="FFFFFF"/>
            <w:vAlign w:val="center"/>
            <w:hideMark/>
          </w:tcPr>
          <w:p w14:paraId="2EB85E35"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*оценка 2024 год</w:t>
            </w:r>
          </w:p>
        </w:tc>
        <w:tc>
          <w:tcPr>
            <w:tcW w:w="939" w:type="dxa"/>
            <w:vMerge/>
            <w:tcBorders>
              <w:top w:val="nil"/>
              <w:left w:val="single" w:sz="4" w:space="0" w:color="auto"/>
              <w:bottom w:val="single" w:sz="4" w:space="0" w:color="000000"/>
              <w:right w:val="single" w:sz="4" w:space="0" w:color="auto"/>
            </w:tcBorders>
            <w:vAlign w:val="center"/>
            <w:hideMark/>
          </w:tcPr>
          <w:p w14:paraId="7202F4D6"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939" w:type="dxa"/>
            <w:vMerge/>
            <w:tcBorders>
              <w:top w:val="nil"/>
              <w:left w:val="single" w:sz="4" w:space="0" w:color="auto"/>
              <w:bottom w:val="single" w:sz="4" w:space="0" w:color="000000"/>
              <w:right w:val="single" w:sz="4" w:space="0" w:color="auto"/>
            </w:tcBorders>
            <w:vAlign w:val="center"/>
            <w:hideMark/>
          </w:tcPr>
          <w:p w14:paraId="7677B0EC"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1172" w:type="dxa"/>
            <w:vMerge/>
            <w:tcBorders>
              <w:top w:val="nil"/>
              <w:left w:val="single" w:sz="4" w:space="0" w:color="auto"/>
              <w:bottom w:val="single" w:sz="4" w:space="0" w:color="auto"/>
              <w:right w:val="single" w:sz="4" w:space="0" w:color="auto"/>
            </w:tcBorders>
            <w:vAlign w:val="center"/>
            <w:hideMark/>
          </w:tcPr>
          <w:p w14:paraId="68CB3F40"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1021" w:type="dxa"/>
            <w:vMerge/>
            <w:tcBorders>
              <w:top w:val="nil"/>
              <w:left w:val="single" w:sz="4" w:space="0" w:color="auto"/>
              <w:bottom w:val="single" w:sz="4" w:space="0" w:color="auto"/>
              <w:right w:val="single" w:sz="4" w:space="0" w:color="auto"/>
            </w:tcBorders>
            <w:vAlign w:val="center"/>
            <w:hideMark/>
          </w:tcPr>
          <w:p w14:paraId="58465B48"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1172" w:type="dxa"/>
            <w:vMerge/>
            <w:tcBorders>
              <w:top w:val="nil"/>
              <w:left w:val="single" w:sz="4" w:space="0" w:color="auto"/>
              <w:bottom w:val="single" w:sz="4" w:space="0" w:color="auto"/>
              <w:right w:val="single" w:sz="4" w:space="0" w:color="auto"/>
            </w:tcBorders>
            <w:vAlign w:val="center"/>
            <w:hideMark/>
          </w:tcPr>
          <w:p w14:paraId="1E28BB9D"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929" w:type="dxa"/>
            <w:vMerge/>
            <w:tcBorders>
              <w:top w:val="nil"/>
              <w:left w:val="single" w:sz="4" w:space="0" w:color="auto"/>
              <w:bottom w:val="single" w:sz="4" w:space="0" w:color="auto"/>
              <w:right w:val="single" w:sz="4" w:space="0" w:color="auto"/>
            </w:tcBorders>
            <w:vAlign w:val="center"/>
            <w:hideMark/>
          </w:tcPr>
          <w:p w14:paraId="1BB24370"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p>
        </w:tc>
        <w:tc>
          <w:tcPr>
            <w:tcW w:w="939" w:type="dxa"/>
            <w:vMerge/>
            <w:tcBorders>
              <w:top w:val="nil"/>
              <w:left w:val="single" w:sz="4" w:space="0" w:color="auto"/>
              <w:bottom w:val="single" w:sz="4" w:space="0" w:color="auto"/>
              <w:right w:val="single" w:sz="4" w:space="0" w:color="auto"/>
            </w:tcBorders>
            <w:vAlign w:val="center"/>
            <w:hideMark/>
          </w:tcPr>
          <w:p w14:paraId="20D1EB84"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700" w:type="dxa"/>
            <w:vMerge/>
            <w:tcBorders>
              <w:top w:val="nil"/>
              <w:left w:val="single" w:sz="4" w:space="0" w:color="auto"/>
              <w:bottom w:val="single" w:sz="4" w:space="0" w:color="auto"/>
              <w:right w:val="single" w:sz="4" w:space="0" w:color="auto"/>
            </w:tcBorders>
            <w:vAlign w:val="center"/>
            <w:hideMark/>
          </w:tcPr>
          <w:p w14:paraId="3044F9E6"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r>
      <w:tr w:rsidR="00E47AA9" w:rsidRPr="00E47AA9" w14:paraId="736E52A1" w14:textId="77777777" w:rsidTr="00BB056E">
        <w:trPr>
          <w:trHeight w:val="340"/>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1ABEFD52"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w:t>
            </w:r>
          </w:p>
        </w:tc>
        <w:tc>
          <w:tcPr>
            <w:tcW w:w="2235" w:type="dxa"/>
            <w:tcBorders>
              <w:top w:val="nil"/>
              <w:left w:val="nil"/>
              <w:bottom w:val="single" w:sz="4" w:space="0" w:color="auto"/>
              <w:right w:val="single" w:sz="4" w:space="0" w:color="auto"/>
            </w:tcBorders>
            <w:shd w:val="clear" w:color="auto" w:fill="auto"/>
            <w:vAlign w:val="center"/>
            <w:hideMark/>
          </w:tcPr>
          <w:p w14:paraId="2C0904E9"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Индекс промышленного производства /в % к предыдущему году</w:t>
            </w:r>
          </w:p>
        </w:tc>
        <w:tc>
          <w:tcPr>
            <w:tcW w:w="939" w:type="dxa"/>
            <w:tcBorders>
              <w:top w:val="nil"/>
              <w:left w:val="nil"/>
              <w:bottom w:val="single" w:sz="4" w:space="0" w:color="auto"/>
              <w:right w:val="single" w:sz="4" w:space="0" w:color="auto"/>
            </w:tcBorders>
            <w:shd w:val="clear" w:color="000000" w:fill="FFFFFF"/>
            <w:vAlign w:val="center"/>
            <w:hideMark/>
          </w:tcPr>
          <w:p w14:paraId="710E3B7A"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99,80</w:t>
            </w:r>
          </w:p>
        </w:tc>
        <w:tc>
          <w:tcPr>
            <w:tcW w:w="939" w:type="dxa"/>
            <w:tcBorders>
              <w:top w:val="nil"/>
              <w:left w:val="nil"/>
              <w:bottom w:val="single" w:sz="4" w:space="0" w:color="auto"/>
              <w:right w:val="single" w:sz="4" w:space="0" w:color="auto"/>
            </w:tcBorders>
            <w:shd w:val="clear" w:color="000000" w:fill="FFFFFF"/>
            <w:vAlign w:val="center"/>
            <w:hideMark/>
          </w:tcPr>
          <w:p w14:paraId="4A0CB98C"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98,80</w:t>
            </w:r>
          </w:p>
        </w:tc>
        <w:tc>
          <w:tcPr>
            <w:tcW w:w="1172" w:type="dxa"/>
            <w:tcBorders>
              <w:top w:val="nil"/>
              <w:left w:val="nil"/>
              <w:bottom w:val="single" w:sz="4" w:space="0" w:color="auto"/>
              <w:right w:val="single" w:sz="4" w:space="0" w:color="auto"/>
            </w:tcBorders>
            <w:shd w:val="clear" w:color="000000" w:fill="FFFFFF"/>
            <w:vAlign w:val="center"/>
            <w:hideMark/>
          </w:tcPr>
          <w:p w14:paraId="6536FE02"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105,90</w:t>
            </w:r>
          </w:p>
        </w:tc>
        <w:tc>
          <w:tcPr>
            <w:tcW w:w="1021" w:type="dxa"/>
            <w:tcBorders>
              <w:top w:val="nil"/>
              <w:left w:val="nil"/>
              <w:bottom w:val="single" w:sz="4" w:space="0" w:color="auto"/>
              <w:right w:val="single" w:sz="4" w:space="0" w:color="auto"/>
            </w:tcBorders>
            <w:shd w:val="clear" w:color="000000" w:fill="FFFFFF"/>
            <w:vAlign w:val="center"/>
            <w:hideMark/>
          </w:tcPr>
          <w:p w14:paraId="09BB7DE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103,00</w:t>
            </w:r>
          </w:p>
        </w:tc>
        <w:tc>
          <w:tcPr>
            <w:tcW w:w="1172" w:type="dxa"/>
            <w:tcBorders>
              <w:top w:val="nil"/>
              <w:left w:val="nil"/>
              <w:bottom w:val="single" w:sz="4" w:space="0" w:color="auto"/>
              <w:right w:val="single" w:sz="4" w:space="0" w:color="auto"/>
            </w:tcBorders>
            <w:shd w:val="clear" w:color="000000" w:fill="FFFFFF"/>
            <w:vAlign w:val="center"/>
            <w:hideMark/>
          </w:tcPr>
          <w:p w14:paraId="78D8CA78"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105,10</w:t>
            </w:r>
          </w:p>
        </w:tc>
        <w:tc>
          <w:tcPr>
            <w:tcW w:w="929" w:type="dxa"/>
            <w:tcBorders>
              <w:top w:val="nil"/>
              <w:left w:val="nil"/>
              <w:bottom w:val="single" w:sz="4" w:space="0" w:color="auto"/>
              <w:right w:val="single" w:sz="4" w:space="0" w:color="auto"/>
            </w:tcBorders>
            <w:shd w:val="clear" w:color="000000" w:fill="FFFFFF"/>
            <w:vAlign w:val="center"/>
            <w:hideMark/>
          </w:tcPr>
          <w:p w14:paraId="2FDC6477"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-2,90</w:t>
            </w:r>
          </w:p>
        </w:tc>
        <w:tc>
          <w:tcPr>
            <w:tcW w:w="939" w:type="dxa"/>
            <w:tcBorders>
              <w:top w:val="nil"/>
              <w:left w:val="nil"/>
              <w:bottom w:val="single" w:sz="4" w:space="0" w:color="auto"/>
              <w:right w:val="single" w:sz="4" w:space="0" w:color="auto"/>
            </w:tcBorders>
            <w:shd w:val="clear" w:color="000000" w:fill="FFFFFF"/>
            <w:vAlign w:val="center"/>
            <w:hideMark/>
          </w:tcPr>
          <w:p w14:paraId="35070146"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4,20</w:t>
            </w:r>
          </w:p>
        </w:tc>
        <w:tc>
          <w:tcPr>
            <w:tcW w:w="700" w:type="dxa"/>
            <w:tcBorders>
              <w:top w:val="nil"/>
              <w:left w:val="nil"/>
              <w:bottom w:val="single" w:sz="4" w:space="0" w:color="auto"/>
              <w:right w:val="single" w:sz="4" w:space="0" w:color="auto"/>
            </w:tcBorders>
            <w:shd w:val="clear" w:color="000000" w:fill="FFFFFF"/>
            <w:vAlign w:val="center"/>
            <w:hideMark/>
          </w:tcPr>
          <w:p w14:paraId="68C89E50"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х</w:t>
            </w:r>
          </w:p>
        </w:tc>
      </w:tr>
      <w:tr w:rsidR="00E47AA9" w:rsidRPr="00E47AA9" w14:paraId="5237F6CE" w14:textId="77777777" w:rsidTr="00BB056E">
        <w:trPr>
          <w:trHeight w:val="340"/>
        </w:trPr>
        <w:tc>
          <w:tcPr>
            <w:tcW w:w="446" w:type="dxa"/>
            <w:vMerge w:val="restart"/>
            <w:tcBorders>
              <w:top w:val="nil"/>
              <w:left w:val="single" w:sz="4" w:space="0" w:color="auto"/>
              <w:bottom w:val="single" w:sz="4" w:space="0" w:color="auto"/>
              <w:right w:val="single" w:sz="4" w:space="0" w:color="auto"/>
            </w:tcBorders>
            <w:shd w:val="clear" w:color="auto" w:fill="auto"/>
            <w:vAlign w:val="center"/>
            <w:hideMark/>
          </w:tcPr>
          <w:p w14:paraId="6A64D615"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bookmarkStart w:id="3" w:name="_Hlk196749253"/>
            <w:r w:rsidRPr="00E47AA9">
              <w:rPr>
                <w:rFonts w:ascii="Times New Roman" w:eastAsia="Times New Roman" w:hAnsi="Times New Roman" w:cs="Times New Roman"/>
                <w:sz w:val="17"/>
                <w:szCs w:val="17"/>
                <w:lang w:eastAsia="ru-RU"/>
              </w:rPr>
              <w:t>5.</w:t>
            </w:r>
          </w:p>
        </w:tc>
        <w:tc>
          <w:tcPr>
            <w:tcW w:w="2235" w:type="dxa"/>
            <w:tcBorders>
              <w:top w:val="nil"/>
              <w:left w:val="nil"/>
              <w:bottom w:val="single" w:sz="4" w:space="0" w:color="auto"/>
              <w:right w:val="single" w:sz="4" w:space="0" w:color="auto"/>
            </w:tcBorders>
            <w:shd w:val="clear" w:color="auto" w:fill="auto"/>
            <w:vAlign w:val="center"/>
            <w:hideMark/>
          </w:tcPr>
          <w:p w14:paraId="3975DD8A"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Инвестиции в основной капитал / млн рублей</w:t>
            </w:r>
          </w:p>
        </w:tc>
        <w:tc>
          <w:tcPr>
            <w:tcW w:w="939" w:type="dxa"/>
            <w:tcBorders>
              <w:top w:val="nil"/>
              <w:left w:val="nil"/>
              <w:bottom w:val="single" w:sz="4" w:space="0" w:color="auto"/>
              <w:right w:val="single" w:sz="4" w:space="0" w:color="auto"/>
            </w:tcBorders>
            <w:shd w:val="clear" w:color="000000" w:fill="FFFFFF"/>
            <w:vAlign w:val="center"/>
            <w:hideMark/>
          </w:tcPr>
          <w:p w14:paraId="79C0BEE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327859,70</w:t>
            </w:r>
          </w:p>
        </w:tc>
        <w:tc>
          <w:tcPr>
            <w:tcW w:w="939" w:type="dxa"/>
            <w:tcBorders>
              <w:top w:val="nil"/>
              <w:left w:val="nil"/>
              <w:bottom w:val="single" w:sz="4" w:space="0" w:color="auto"/>
              <w:right w:val="single" w:sz="4" w:space="0" w:color="auto"/>
            </w:tcBorders>
            <w:shd w:val="clear" w:color="000000" w:fill="FFFFFF"/>
            <w:vAlign w:val="center"/>
            <w:hideMark/>
          </w:tcPr>
          <w:p w14:paraId="7268F14B"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400584,00</w:t>
            </w:r>
          </w:p>
        </w:tc>
        <w:tc>
          <w:tcPr>
            <w:tcW w:w="1172" w:type="dxa"/>
            <w:tcBorders>
              <w:top w:val="nil"/>
              <w:left w:val="nil"/>
              <w:bottom w:val="single" w:sz="4" w:space="0" w:color="auto"/>
              <w:right w:val="single" w:sz="4" w:space="0" w:color="auto"/>
            </w:tcBorders>
            <w:shd w:val="clear" w:color="000000" w:fill="FFFFFF"/>
            <w:vAlign w:val="center"/>
            <w:hideMark/>
          </w:tcPr>
          <w:p w14:paraId="3EFDC5CE"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377845,60</w:t>
            </w:r>
          </w:p>
        </w:tc>
        <w:tc>
          <w:tcPr>
            <w:tcW w:w="1021" w:type="dxa"/>
            <w:tcBorders>
              <w:top w:val="nil"/>
              <w:left w:val="nil"/>
              <w:bottom w:val="single" w:sz="4" w:space="0" w:color="auto"/>
              <w:right w:val="single" w:sz="4" w:space="0" w:color="auto"/>
            </w:tcBorders>
            <w:shd w:val="clear" w:color="000000" w:fill="FFFFFF"/>
            <w:vAlign w:val="center"/>
            <w:hideMark/>
          </w:tcPr>
          <w:p w14:paraId="289A378B"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425590,00</w:t>
            </w:r>
          </w:p>
        </w:tc>
        <w:tc>
          <w:tcPr>
            <w:tcW w:w="1172" w:type="dxa"/>
            <w:tcBorders>
              <w:top w:val="nil"/>
              <w:left w:val="nil"/>
              <w:bottom w:val="single" w:sz="4" w:space="0" w:color="auto"/>
              <w:right w:val="single" w:sz="4" w:space="0" w:color="auto"/>
            </w:tcBorders>
            <w:shd w:val="clear" w:color="000000" w:fill="FFFFFF"/>
            <w:vAlign w:val="center"/>
            <w:hideMark/>
          </w:tcPr>
          <w:p w14:paraId="3F51A2D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481052,30</w:t>
            </w:r>
          </w:p>
        </w:tc>
        <w:tc>
          <w:tcPr>
            <w:tcW w:w="929" w:type="dxa"/>
            <w:tcBorders>
              <w:top w:val="nil"/>
              <w:left w:val="nil"/>
              <w:bottom w:val="single" w:sz="4" w:space="0" w:color="auto"/>
              <w:right w:val="single" w:sz="4" w:space="0" w:color="auto"/>
            </w:tcBorders>
            <w:shd w:val="clear" w:color="000000" w:fill="FFFFFF"/>
            <w:vAlign w:val="center"/>
            <w:hideMark/>
          </w:tcPr>
          <w:p w14:paraId="39E0052B"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47744,40</w:t>
            </w:r>
          </w:p>
        </w:tc>
        <w:tc>
          <w:tcPr>
            <w:tcW w:w="939" w:type="dxa"/>
            <w:tcBorders>
              <w:top w:val="nil"/>
              <w:left w:val="nil"/>
              <w:bottom w:val="single" w:sz="4" w:space="0" w:color="auto"/>
              <w:right w:val="single" w:sz="4" w:space="0" w:color="auto"/>
            </w:tcBorders>
            <w:shd w:val="clear" w:color="000000" w:fill="FFFFFF"/>
            <w:vAlign w:val="center"/>
            <w:hideMark/>
          </w:tcPr>
          <w:p w14:paraId="623302E8"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bookmarkStart w:id="4" w:name="_Hlk196749233"/>
            <w:r w:rsidRPr="00E47AA9">
              <w:rPr>
                <w:rFonts w:ascii="Times New Roman" w:eastAsia="Times New Roman" w:hAnsi="Times New Roman" w:cs="Times New Roman"/>
                <w:sz w:val="17"/>
                <w:szCs w:val="17"/>
                <w:lang w:eastAsia="ru-RU"/>
              </w:rPr>
              <w:t>25006,00</w:t>
            </w:r>
            <w:bookmarkEnd w:id="4"/>
          </w:p>
        </w:tc>
        <w:tc>
          <w:tcPr>
            <w:tcW w:w="700" w:type="dxa"/>
            <w:tcBorders>
              <w:top w:val="nil"/>
              <w:left w:val="nil"/>
              <w:bottom w:val="single" w:sz="4" w:space="0" w:color="auto"/>
              <w:right w:val="single" w:sz="4" w:space="0" w:color="auto"/>
            </w:tcBorders>
            <w:shd w:val="clear" w:color="000000" w:fill="FFFFFF"/>
            <w:vAlign w:val="center"/>
            <w:hideMark/>
          </w:tcPr>
          <w:p w14:paraId="5A0378A3"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106,24</w:t>
            </w:r>
          </w:p>
        </w:tc>
      </w:tr>
      <w:bookmarkEnd w:id="3"/>
      <w:tr w:rsidR="00E47AA9" w:rsidRPr="00E47AA9" w14:paraId="33442BF3" w14:textId="77777777" w:rsidTr="00BB056E">
        <w:trPr>
          <w:trHeight w:val="340"/>
        </w:trPr>
        <w:tc>
          <w:tcPr>
            <w:tcW w:w="446" w:type="dxa"/>
            <w:vMerge/>
            <w:tcBorders>
              <w:top w:val="nil"/>
              <w:left w:val="single" w:sz="4" w:space="0" w:color="auto"/>
              <w:bottom w:val="single" w:sz="4" w:space="0" w:color="auto"/>
              <w:right w:val="single" w:sz="4" w:space="0" w:color="auto"/>
            </w:tcBorders>
            <w:vAlign w:val="center"/>
            <w:hideMark/>
          </w:tcPr>
          <w:p w14:paraId="480424C3"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2235" w:type="dxa"/>
            <w:tcBorders>
              <w:top w:val="nil"/>
              <w:left w:val="nil"/>
              <w:bottom w:val="single" w:sz="4" w:space="0" w:color="auto"/>
              <w:right w:val="single" w:sz="4" w:space="0" w:color="auto"/>
            </w:tcBorders>
            <w:shd w:val="clear" w:color="auto" w:fill="auto"/>
            <w:vAlign w:val="center"/>
            <w:hideMark/>
          </w:tcPr>
          <w:p w14:paraId="62032434"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Индекс физического объема инвестиций в основной капитал/ в % к предыдущему году</w:t>
            </w:r>
          </w:p>
        </w:tc>
        <w:tc>
          <w:tcPr>
            <w:tcW w:w="939" w:type="dxa"/>
            <w:tcBorders>
              <w:top w:val="nil"/>
              <w:left w:val="nil"/>
              <w:bottom w:val="single" w:sz="4" w:space="0" w:color="auto"/>
              <w:right w:val="single" w:sz="4" w:space="0" w:color="auto"/>
            </w:tcBorders>
            <w:shd w:val="clear" w:color="000000" w:fill="FFFFFF"/>
            <w:vAlign w:val="center"/>
            <w:hideMark/>
          </w:tcPr>
          <w:p w14:paraId="2D90D727"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113,10</w:t>
            </w:r>
          </w:p>
        </w:tc>
        <w:tc>
          <w:tcPr>
            <w:tcW w:w="939" w:type="dxa"/>
            <w:tcBorders>
              <w:top w:val="nil"/>
              <w:left w:val="nil"/>
              <w:bottom w:val="single" w:sz="4" w:space="0" w:color="auto"/>
              <w:right w:val="single" w:sz="4" w:space="0" w:color="auto"/>
            </w:tcBorders>
            <w:shd w:val="clear" w:color="000000" w:fill="FFFFFF"/>
            <w:vAlign w:val="center"/>
            <w:hideMark/>
          </w:tcPr>
          <w:p w14:paraId="289ABB1A"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115,00</w:t>
            </w:r>
          </w:p>
        </w:tc>
        <w:tc>
          <w:tcPr>
            <w:tcW w:w="1172" w:type="dxa"/>
            <w:tcBorders>
              <w:top w:val="nil"/>
              <w:left w:val="nil"/>
              <w:bottom w:val="single" w:sz="4" w:space="0" w:color="auto"/>
              <w:right w:val="single" w:sz="4" w:space="0" w:color="auto"/>
            </w:tcBorders>
            <w:shd w:val="clear" w:color="000000" w:fill="FFFFFF"/>
            <w:vAlign w:val="center"/>
            <w:hideMark/>
          </w:tcPr>
          <w:p w14:paraId="5308964E"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104,40</w:t>
            </w:r>
          </w:p>
        </w:tc>
        <w:tc>
          <w:tcPr>
            <w:tcW w:w="1021" w:type="dxa"/>
            <w:tcBorders>
              <w:top w:val="nil"/>
              <w:left w:val="nil"/>
              <w:bottom w:val="single" w:sz="4" w:space="0" w:color="auto"/>
              <w:right w:val="single" w:sz="4" w:space="0" w:color="auto"/>
            </w:tcBorders>
            <w:shd w:val="clear" w:color="000000" w:fill="FFFFFF"/>
            <w:vAlign w:val="center"/>
            <w:hideMark/>
          </w:tcPr>
          <w:p w14:paraId="0B7B2194"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98,20</w:t>
            </w:r>
          </w:p>
        </w:tc>
        <w:tc>
          <w:tcPr>
            <w:tcW w:w="1172" w:type="dxa"/>
            <w:tcBorders>
              <w:top w:val="nil"/>
              <w:left w:val="nil"/>
              <w:bottom w:val="single" w:sz="4" w:space="0" w:color="auto"/>
              <w:right w:val="single" w:sz="4" w:space="0" w:color="auto"/>
            </w:tcBorders>
            <w:shd w:val="clear" w:color="000000" w:fill="FFFFFF"/>
            <w:vAlign w:val="center"/>
            <w:hideMark/>
          </w:tcPr>
          <w:p w14:paraId="0DC3EC2E"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101,69</w:t>
            </w:r>
          </w:p>
        </w:tc>
        <w:tc>
          <w:tcPr>
            <w:tcW w:w="929" w:type="dxa"/>
            <w:tcBorders>
              <w:top w:val="nil"/>
              <w:left w:val="nil"/>
              <w:bottom w:val="single" w:sz="4" w:space="0" w:color="auto"/>
              <w:right w:val="single" w:sz="4" w:space="0" w:color="auto"/>
            </w:tcBorders>
            <w:shd w:val="clear" w:color="000000" w:fill="FFFFFF"/>
            <w:vAlign w:val="center"/>
            <w:hideMark/>
          </w:tcPr>
          <w:p w14:paraId="30486A24"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-6,20</w:t>
            </w:r>
          </w:p>
        </w:tc>
        <w:tc>
          <w:tcPr>
            <w:tcW w:w="939" w:type="dxa"/>
            <w:tcBorders>
              <w:top w:val="nil"/>
              <w:left w:val="nil"/>
              <w:bottom w:val="single" w:sz="4" w:space="0" w:color="auto"/>
              <w:right w:val="single" w:sz="4" w:space="0" w:color="auto"/>
            </w:tcBorders>
            <w:shd w:val="clear" w:color="000000" w:fill="FFFFFF"/>
            <w:vAlign w:val="center"/>
            <w:hideMark/>
          </w:tcPr>
          <w:p w14:paraId="651CC137"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-16,80</w:t>
            </w:r>
          </w:p>
        </w:tc>
        <w:tc>
          <w:tcPr>
            <w:tcW w:w="700" w:type="dxa"/>
            <w:tcBorders>
              <w:top w:val="nil"/>
              <w:left w:val="nil"/>
              <w:bottom w:val="single" w:sz="4" w:space="0" w:color="auto"/>
              <w:right w:val="single" w:sz="4" w:space="0" w:color="auto"/>
            </w:tcBorders>
            <w:shd w:val="clear" w:color="000000" w:fill="FFFFFF"/>
            <w:vAlign w:val="center"/>
            <w:hideMark/>
          </w:tcPr>
          <w:p w14:paraId="1B2D4887"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х</w:t>
            </w:r>
          </w:p>
        </w:tc>
      </w:tr>
      <w:tr w:rsidR="00E47AA9" w:rsidRPr="00E47AA9" w14:paraId="03599271" w14:textId="77777777" w:rsidTr="00BB056E">
        <w:trPr>
          <w:trHeight w:val="340"/>
        </w:trPr>
        <w:tc>
          <w:tcPr>
            <w:tcW w:w="446" w:type="dxa"/>
            <w:vMerge w:val="restart"/>
            <w:tcBorders>
              <w:top w:val="nil"/>
              <w:left w:val="single" w:sz="4" w:space="0" w:color="auto"/>
              <w:bottom w:val="single" w:sz="4" w:space="0" w:color="auto"/>
              <w:right w:val="single" w:sz="4" w:space="0" w:color="auto"/>
            </w:tcBorders>
            <w:shd w:val="clear" w:color="auto" w:fill="auto"/>
            <w:vAlign w:val="center"/>
            <w:hideMark/>
          </w:tcPr>
          <w:p w14:paraId="5956D900"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6.</w:t>
            </w:r>
          </w:p>
        </w:tc>
        <w:tc>
          <w:tcPr>
            <w:tcW w:w="2235" w:type="dxa"/>
            <w:tcBorders>
              <w:top w:val="nil"/>
              <w:left w:val="nil"/>
              <w:bottom w:val="single" w:sz="4" w:space="0" w:color="auto"/>
              <w:right w:val="single" w:sz="4" w:space="0" w:color="auto"/>
            </w:tcBorders>
            <w:shd w:val="clear" w:color="auto" w:fill="auto"/>
            <w:vAlign w:val="center"/>
            <w:hideMark/>
          </w:tcPr>
          <w:p w14:paraId="73CFB907"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Оборот розничной торговли</w:t>
            </w:r>
          </w:p>
        </w:tc>
        <w:tc>
          <w:tcPr>
            <w:tcW w:w="939" w:type="dxa"/>
            <w:tcBorders>
              <w:top w:val="single" w:sz="4" w:space="0" w:color="auto"/>
              <w:left w:val="nil"/>
              <w:bottom w:val="single" w:sz="4" w:space="0" w:color="auto"/>
              <w:right w:val="single" w:sz="4" w:space="0" w:color="auto"/>
            </w:tcBorders>
            <w:shd w:val="clear" w:color="000000" w:fill="FFFFFF"/>
            <w:noWrap/>
            <w:vAlign w:val="bottom"/>
            <w:hideMark/>
          </w:tcPr>
          <w:p w14:paraId="02FA2E31" w14:textId="77777777" w:rsidR="006C5C47" w:rsidRPr="00E47AA9" w:rsidRDefault="006C5C47" w:rsidP="00F77241">
            <w:pPr>
              <w:spacing w:after="0" w:line="240" w:lineRule="auto"/>
              <w:rPr>
                <w:rFonts w:ascii="Calibri" w:eastAsia="Times New Roman" w:hAnsi="Calibri" w:cs="Calibri"/>
                <w:sz w:val="17"/>
                <w:szCs w:val="17"/>
                <w:lang w:eastAsia="ru-RU"/>
              </w:rPr>
            </w:pPr>
            <w:r w:rsidRPr="00E47AA9">
              <w:rPr>
                <w:rFonts w:ascii="Calibri" w:eastAsia="Times New Roman" w:hAnsi="Calibri" w:cs="Calibri"/>
                <w:sz w:val="17"/>
                <w:szCs w:val="17"/>
                <w:lang w:eastAsia="ru-RU"/>
              </w:rPr>
              <w:t> </w:t>
            </w:r>
          </w:p>
        </w:tc>
        <w:tc>
          <w:tcPr>
            <w:tcW w:w="939" w:type="dxa"/>
            <w:tcBorders>
              <w:top w:val="single" w:sz="4" w:space="0" w:color="auto"/>
              <w:left w:val="single" w:sz="4" w:space="0" w:color="auto"/>
              <w:bottom w:val="single" w:sz="4" w:space="0" w:color="auto"/>
              <w:right w:val="nil"/>
            </w:tcBorders>
            <w:shd w:val="clear" w:color="000000" w:fill="FFFFFF"/>
            <w:noWrap/>
            <w:vAlign w:val="bottom"/>
            <w:hideMark/>
          </w:tcPr>
          <w:p w14:paraId="52CACFF6" w14:textId="77777777" w:rsidR="006C5C47" w:rsidRPr="00E47AA9" w:rsidRDefault="006C5C47" w:rsidP="00F77241">
            <w:pPr>
              <w:spacing w:after="0" w:line="240" w:lineRule="auto"/>
              <w:rPr>
                <w:rFonts w:ascii="Calibri" w:eastAsia="Times New Roman" w:hAnsi="Calibri" w:cs="Calibri"/>
                <w:sz w:val="17"/>
                <w:szCs w:val="17"/>
                <w:lang w:eastAsia="ru-RU"/>
              </w:rPr>
            </w:pPr>
            <w:r w:rsidRPr="00E47AA9">
              <w:rPr>
                <w:rFonts w:ascii="Calibri" w:eastAsia="Times New Roman" w:hAnsi="Calibri" w:cs="Calibri"/>
                <w:sz w:val="17"/>
                <w:szCs w:val="17"/>
                <w:lang w:eastAsia="ru-RU"/>
              </w:rPr>
              <w:t> </w:t>
            </w:r>
          </w:p>
        </w:tc>
        <w:tc>
          <w:tcPr>
            <w:tcW w:w="1172" w:type="dxa"/>
            <w:tcBorders>
              <w:top w:val="nil"/>
              <w:left w:val="single" w:sz="4" w:space="0" w:color="auto"/>
              <w:bottom w:val="single" w:sz="4" w:space="0" w:color="auto"/>
              <w:right w:val="single" w:sz="4" w:space="0" w:color="auto"/>
            </w:tcBorders>
            <w:shd w:val="clear" w:color="000000" w:fill="FFFFFF"/>
            <w:vAlign w:val="center"/>
            <w:hideMark/>
          </w:tcPr>
          <w:p w14:paraId="4998F91E"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1021" w:type="dxa"/>
            <w:tcBorders>
              <w:top w:val="nil"/>
              <w:left w:val="nil"/>
              <w:bottom w:val="single" w:sz="4" w:space="0" w:color="auto"/>
              <w:right w:val="single" w:sz="4" w:space="0" w:color="auto"/>
            </w:tcBorders>
            <w:shd w:val="clear" w:color="000000" w:fill="FFFFFF"/>
            <w:vAlign w:val="center"/>
            <w:hideMark/>
          </w:tcPr>
          <w:p w14:paraId="0C99E232"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1172" w:type="dxa"/>
            <w:tcBorders>
              <w:top w:val="nil"/>
              <w:left w:val="nil"/>
              <w:bottom w:val="single" w:sz="4" w:space="0" w:color="auto"/>
              <w:right w:val="single" w:sz="4" w:space="0" w:color="auto"/>
            </w:tcBorders>
            <w:shd w:val="clear" w:color="000000" w:fill="FFFFFF"/>
            <w:vAlign w:val="center"/>
            <w:hideMark/>
          </w:tcPr>
          <w:p w14:paraId="06875A08"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929" w:type="dxa"/>
            <w:tcBorders>
              <w:top w:val="nil"/>
              <w:left w:val="nil"/>
              <w:bottom w:val="single" w:sz="4" w:space="0" w:color="auto"/>
              <w:right w:val="single" w:sz="4" w:space="0" w:color="auto"/>
            </w:tcBorders>
            <w:shd w:val="clear" w:color="000000" w:fill="FFFFFF"/>
            <w:vAlign w:val="center"/>
            <w:hideMark/>
          </w:tcPr>
          <w:p w14:paraId="11958B6C"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939" w:type="dxa"/>
            <w:tcBorders>
              <w:top w:val="nil"/>
              <w:left w:val="nil"/>
              <w:bottom w:val="single" w:sz="4" w:space="0" w:color="auto"/>
              <w:right w:val="single" w:sz="4" w:space="0" w:color="auto"/>
            </w:tcBorders>
            <w:shd w:val="clear" w:color="000000" w:fill="FFFFFF"/>
            <w:vAlign w:val="center"/>
            <w:hideMark/>
          </w:tcPr>
          <w:p w14:paraId="31126FA6"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700" w:type="dxa"/>
            <w:tcBorders>
              <w:top w:val="nil"/>
              <w:left w:val="nil"/>
              <w:bottom w:val="single" w:sz="4" w:space="0" w:color="auto"/>
              <w:right w:val="single" w:sz="4" w:space="0" w:color="auto"/>
            </w:tcBorders>
            <w:shd w:val="clear" w:color="000000" w:fill="FFFFFF"/>
            <w:vAlign w:val="center"/>
            <w:hideMark/>
          </w:tcPr>
          <w:p w14:paraId="2B51FCBC"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r>
      <w:tr w:rsidR="00E47AA9" w:rsidRPr="00E47AA9" w14:paraId="48609D1D" w14:textId="77777777" w:rsidTr="00BB056E">
        <w:trPr>
          <w:trHeight w:val="340"/>
        </w:trPr>
        <w:tc>
          <w:tcPr>
            <w:tcW w:w="446" w:type="dxa"/>
            <w:vMerge/>
            <w:tcBorders>
              <w:top w:val="nil"/>
              <w:left w:val="single" w:sz="4" w:space="0" w:color="auto"/>
              <w:bottom w:val="single" w:sz="4" w:space="0" w:color="auto"/>
              <w:right w:val="single" w:sz="4" w:space="0" w:color="auto"/>
            </w:tcBorders>
            <w:vAlign w:val="center"/>
            <w:hideMark/>
          </w:tcPr>
          <w:p w14:paraId="1E5399DF"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2235" w:type="dxa"/>
            <w:tcBorders>
              <w:top w:val="nil"/>
              <w:left w:val="nil"/>
              <w:bottom w:val="single" w:sz="4" w:space="0" w:color="auto"/>
              <w:right w:val="single" w:sz="4" w:space="0" w:color="auto"/>
            </w:tcBorders>
            <w:shd w:val="clear" w:color="auto" w:fill="auto"/>
            <w:vAlign w:val="center"/>
            <w:hideMark/>
          </w:tcPr>
          <w:p w14:paraId="0842C8EC"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млн рублей</w:t>
            </w:r>
          </w:p>
        </w:tc>
        <w:tc>
          <w:tcPr>
            <w:tcW w:w="939" w:type="dxa"/>
            <w:tcBorders>
              <w:top w:val="single" w:sz="4" w:space="0" w:color="auto"/>
              <w:left w:val="nil"/>
              <w:bottom w:val="single" w:sz="4" w:space="0" w:color="auto"/>
              <w:right w:val="single" w:sz="4" w:space="0" w:color="auto"/>
            </w:tcBorders>
            <w:shd w:val="clear" w:color="000000" w:fill="FFFFFF"/>
            <w:vAlign w:val="center"/>
            <w:hideMark/>
          </w:tcPr>
          <w:p w14:paraId="0522AF1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587608,80</w:t>
            </w:r>
          </w:p>
        </w:tc>
        <w:tc>
          <w:tcPr>
            <w:tcW w:w="939" w:type="dxa"/>
            <w:tcBorders>
              <w:top w:val="single" w:sz="4" w:space="0" w:color="auto"/>
              <w:left w:val="nil"/>
              <w:bottom w:val="single" w:sz="4" w:space="0" w:color="auto"/>
              <w:right w:val="single" w:sz="4" w:space="0" w:color="auto"/>
            </w:tcBorders>
            <w:shd w:val="clear" w:color="000000" w:fill="FFFFFF"/>
            <w:vAlign w:val="center"/>
            <w:hideMark/>
          </w:tcPr>
          <w:p w14:paraId="1EA40FC0"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bookmarkStart w:id="5" w:name="_Hlk196749326"/>
            <w:r w:rsidRPr="00E47AA9">
              <w:rPr>
                <w:rFonts w:ascii="Times New Roman" w:eastAsia="Times New Roman" w:hAnsi="Times New Roman" w:cs="Times New Roman"/>
                <w:sz w:val="17"/>
                <w:szCs w:val="17"/>
                <w:lang w:eastAsia="ru-RU"/>
              </w:rPr>
              <w:t>646505,50</w:t>
            </w:r>
            <w:bookmarkEnd w:id="5"/>
          </w:p>
        </w:tc>
        <w:tc>
          <w:tcPr>
            <w:tcW w:w="1172" w:type="dxa"/>
            <w:tcBorders>
              <w:top w:val="nil"/>
              <w:left w:val="nil"/>
              <w:bottom w:val="single" w:sz="4" w:space="0" w:color="auto"/>
              <w:right w:val="single" w:sz="4" w:space="0" w:color="auto"/>
            </w:tcBorders>
            <w:shd w:val="clear" w:color="000000" w:fill="FFFFFF"/>
            <w:vAlign w:val="center"/>
            <w:hideMark/>
          </w:tcPr>
          <w:p w14:paraId="16FCFF0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733083,30</w:t>
            </w:r>
          </w:p>
        </w:tc>
        <w:tc>
          <w:tcPr>
            <w:tcW w:w="1021" w:type="dxa"/>
            <w:tcBorders>
              <w:top w:val="nil"/>
              <w:left w:val="nil"/>
              <w:bottom w:val="single" w:sz="4" w:space="0" w:color="auto"/>
              <w:right w:val="single" w:sz="4" w:space="0" w:color="auto"/>
            </w:tcBorders>
            <w:shd w:val="clear" w:color="000000" w:fill="FFFFFF"/>
            <w:vAlign w:val="center"/>
            <w:hideMark/>
          </w:tcPr>
          <w:p w14:paraId="02D0BE4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767250,80</w:t>
            </w:r>
          </w:p>
        </w:tc>
        <w:tc>
          <w:tcPr>
            <w:tcW w:w="1172" w:type="dxa"/>
            <w:tcBorders>
              <w:top w:val="nil"/>
              <w:left w:val="nil"/>
              <w:bottom w:val="single" w:sz="4" w:space="0" w:color="auto"/>
              <w:right w:val="single" w:sz="4" w:space="0" w:color="auto"/>
            </w:tcBorders>
            <w:shd w:val="clear" w:color="000000" w:fill="FFFFFF"/>
            <w:vAlign w:val="center"/>
            <w:hideMark/>
          </w:tcPr>
          <w:p w14:paraId="1D20AAF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791382,00</w:t>
            </w:r>
          </w:p>
        </w:tc>
        <w:tc>
          <w:tcPr>
            <w:tcW w:w="929" w:type="dxa"/>
            <w:tcBorders>
              <w:top w:val="nil"/>
              <w:left w:val="nil"/>
              <w:bottom w:val="single" w:sz="4" w:space="0" w:color="auto"/>
              <w:right w:val="single" w:sz="4" w:space="0" w:color="auto"/>
            </w:tcBorders>
            <w:shd w:val="clear" w:color="000000" w:fill="FFFFFF"/>
            <w:vAlign w:val="center"/>
            <w:hideMark/>
          </w:tcPr>
          <w:p w14:paraId="094BCBA2"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34167,50</w:t>
            </w:r>
          </w:p>
        </w:tc>
        <w:tc>
          <w:tcPr>
            <w:tcW w:w="939" w:type="dxa"/>
            <w:tcBorders>
              <w:top w:val="nil"/>
              <w:left w:val="nil"/>
              <w:bottom w:val="single" w:sz="4" w:space="0" w:color="auto"/>
              <w:right w:val="single" w:sz="4" w:space="0" w:color="auto"/>
            </w:tcBorders>
            <w:shd w:val="clear" w:color="000000" w:fill="FFFFFF"/>
            <w:vAlign w:val="center"/>
            <w:hideMark/>
          </w:tcPr>
          <w:p w14:paraId="3BCFC0AC"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bookmarkStart w:id="6" w:name="_Hlk196749293"/>
            <w:r w:rsidRPr="00E47AA9">
              <w:rPr>
                <w:rFonts w:ascii="Times New Roman" w:eastAsia="Times New Roman" w:hAnsi="Times New Roman" w:cs="Times New Roman"/>
                <w:sz w:val="17"/>
                <w:szCs w:val="17"/>
                <w:lang w:eastAsia="ru-RU"/>
              </w:rPr>
              <w:t>120745,30</w:t>
            </w:r>
            <w:bookmarkEnd w:id="6"/>
          </w:p>
        </w:tc>
        <w:tc>
          <w:tcPr>
            <w:tcW w:w="700" w:type="dxa"/>
            <w:tcBorders>
              <w:top w:val="nil"/>
              <w:left w:val="nil"/>
              <w:bottom w:val="single" w:sz="4" w:space="0" w:color="auto"/>
              <w:right w:val="single" w:sz="4" w:space="0" w:color="auto"/>
            </w:tcBorders>
            <w:shd w:val="clear" w:color="000000" w:fill="FFFFFF"/>
            <w:vAlign w:val="center"/>
            <w:hideMark/>
          </w:tcPr>
          <w:p w14:paraId="2C1F5084"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118,68</w:t>
            </w:r>
          </w:p>
        </w:tc>
      </w:tr>
      <w:tr w:rsidR="00E47AA9" w:rsidRPr="00E47AA9" w14:paraId="79CF3B32" w14:textId="77777777" w:rsidTr="00BB056E">
        <w:trPr>
          <w:trHeight w:val="340"/>
        </w:trPr>
        <w:tc>
          <w:tcPr>
            <w:tcW w:w="446" w:type="dxa"/>
            <w:vMerge/>
            <w:tcBorders>
              <w:top w:val="nil"/>
              <w:left w:val="single" w:sz="4" w:space="0" w:color="auto"/>
              <w:bottom w:val="single" w:sz="4" w:space="0" w:color="auto"/>
              <w:right w:val="single" w:sz="4" w:space="0" w:color="auto"/>
            </w:tcBorders>
            <w:vAlign w:val="center"/>
            <w:hideMark/>
          </w:tcPr>
          <w:p w14:paraId="3D782E1D"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2235" w:type="dxa"/>
            <w:tcBorders>
              <w:top w:val="nil"/>
              <w:left w:val="nil"/>
              <w:bottom w:val="single" w:sz="4" w:space="0" w:color="auto"/>
              <w:right w:val="single" w:sz="4" w:space="0" w:color="auto"/>
            </w:tcBorders>
            <w:shd w:val="clear" w:color="auto" w:fill="auto"/>
            <w:vAlign w:val="center"/>
            <w:hideMark/>
          </w:tcPr>
          <w:p w14:paraId="468DDA70"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в % к предыдущему году</w:t>
            </w:r>
          </w:p>
        </w:tc>
        <w:tc>
          <w:tcPr>
            <w:tcW w:w="939" w:type="dxa"/>
            <w:tcBorders>
              <w:top w:val="nil"/>
              <w:left w:val="nil"/>
              <w:bottom w:val="single" w:sz="4" w:space="0" w:color="auto"/>
              <w:right w:val="single" w:sz="4" w:space="0" w:color="auto"/>
            </w:tcBorders>
            <w:shd w:val="clear" w:color="000000" w:fill="FFFFFF"/>
            <w:vAlign w:val="center"/>
            <w:hideMark/>
          </w:tcPr>
          <w:p w14:paraId="4B01D49A"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101,20</w:t>
            </w:r>
          </w:p>
        </w:tc>
        <w:tc>
          <w:tcPr>
            <w:tcW w:w="939" w:type="dxa"/>
            <w:tcBorders>
              <w:top w:val="nil"/>
              <w:left w:val="nil"/>
              <w:bottom w:val="single" w:sz="4" w:space="0" w:color="auto"/>
              <w:right w:val="single" w:sz="4" w:space="0" w:color="auto"/>
            </w:tcBorders>
            <w:shd w:val="clear" w:color="000000" w:fill="FFFFFF"/>
            <w:vAlign w:val="center"/>
            <w:hideMark/>
          </w:tcPr>
          <w:p w14:paraId="2045F096"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104,00</w:t>
            </w:r>
          </w:p>
        </w:tc>
        <w:tc>
          <w:tcPr>
            <w:tcW w:w="1172" w:type="dxa"/>
            <w:tcBorders>
              <w:top w:val="nil"/>
              <w:left w:val="nil"/>
              <w:bottom w:val="single" w:sz="4" w:space="0" w:color="auto"/>
              <w:right w:val="single" w:sz="4" w:space="0" w:color="auto"/>
            </w:tcBorders>
            <w:shd w:val="clear" w:color="000000" w:fill="FFFFFF"/>
            <w:vAlign w:val="center"/>
            <w:hideMark/>
          </w:tcPr>
          <w:p w14:paraId="362B7FC3"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104,00</w:t>
            </w:r>
          </w:p>
        </w:tc>
        <w:tc>
          <w:tcPr>
            <w:tcW w:w="1021" w:type="dxa"/>
            <w:tcBorders>
              <w:top w:val="nil"/>
              <w:left w:val="nil"/>
              <w:bottom w:val="single" w:sz="4" w:space="0" w:color="auto"/>
              <w:right w:val="single" w:sz="4" w:space="0" w:color="auto"/>
            </w:tcBorders>
            <w:shd w:val="clear" w:color="000000" w:fill="FFFFFF"/>
            <w:vAlign w:val="center"/>
            <w:hideMark/>
          </w:tcPr>
          <w:p w14:paraId="3DD12A7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108,70</w:t>
            </w:r>
          </w:p>
        </w:tc>
        <w:tc>
          <w:tcPr>
            <w:tcW w:w="1172" w:type="dxa"/>
            <w:tcBorders>
              <w:top w:val="nil"/>
              <w:left w:val="nil"/>
              <w:bottom w:val="single" w:sz="4" w:space="0" w:color="auto"/>
              <w:right w:val="single" w:sz="4" w:space="0" w:color="auto"/>
            </w:tcBorders>
            <w:shd w:val="clear" w:color="000000" w:fill="FFFFFF"/>
            <w:vAlign w:val="center"/>
            <w:hideMark/>
          </w:tcPr>
          <w:p w14:paraId="1C55F94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103,80</w:t>
            </w:r>
          </w:p>
        </w:tc>
        <w:tc>
          <w:tcPr>
            <w:tcW w:w="929" w:type="dxa"/>
            <w:tcBorders>
              <w:top w:val="nil"/>
              <w:left w:val="nil"/>
              <w:bottom w:val="single" w:sz="4" w:space="0" w:color="auto"/>
              <w:right w:val="single" w:sz="4" w:space="0" w:color="auto"/>
            </w:tcBorders>
            <w:shd w:val="clear" w:color="000000" w:fill="FFFFFF"/>
            <w:vAlign w:val="center"/>
            <w:hideMark/>
          </w:tcPr>
          <w:p w14:paraId="29491CE5"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4,70</w:t>
            </w:r>
          </w:p>
        </w:tc>
        <w:tc>
          <w:tcPr>
            <w:tcW w:w="939" w:type="dxa"/>
            <w:tcBorders>
              <w:top w:val="nil"/>
              <w:left w:val="nil"/>
              <w:bottom w:val="single" w:sz="4" w:space="0" w:color="auto"/>
              <w:right w:val="single" w:sz="4" w:space="0" w:color="auto"/>
            </w:tcBorders>
            <w:shd w:val="clear" w:color="000000" w:fill="FFFFFF"/>
            <w:vAlign w:val="center"/>
            <w:hideMark/>
          </w:tcPr>
          <w:p w14:paraId="74E63995"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4,70</w:t>
            </w:r>
          </w:p>
        </w:tc>
        <w:tc>
          <w:tcPr>
            <w:tcW w:w="700" w:type="dxa"/>
            <w:tcBorders>
              <w:top w:val="nil"/>
              <w:left w:val="nil"/>
              <w:bottom w:val="single" w:sz="4" w:space="0" w:color="auto"/>
              <w:right w:val="single" w:sz="4" w:space="0" w:color="auto"/>
            </w:tcBorders>
            <w:shd w:val="clear" w:color="000000" w:fill="FFFFFF"/>
            <w:vAlign w:val="center"/>
            <w:hideMark/>
          </w:tcPr>
          <w:p w14:paraId="3F3BF267"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х</w:t>
            </w:r>
          </w:p>
        </w:tc>
      </w:tr>
      <w:tr w:rsidR="00E47AA9" w:rsidRPr="00E47AA9" w14:paraId="6BA92D85" w14:textId="77777777" w:rsidTr="00BB056E">
        <w:trPr>
          <w:trHeight w:val="340"/>
        </w:trPr>
        <w:tc>
          <w:tcPr>
            <w:tcW w:w="446" w:type="dxa"/>
            <w:vMerge w:val="restart"/>
            <w:tcBorders>
              <w:top w:val="nil"/>
              <w:left w:val="single" w:sz="4" w:space="0" w:color="auto"/>
              <w:bottom w:val="single" w:sz="4" w:space="0" w:color="auto"/>
              <w:right w:val="single" w:sz="4" w:space="0" w:color="auto"/>
            </w:tcBorders>
            <w:shd w:val="clear" w:color="auto" w:fill="auto"/>
            <w:vAlign w:val="center"/>
            <w:hideMark/>
          </w:tcPr>
          <w:p w14:paraId="1E1EEEF1"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7.</w:t>
            </w:r>
          </w:p>
        </w:tc>
        <w:tc>
          <w:tcPr>
            <w:tcW w:w="2235" w:type="dxa"/>
            <w:tcBorders>
              <w:top w:val="nil"/>
              <w:left w:val="nil"/>
              <w:bottom w:val="single" w:sz="4" w:space="0" w:color="auto"/>
              <w:right w:val="single" w:sz="4" w:space="0" w:color="auto"/>
            </w:tcBorders>
            <w:shd w:val="clear" w:color="auto" w:fill="auto"/>
            <w:vAlign w:val="center"/>
            <w:hideMark/>
          </w:tcPr>
          <w:p w14:paraId="23C15E1B"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Объем платных услуг населению</w:t>
            </w:r>
          </w:p>
        </w:tc>
        <w:tc>
          <w:tcPr>
            <w:tcW w:w="939" w:type="dxa"/>
            <w:tcBorders>
              <w:top w:val="nil"/>
              <w:left w:val="nil"/>
              <w:bottom w:val="single" w:sz="4" w:space="0" w:color="auto"/>
              <w:right w:val="single" w:sz="4" w:space="0" w:color="auto"/>
            </w:tcBorders>
            <w:shd w:val="clear" w:color="000000" w:fill="FFFFFF"/>
            <w:vAlign w:val="center"/>
            <w:hideMark/>
          </w:tcPr>
          <w:p w14:paraId="4C440162"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939" w:type="dxa"/>
            <w:tcBorders>
              <w:top w:val="nil"/>
              <w:left w:val="nil"/>
              <w:bottom w:val="single" w:sz="4" w:space="0" w:color="auto"/>
              <w:right w:val="single" w:sz="4" w:space="0" w:color="auto"/>
            </w:tcBorders>
            <w:shd w:val="clear" w:color="000000" w:fill="FFFFFF"/>
            <w:vAlign w:val="center"/>
            <w:hideMark/>
          </w:tcPr>
          <w:p w14:paraId="67F5E2B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1172" w:type="dxa"/>
            <w:tcBorders>
              <w:top w:val="nil"/>
              <w:left w:val="nil"/>
              <w:bottom w:val="single" w:sz="4" w:space="0" w:color="auto"/>
              <w:right w:val="single" w:sz="4" w:space="0" w:color="auto"/>
            </w:tcBorders>
            <w:shd w:val="clear" w:color="000000" w:fill="FFFFFF"/>
            <w:vAlign w:val="center"/>
            <w:hideMark/>
          </w:tcPr>
          <w:p w14:paraId="5F069530"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1021" w:type="dxa"/>
            <w:tcBorders>
              <w:top w:val="nil"/>
              <w:left w:val="nil"/>
              <w:bottom w:val="single" w:sz="4" w:space="0" w:color="auto"/>
              <w:right w:val="single" w:sz="4" w:space="0" w:color="auto"/>
            </w:tcBorders>
            <w:shd w:val="clear" w:color="000000" w:fill="FFFFFF"/>
            <w:vAlign w:val="center"/>
            <w:hideMark/>
          </w:tcPr>
          <w:p w14:paraId="1A963A1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1172" w:type="dxa"/>
            <w:tcBorders>
              <w:top w:val="nil"/>
              <w:left w:val="nil"/>
              <w:bottom w:val="single" w:sz="4" w:space="0" w:color="auto"/>
              <w:right w:val="single" w:sz="4" w:space="0" w:color="auto"/>
            </w:tcBorders>
            <w:shd w:val="clear" w:color="000000" w:fill="FFFFFF"/>
            <w:vAlign w:val="center"/>
            <w:hideMark/>
          </w:tcPr>
          <w:p w14:paraId="103E59AC"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929" w:type="dxa"/>
            <w:tcBorders>
              <w:top w:val="nil"/>
              <w:left w:val="nil"/>
              <w:bottom w:val="single" w:sz="4" w:space="0" w:color="auto"/>
              <w:right w:val="single" w:sz="4" w:space="0" w:color="auto"/>
            </w:tcBorders>
            <w:shd w:val="clear" w:color="000000" w:fill="FFFFFF"/>
            <w:vAlign w:val="center"/>
            <w:hideMark/>
          </w:tcPr>
          <w:p w14:paraId="4302D78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939" w:type="dxa"/>
            <w:tcBorders>
              <w:top w:val="nil"/>
              <w:left w:val="nil"/>
              <w:bottom w:val="single" w:sz="4" w:space="0" w:color="auto"/>
              <w:right w:val="single" w:sz="4" w:space="0" w:color="auto"/>
            </w:tcBorders>
            <w:shd w:val="clear" w:color="000000" w:fill="FFFFFF"/>
            <w:vAlign w:val="center"/>
            <w:hideMark/>
          </w:tcPr>
          <w:p w14:paraId="5F12364B"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700" w:type="dxa"/>
            <w:tcBorders>
              <w:top w:val="nil"/>
              <w:left w:val="nil"/>
              <w:bottom w:val="single" w:sz="4" w:space="0" w:color="auto"/>
              <w:right w:val="single" w:sz="4" w:space="0" w:color="auto"/>
            </w:tcBorders>
            <w:shd w:val="clear" w:color="000000" w:fill="FFFFFF"/>
            <w:vAlign w:val="center"/>
            <w:hideMark/>
          </w:tcPr>
          <w:p w14:paraId="58B9D18F"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r>
      <w:tr w:rsidR="00E47AA9" w:rsidRPr="00E47AA9" w14:paraId="34951F5B" w14:textId="77777777" w:rsidTr="00BB056E">
        <w:trPr>
          <w:trHeight w:val="340"/>
        </w:trPr>
        <w:tc>
          <w:tcPr>
            <w:tcW w:w="446" w:type="dxa"/>
            <w:vMerge/>
            <w:tcBorders>
              <w:top w:val="nil"/>
              <w:left w:val="single" w:sz="4" w:space="0" w:color="auto"/>
              <w:bottom w:val="single" w:sz="4" w:space="0" w:color="auto"/>
              <w:right w:val="single" w:sz="4" w:space="0" w:color="auto"/>
            </w:tcBorders>
            <w:vAlign w:val="center"/>
            <w:hideMark/>
          </w:tcPr>
          <w:p w14:paraId="54442799"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bookmarkStart w:id="7" w:name="_Hlk196749377"/>
          </w:p>
        </w:tc>
        <w:tc>
          <w:tcPr>
            <w:tcW w:w="2235" w:type="dxa"/>
            <w:tcBorders>
              <w:top w:val="nil"/>
              <w:left w:val="nil"/>
              <w:bottom w:val="single" w:sz="4" w:space="0" w:color="auto"/>
              <w:right w:val="single" w:sz="4" w:space="0" w:color="auto"/>
            </w:tcBorders>
            <w:shd w:val="clear" w:color="auto" w:fill="auto"/>
            <w:vAlign w:val="center"/>
            <w:hideMark/>
          </w:tcPr>
          <w:p w14:paraId="55B00228"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xml:space="preserve"> млн рублей</w:t>
            </w:r>
          </w:p>
        </w:tc>
        <w:tc>
          <w:tcPr>
            <w:tcW w:w="939" w:type="dxa"/>
            <w:tcBorders>
              <w:top w:val="nil"/>
              <w:left w:val="nil"/>
              <w:bottom w:val="single" w:sz="4" w:space="0" w:color="auto"/>
              <w:right w:val="single" w:sz="4" w:space="0" w:color="auto"/>
            </w:tcBorders>
            <w:shd w:val="clear" w:color="000000" w:fill="FFFFFF"/>
            <w:vAlign w:val="center"/>
            <w:hideMark/>
          </w:tcPr>
          <w:p w14:paraId="5C4F8FBF"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188705,10</w:t>
            </w:r>
          </w:p>
        </w:tc>
        <w:tc>
          <w:tcPr>
            <w:tcW w:w="939" w:type="dxa"/>
            <w:tcBorders>
              <w:top w:val="nil"/>
              <w:left w:val="nil"/>
              <w:bottom w:val="single" w:sz="4" w:space="0" w:color="auto"/>
              <w:right w:val="single" w:sz="4" w:space="0" w:color="auto"/>
            </w:tcBorders>
            <w:shd w:val="clear" w:color="000000" w:fill="FFFFFF"/>
            <w:vAlign w:val="center"/>
            <w:hideMark/>
          </w:tcPr>
          <w:p w14:paraId="734A7CB5"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210225,20</w:t>
            </w:r>
          </w:p>
        </w:tc>
        <w:tc>
          <w:tcPr>
            <w:tcW w:w="1172" w:type="dxa"/>
            <w:tcBorders>
              <w:top w:val="nil"/>
              <w:left w:val="nil"/>
              <w:bottom w:val="single" w:sz="4" w:space="0" w:color="auto"/>
              <w:right w:val="single" w:sz="4" w:space="0" w:color="auto"/>
            </w:tcBorders>
            <w:shd w:val="clear" w:color="000000" w:fill="FFFFFF"/>
            <w:vAlign w:val="center"/>
            <w:hideMark/>
          </w:tcPr>
          <w:p w14:paraId="0B9F224B"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238067,70</w:t>
            </w:r>
          </w:p>
        </w:tc>
        <w:tc>
          <w:tcPr>
            <w:tcW w:w="1021" w:type="dxa"/>
            <w:tcBorders>
              <w:top w:val="nil"/>
              <w:left w:val="nil"/>
              <w:bottom w:val="single" w:sz="4" w:space="0" w:color="auto"/>
              <w:right w:val="single" w:sz="4" w:space="0" w:color="auto"/>
            </w:tcBorders>
            <w:shd w:val="clear" w:color="000000" w:fill="FFFFFF"/>
            <w:vAlign w:val="center"/>
            <w:hideMark/>
          </w:tcPr>
          <w:p w14:paraId="72F3588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238439,50</w:t>
            </w:r>
          </w:p>
        </w:tc>
        <w:tc>
          <w:tcPr>
            <w:tcW w:w="1172" w:type="dxa"/>
            <w:tcBorders>
              <w:top w:val="nil"/>
              <w:left w:val="nil"/>
              <w:bottom w:val="single" w:sz="4" w:space="0" w:color="auto"/>
              <w:right w:val="single" w:sz="4" w:space="0" w:color="auto"/>
            </w:tcBorders>
            <w:shd w:val="clear" w:color="000000" w:fill="FFFFFF"/>
            <w:vAlign w:val="center"/>
            <w:hideMark/>
          </w:tcPr>
          <w:p w14:paraId="7C975514"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259355,70</w:t>
            </w:r>
          </w:p>
        </w:tc>
        <w:tc>
          <w:tcPr>
            <w:tcW w:w="929" w:type="dxa"/>
            <w:tcBorders>
              <w:top w:val="nil"/>
              <w:left w:val="nil"/>
              <w:bottom w:val="single" w:sz="4" w:space="0" w:color="auto"/>
              <w:right w:val="single" w:sz="4" w:space="0" w:color="auto"/>
            </w:tcBorders>
            <w:shd w:val="clear" w:color="000000" w:fill="FFFFFF"/>
            <w:vAlign w:val="center"/>
            <w:hideMark/>
          </w:tcPr>
          <w:p w14:paraId="54A7E92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371,80</w:t>
            </w:r>
          </w:p>
        </w:tc>
        <w:tc>
          <w:tcPr>
            <w:tcW w:w="939" w:type="dxa"/>
            <w:tcBorders>
              <w:top w:val="nil"/>
              <w:left w:val="nil"/>
              <w:bottom w:val="single" w:sz="4" w:space="0" w:color="auto"/>
              <w:right w:val="single" w:sz="4" w:space="0" w:color="auto"/>
            </w:tcBorders>
            <w:shd w:val="clear" w:color="000000" w:fill="FFFFFF"/>
            <w:vAlign w:val="center"/>
            <w:hideMark/>
          </w:tcPr>
          <w:p w14:paraId="48A89E57"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bookmarkStart w:id="8" w:name="_Hlk196749346"/>
            <w:r w:rsidRPr="00E47AA9">
              <w:rPr>
                <w:rFonts w:ascii="Times New Roman" w:eastAsia="Times New Roman" w:hAnsi="Times New Roman" w:cs="Times New Roman"/>
                <w:sz w:val="17"/>
                <w:szCs w:val="17"/>
                <w:lang w:eastAsia="ru-RU"/>
              </w:rPr>
              <w:t>28214,30</w:t>
            </w:r>
            <w:bookmarkEnd w:id="8"/>
          </w:p>
        </w:tc>
        <w:tc>
          <w:tcPr>
            <w:tcW w:w="700" w:type="dxa"/>
            <w:tcBorders>
              <w:top w:val="nil"/>
              <w:left w:val="nil"/>
              <w:bottom w:val="single" w:sz="4" w:space="0" w:color="auto"/>
              <w:right w:val="single" w:sz="4" w:space="0" w:color="auto"/>
            </w:tcBorders>
            <w:shd w:val="clear" w:color="000000" w:fill="FFFFFF"/>
            <w:vAlign w:val="center"/>
            <w:hideMark/>
          </w:tcPr>
          <w:p w14:paraId="07CF3E4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113,42</w:t>
            </w:r>
          </w:p>
        </w:tc>
      </w:tr>
      <w:bookmarkEnd w:id="7"/>
      <w:tr w:rsidR="00E47AA9" w:rsidRPr="00E47AA9" w14:paraId="22EF4728" w14:textId="77777777" w:rsidTr="00BB056E">
        <w:trPr>
          <w:trHeight w:val="340"/>
        </w:trPr>
        <w:tc>
          <w:tcPr>
            <w:tcW w:w="446" w:type="dxa"/>
            <w:vMerge/>
            <w:tcBorders>
              <w:top w:val="nil"/>
              <w:left w:val="single" w:sz="4" w:space="0" w:color="auto"/>
              <w:bottom w:val="single" w:sz="4" w:space="0" w:color="auto"/>
              <w:right w:val="single" w:sz="4" w:space="0" w:color="auto"/>
            </w:tcBorders>
            <w:vAlign w:val="center"/>
            <w:hideMark/>
          </w:tcPr>
          <w:p w14:paraId="57E0BFAC"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2235" w:type="dxa"/>
            <w:tcBorders>
              <w:top w:val="nil"/>
              <w:left w:val="nil"/>
              <w:bottom w:val="single" w:sz="4" w:space="0" w:color="auto"/>
              <w:right w:val="single" w:sz="4" w:space="0" w:color="auto"/>
            </w:tcBorders>
            <w:shd w:val="clear" w:color="auto" w:fill="auto"/>
            <w:vAlign w:val="center"/>
            <w:hideMark/>
          </w:tcPr>
          <w:p w14:paraId="64260C9D"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в % к предыдущему году</w:t>
            </w:r>
          </w:p>
        </w:tc>
        <w:tc>
          <w:tcPr>
            <w:tcW w:w="939" w:type="dxa"/>
            <w:tcBorders>
              <w:top w:val="nil"/>
              <w:left w:val="nil"/>
              <w:bottom w:val="single" w:sz="4" w:space="0" w:color="auto"/>
              <w:right w:val="single" w:sz="4" w:space="0" w:color="auto"/>
            </w:tcBorders>
            <w:shd w:val="clear" w:color="000000" w:fill="FFFFFF"/>
            <w:vAlign w:val="center"/>
            <w:hideMark/>
          </w:tcPr>
          <w:p w14:paraId="22BEC8CA"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105,00</w:t>
            </w:r>
          </w:p>
        </w:tc>
        <w:tc>
          <w:tcPr>
            <w:tcW w:w="939" w:type="dxa"/>
            <w:tcBorders>
              <w:top w:val="nil"/>
              <w:left w:val="nil"/>
              <w:bottom w:val="single" w:sz="4" w:space="0" w:color="auto"/>
              <w:right w:val="single" w:sz="4" w:space="0" w:color="auto"/>
            </w:tcBorders>
            <w:shd w:val="clear" w:color="000000" w:fill="FFFFFF"/>
            <w:vAlign w:val="center"/>
            <w:hideMark/>
          </w:tcPr>
          <w:p w14:paraId="0C29BA7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103,20</w:t>
            </w:r>
          </w:p>
        </w:tc>
        <w:tc>
          <w:tcPr>
            <w:tcW w:w="1172" w:type="dxa"/>
            <w:tcBorders>
              <w:top w:val="nil"/>
              <w:left w:val="nil"/>
              <w:bottom w:val="single" w:sz="4" w:space="0" w:color="auto"/>
              <w:right w:val="single" w:sz="4" w:space="0" w:color="auto"/>
            </w:tcBorders>
            <w:shd w:val="clear" w:color="000000" w:fill="FFFFFF"/>
            <w:vAlign w:val="center"/>
            <w:hideMark/>
          </w:tcPr>
          <w:p w14:paraId="37E3FD5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103,00</w:t>
            </w:r>
          </w:p>
        </w:tc>
        <w:tc>
          <w:tcPr>
            <w:tcW w:w="1021" w:type="dxa"/>
            <w:tcBorders>
              <w:top w:val="nil"/>
              <w:left w:val="nil"/>
              <w:bottom w:val="single" w:sz="4" w:space="0" w:color="auto"/>
              <w:right w:val="single" w:sz="4" w:space="0" w:color="auto"/>
            </w:tcBorders>
            <w:shd w:val="clear" w:color="000000" w:fill="FFFFFF"/>
            <w:vAlign w:val="center"/>
            <w:hideMark/>
          </w:tcPr>
          <w:p w14:paraId="407BBC37"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102,10</w:t>
            </w:r>
          </w:p>
        </w:tc>
        <w:tc>
          <w:tcPr>
            <w:tcW w:w="1172" w:type="dxa"/>
            <w:tcBorders>
              <w:top w:val="nil"/>
              <w:left w:val="nil"/>
              <w:bottom w:val="single" w:sz="4" w:space="0" w:color="auto"/>
              <w:right w:val="single" w:sz="4" w:space="0" w:color="auto"/>
            </w:tcBorders>
            <w:shd w:val="clear" w:color="000000" w:fill="FFFFFF"/>
            <w:vAlign w:val="center"/>
            <w:hideMark/>
          </w:tcPr>
          <w:p w14:paraId="65F0653E"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102,50</w:t>
            </w:r>
          </w:p>
        </w:tc>
        <w:tc>
          <w:tcPr>
            <w:tcW w:w="929" w:type="dxa"/>
            <w:tcBorders>
              <w:top w:val="nil"/>
              <w:left w:val="nil"/>
              <w:bottom w:val="single" w:sz="4" w:space="0" w:color="auto"/>
              <w:right w:val="single" w:sz="4" w:space="0" w:color="auto"/>
            </w:tcBorders>
            <w:shd w:val="clear" w:color="000000" w:fill="FFFFFF"/>
            <w:vAlign w:val="center"/>
            <w:hideMark/>
          </w:tcPr>
          <w:p w14:paraId="5268DE8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-0,90</w:t>
            </w:r>
          </w:p>
        </w:tc>
        <w:tc>
          <w:tcPr>
            <w:tcW w:w="939" w:type="dxa"/>
            <w:tcBorders>
              <w:top w:val="nil"/>
              <w:left w:val="nil"/>
              <w:bottom w:val="single" w:sz="4" w:space="0" w:color="auto"/>
              <w:right w:val="single" w:sz="4" w:space="0" w:color="auto"/>
            </w:tcBorders>
            <w:shd w:val="clear" w:color="000000" w:fill="FFFFFF"/>
            <w:vAlign w:val="center"/>
            <w:hideMark/>
          </w:tcPr>
          <w:p w14:paraId="1C2CD2AF"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-1,10</w:t>
            </w:r>
          </w:p>
        </w:tc>
        <w:tc>
          <w:tcPr>
            <w:tcW w:w="700" w:type="dxa"/>
            <w:tcBorders>
              <w:top w:val="nil"/>
              <w:left w:val="nil"/>
              <w:bottom w:val="single" w:sz="4" w:space="0" w:color="auto"/>
              <w:right w:val="single" w:sz="4" w:space="0" w:color="auto"/>
            </w:tcBorders>
            <w:shd w:val="clear" w:color="000000" w:fill="FFFFFF"/>
            <w:vAlign w:val="center"/>
            <w:hideMark/>
          </w:tcPr>
          <w:p w14:paraId="7E9B328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х</w:t>
            </w:r>
          </w:p>
        </w:tc>
      </w:tr>
      <w:tr w:rsidR="00E47AA9" w:rsidRPr="00E47AA9" w14:paraId="5ACE5808" w14:textId="77777777" w:rsidTr="00BB056E">
        <w:trPr>
          <w:trHeight w:val="340"/>
        </w:trPr>
        <w:tc>
          <w:tcPr>
            <w:tcW w:w="446" w:type="dxa"/>
            <w:vMerge w:val="restart"/>
            <w:tcBorders>
              <w:top w:val="nil"/>
              <w:left w:val="single" w:sz="4" w:space="0" w:color="auto"/>
              <w:bottom w:val="single" w:sz="4" w:space="0" w:color="auto"/>
              <w:right w:val="single" w:sz="4" w:space="0" w:color="auto"/>
            </w:tcBorders>
            <w:shd w:val="clear" w:color="auto" w:fill="auto"/>
            <w:vAlign w:val="center"/>
            <w:hideMark/>
          </w:tcPr>
          <w:p w14:paraId="50898DCA"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8.</w:t>
            </w:r>
          </w:p>
        </w:tc>
        <w:tc>
          <w:tcPr>
            <w:tcW w:w="2235" w:type="dxa"/>
            <w:tcBorders>
              <w:top w:val="nil"/>
              <w:left w:val="nil"/>
              <w:bottom w:val="single" w:sz="4" w:space="0" w:color="auto"/>
              <w:right w:val="single" w:sz="4" w:space="0" w:color="auto"/>
            </w:tcBorders>
            <w:shd w:val="clear" w:color="auto" w:fill="auto"/>
            <w:vAlign w:val="center"/>
            <w:hideMark/>
          </w:tcPr>
          <w:p w14:paraId="48116A6E"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xml:space="preserve">Номинальная начисленная среднемесячная заработная плата работников организаций </w:t>
            </w:r>
          </w:p>
        </w:tc>
        <w:tc>
          <w:tcPr>
            <w:tcW w:w="939" w:type="dxa"/>
            <w:tcBorders>
              <w:top w:val="nil"/>
              <w:left w:val="nil"/>
              <w:bottom w:val="single" w:sz="4" w:space="0" w:color="auto"/>
              <w:right w:val="single" w:sz="4" w:space="0" w:color="auto"/>
            </w:tcBorders>
            <w:shd w:val="clear" w:color="000000" w:fill="FFFFFF"/>
            <w:vAlign w:val="center"/>
            <w:hideMark/>
          </w:tcPr>
          <w:p w14:paraId="5F2CD4F3"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939" w:type="dxa"/>
            <w:tcBorders>
              <w:top w:val="nil"/>
              <w:left w:val="nil"/>
              <w:bottom w:val="single" w:sz="4" w:space="0" w:color="auto"/>
              <w:right w:val="single" w:sz="4" w:space="0" w:color="auto"/>
            </w:tcBorders>
            <w:shd w:val="clear" w:color="000000" w:fill="FFFFFF"/>
            <w:vAlign w:val="center"/>
            <w:hideMark/>
          </w:tcPr>
          <w:p w14:paraId="55F26A0F"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1172" w:type="dxa"/>
            <w:tcBorders>
              <w:top w:val="nil"/>
              <w:left w:val="nil"/>
              <w:bottom w:val="single" w:sz="4" w:space="0" w:color="auto"/>
              <w:right w:val="single" w:sz="4" w:space="0" w:color="auto"/>
            </w:tcBorders>
            <w:shd w:val="clear" w:color="000000" w:fill="FFFFFF"/>
            <w:vAlign w:val="center"/>
            <w:hideMark/>
          </w:tcPr>
          <w:p w14:paraId="4FDB9DFC"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1021" w:type="dxa"/>
            <w:tcBorders>
              <w:top w:val="nil"/>
              <w:left w:val="nil"/>
              <w:bottom w:val="single" w:sz="4" w:space="0" w:color="auto"/>
              <w:right w:val="single" w:sz="4" w:space="0" w:color="auto"/>
            </w:tcBorders>
            <w:shd w:val="clear" w:color="000000" w:fill="FFFFFF"/>
            <w:vAlign w:val="center"/>
            <w:hideMark/>
          </w:tcPr>
          <w:p w14:paraId="3748B2E6"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1172" w:type="dxa"/>
            <w:tcBorders>
              <w:top w:val="nil"/>
              <w:left w:val="nil"/>
              <w:bottom w:val="single" w:sz="4" w:space="0" w:color="auto"/>
              <w:right w:val="single" w:sz="4" w:space="0" w:color="auto"/>
            </w:tcBorders>
            <w:shd w:val="clear" w:color="000000" w:fill="FFFFFF"/>
            <w:vAlign w:val="center"/>
            <w:hideMark/>
          </w:tcPr>
          <w:p w14:paraId="7B04000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929" w:type="dxa"/>
            <w:tcBorders>
              <w:top w:val="nil"/>
              <w:left w:val="nil"/>
              <w:bottom w:val="single" w:sz="4" w:space="0" w:color="auto"/>
              <w:right w:val="single" w:sz="4" w:space="0" w:color="auto"/>
            </w:tcBorders>
            <w:shd w:val="clear" w:color="000000" w:fill="FFFFFF"/>
            <w:vAlign w:val="center"/>
            <w:hideMark/>
          </w:tcPr>
          <w:p w14:paraId="63825B58"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939" w:type="dxa"/>
            <w:tcBorders>
              <w:top w:val="nil"/>
              <w:left w:val="nil"/>
              <w:bottom w:val="single" w:sz="4" w:space="0" w:color="auto"/>
              <w:right w:val="single" w:sz="4" w:space="0" w:color="auto"/>
            </w:tcBorders>
            <w:shd w:val="clear" w:color="000000" w:fill="FFFFFF"/>
            <w:vAlign w:val="center"/>
            <w:hideMark/>
          </w:tcPr>
          <w:p w14:paraId="1AF72566"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700" w:type="dxa"/>
            <w:tcBorders>
              <w:top w:val="nil"/>
              <w:left w:val="nil"/>
              <w:bottom w:val="single" w:sz="4" w:space="0" w:color="auto"/>
              <w:right w:val="single" w:sz="4" w:space="0" w:color="auto"/>
            </w:tcBorders>
            <w:shd w:val="clear" w:color="000000" w:fill="FFFFFF"/>
            <w:vAlign w:val="center"/>
            <w:hideMark/>
          </w:tcPr>
          <w:p w14:paraId="16627926"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r>
      <w:tr w:rsidR="00E47AA9" w:rsidRPr="00E47AA9" w14:paraId="1E75B051" w14:textId="77777777" w:rsidTr="00BB056E">
        <w:trPr>
          <w:trHeight w:val="340"/>
        </w:trPr>
        <w:tc>
          <w:tcPr>
            <w:tcW w:w="446" w:type="dxa"/>
            <w:vMerge/>
            <w:tcBorders>
              <w:top w:val="nil"/>
              <w:left w:val="single" w:sz="4" w:space="0" w:color="auto"/>
              <w:bottom w:val="single" w:sz="4" w:space="0" w:color="auto"/>
              <w:right w:val="single" w:sz="4" w:space="0" w:color="auto"/>
            </w:tcBorders>
            <w:vAlign w:val="center"/>
            <w:hideMark/>
          </w:tcPr>
          <w:p w14:paraId="391411B5"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2235" w:type="dxa"/>
            <w:tcBorders>
              <w:top w:val="nil"/>
              <w:left w:val="nil"/>
              <w:bottom w:val="single" w:sz="4" w:space="0" w:color="auto"/>
              <w:right w:val="single" w:sz="4" w:space="0" w:color="auto"/>
            </w:tcBorders>
            <w:shd w:val="clear" w:color="auto" w:fill="auto"/>
            <w:vAlign w:val="center"/>
            <w:hideMark/>
          </w:tcPr>
          <w:p w14:paraId="51F82EAF"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тыс. рублей</w:t>
            </w:r>
          </w:p>
        </w:tc>
        <w:tc>
          <w:tcPr>
            <w:tcW w:w="939" w:type="dxa"/>
            <w:tcBorders>
              <w:top w:val="nil"/>
              <w:left w:val="nil"/>
              <w:bottom w:val="single" w:sz="4" w:space="0" w:color="auto"/>
              <w:right w:val="single" w:sz="4" w:space="0" w:color="auto"/>
            </w:tcBorders>
            <w:shd w:val="clear" w:color="000000" w:fill="FFFFFF"/>
            <w:vAlign w:val="center"/>
            <w:hideMark/>
          </w:tcPr>
          <w:p w14:paraId="3923D8E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63,59</w:t>
            </w:r>
          </w:p>
        </w:tc>
        <w:tc>
          <w:tcPr>
            <w:tcW w:w="939" w:type="dxa"/>
            <w:tcBorders>
              <w:top w:val="nil"/>
              <w:left w:val="nil"/>
              <w:bottom w:val="single" w:sz="4" w:space="0" w:color="auto"/>
              <w:right w:val="single" w:sz="4" w:space="0" w:color="auto"/>
            </w:tcBorders>
            <w:shd w:val="clear" w:color="000000" w:fill="FFFFFF"/>
            <w:vAlign w:val="center"/>
            <w:hideMark/>
          </w:tcPr>
          <w:p w14:paraId="2F45BE6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73,96</w:t>
            </w:r>
          </w:p>
        </w:tc>
        <w:tc>
          <w:tcPr>
            <w:tcW w:w="1172" w:type="dxa"/>
            <w:tcBorders>
              <w:top w:val="nil"/>
              <w:left w:val="nil"/>
              <w:bottom w:val="single" w:sz="4" w:space="0" w:color="auto"/>
              <w:right w:val="single" w:sz="4" w:space="0" w:color="auto"/>
            </w:tcBorders>
            <w:shd w:val="clear" w:color="000000" w:fill="FFFFFF"/>
            <w:vAlign w:val="center"/>
            <w:hideMark/>
          </w:tcPr>
          <w:p w14:paraId="21A69278"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78,48</w:t>
            </w:r>
          </w:p>
        </w:tc>
        <w:tc>
          <w:tcPr>
            <w:tcW w:w="1021" w:type="dxa"/>
            <w:tcBorders>
              <w:top w:val="nil"/>
              <w:left w:val="nil"/>
              <w:bottom w:val="single" w:sz="4" w:space="0" w:color="auto"/>
              <w:right w:val="single" w:sz="4" w:space="0" w:color="auto"/>
            </w:tcBorders>
            <w:shd w:val="clear" w:color="000000" w:fill="FFFFFF"/>
            <w:vAlign w:val="center"/>
            <w:hideMark/>
          </w:tcPr>
          <w:p w14:paraId="0E4DD4A5"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84,91</w:t>
            </w:r>
          </w:p>
        </w:tc>
        <w:tc>
          <w:tcPr>
            <w:tcW w:w="1172" w:type="dxa"/>
            <w:tcBorders>
              <w:top w:val="nil"/>
              <w:left w:val="nil"/>
              <w:bottom w:val="single" w:sz="4" w:space="0" w:color="auto"/>
              <w:right w:val="single" w:sz="4" w:space="0" w:color="auto"/>
            </w:tcBorders>
            <w:shd w:val="clear" w:color="000000" w:fill="FFFFFF"/>
            <w:vAlign w:val="center"/>
            <w:hideMark/>
          </w:tcPr>
          <w:p w14:paraId="5AE3899E"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98,71</w:t>
            </w:r>
          </w:p>
        </w:tc>
        <w:tc>
          <w:tcPr>
            <w:tcW w:w="929" w:type="dxa"/>
            <w:tcBorders>
              <w:top w:val="nil"/>
              <w:left w:val="nil"/>
              <w:bottom w:val="single" w:sz="4" w:space="0" w:color="auto"/>
              <w:right w:val="single" w:sz="4" w:space="0" w:color="auto"/>
            </w:tcBorders>
            <w:shd w:val="clear" w:color="000000" w:fill="FFFFFF"/>
            <w:vAlign w:val="center"/>
            <w:hideMark/>
          </w:tcPr>
          <w:p w14:paraId="66235DC5"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6,43</w:t>
            </w:r>
          </w:p>
        </w:tc>
        <w:tc>
          <w:tcPr>
            <w:tcW w:w="939" w:type="dxa"/>
            <w:tcBorders>
              <w:top w:val="nil"/>
              <w:left w:val="nil"/>
              <w:bottom w:val="single" w:sz="4" w:space="0" w:color="auto"/>
              <w:right w:val="single" w:sz="4" w:space="0" w:color="auto"/>
            </w:tcBorders>
            <w:shd w:val="clear" w:color="000000" w:fill="FFFFFF"/>
            <w:vAlign w:val="center"/>
            <w:hideMark/>
          </w:tcPr>
          <w:p w14:paraId="75D1339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10,95</w:t>
            </w:r>
          </w:p>
        </w:tc>
        <w:tc>
          <w:tcPr>
            <w:tcW w:w="700" w:type="dxa"/>
            <w:tcBorders>
              <w:top w:val="nil"/>
              <w:left w:val="nil"/>
              <w:bottom w:val="single" w:sz="4" w:space="0" w:color="auto"/>
              <w:right w:val="single" w:sz="4" w:space="0" w:color="auto"/>
            </w:tcBorders>
            <w:shd w:val="clear" w:color="000000" w:fill="FFFFFF"/>
            <w:vAlign w:val="center"/>
            <w:hideMark/>
          </w:tcPr>
          <w:p w14:paraId="75B43C2E"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114,81</w:t>
            </w:r>
          </w:p>
        </w:tc>
      </w:tr>
      <w:tr w:rsidR="00E47AA9" w:rsidRPr="00E47AA9" w14:paraId="468AF1A4" w14:textId="77777777" w:rsidTr="00BB056E">
        <w:trPr>
          <w:trHeight w:val="340"/>
        </w:trPr>
        <w:tc>
          <w:tcPr>
            <w:tcW w:w="446" w:type="dxa"/>
            <w:vMerge/>
            <w:tcBorders>
              <w:top w:val="nil"/>
              <w:left w:val="single" w:sz="4" w:space="0" w:color="auto"/>
              <w:bottom w:val="single" w:sz="4" w:space="0" w:color="auto"/>
              <w:right w:val="single" w:sz="4" w:space="0" w:color="auto"/>
            </w:tcBorders>
            <w:vAlign w:val="center"/>
            <w:hideMark/>
          </w:tcPr>
          <w:p w14:paraId="23F9D3CB"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p>
        </w:tc>
        <w:tc>
          <w:tcPr>
            <w:tcW w:w="2235" w:type="dxa"/>
            <w:tcBorders>
              <w:top w:val="nil"/>
              <w:left w:val="nil"/>
              <w:bottom w:val="single" w:sz="4" w:space="0" w:color="auto"/>
              <w:right w:val="single" w:sz="4" w:space="0" w:color="auto"/>
            </w:tcBorders>
            <w:shd w:val="clear" w:color="auto" w:fill="auto"/>
            <w:vAlign w:val="center"/>
            <w:hideMark/>
          </w:tcPr>
          <w:p w14:paraId="423EC759"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в % к предыдущему году</w:t>
            </w:r>
          </w:p>
        </w:tc>
        <w:tc>
          <w:tcPr>
            <w:tcW w:w="939" w:type="dxa"/>
            <w:tcBorders>
              <w:top w:val="nil"/>
              <w:left w:val="nil"/>
              <w:bottom w:val="single" w:sz="4" w:space="0" w:color="auto"/>
              <w:right w:val="single" w:sz="4" w:space="0" w:color="auto"/>
            </w:tcBorders>
            <w:shd w:val="clear" w:color="000000" w:fill="FFFFFF"/>
            <w:vAlign w:val="center"/>
            <w:hideMark/>
          </w:tcPr>
          <w:p w14:paraId="7D726870"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114,3</w:t>
            </w:r>
          </w:p>
        </w:tc>
        <w:tc>
          <w:tcPr>
            <w:tcW w:w="939" w:type="dxa"/>
            <w:tcBorders>
              <w:top w:val="nil"/>
              <w:left w:val="nil"/>
              <w:bottom w:val="single" w:sz="4" w:space="0" w:color="auto"/>
              <w:right w:val="single" w:sz="4" w:space="0" w:color="auto"/>
            </w:tcBorders>
            <w:shd w:val="clear" w:color="000000" w:fill="FFFFFF"/>
            <w:vAlign w:val="center"/>
            <w:hideMark/>
          </w:tcPr>
          <w:p w14:paraId="291D78F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116,3</w:t>
            </w:r>
          </w:p>
        </w:tc>
        <w:tc>
          <w:tcPr>
            <w:tcW w:w="1172" w:type="dxa"/>
            <w:tcBorders>
              <w:top w:val="nil"/>
              <w:left w:val="nil"/>
              <w:bottom w:val="single" w:sz="4" w:space="0" w:color="auto"/>
              <w:right w:val="single" w:sz="4" w:space="0" w:color="auto"/>
            </w:tcBorders>
            <w:shd w:val="clear" w:color="000000" w:fill="FFFFFF"/>
            <w:vAlign w:val="center"/>
            <w:hideMark/>
          </w:tcPr>
          <w:p w14:paraId="6AB755C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109,8</w:t>
            </w:r>
          </w:p>
        </w:tc>
        <w:tc>
          <w:tcPr>
            <w:tcW w:w="1021" w:type="dxa"/>
            <w:tcBorders>
              <w:top w:val="nil"/>
              <w:left w:val="nil"/>
              <w:bottom w:val="single" w:sz="4" w:space="0" w:color="auto"/>
              <w:right w:val="single" w:sz="4" w:space="0" w:color="auto"/>
            </w:tcBorders>
            <w:shd w:val="clear" w:color="000000" w:fill="FFFFFF"/>
            <w:vAlign w:val="center"/>
            <w:hideMark/>
          </w:tcPr>
          <w:p w14:paraId="1661B0C5"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117,60</w:t>
            </w:r>
          </w:p>
        </w:tc>
        <w:tc>
          <w:tcPr>
            <w:tcW w:w="1172" w:type="dxa"/>
            <w:tcBorders>
              <w:top w:val="nil"/>
              <w:left w:val="nil"/>
              <w:bottom w:val="single" w:sz="4" w:space="0" w:color="auto"/>
              <w:right w:val="single" w:sz="4" w:space="0" w:color="auto"/>
            </w:tcBorders>
            <w:shd w:val="clear" w:color="000000" w:fill="FFFFFF"/>
            <w:vAlign w:val="center"/>
            <w:hideMark/>
          </w:tcPr>
          <w:p w14:paraId="3CC73F5F"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113,20</w:t>
            </w:r>
          </w:p>
        </w:tc>
        <w:tc>
          <w:tcPr>
            <w:tcW w:w="929" w:type="dxa"/>
            <w:tcBorders>
              <w:top w:val="nil"/>
              <w:left w:val="nil"/>
              <w:bottom w:val="single" w:sz="4" w:space="0" w:color="auto"/>
              <w:right w:val="single" w:sz="4" w:space="0" w:color="auto"/>
            </w:tcBorders>
            <w:shd w:val="clear" w:color="000000" w:fill="FFFFFF"/>
            <w:vAlign w:val="center"/>
            <w:hideMark/>
          </w:tcPr>
          <w:p w14:paraId="42D6F62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7,80</w:t>
            </w:r>
          </w:p>
        </w:tc>
        <w:tc>
          <w:tcPr>
            <w:tcW w:w="939" w:type="dxa"/>
            <w:tcBorders>
              <w:top w:val="nil"/>
              <w:left w:val="nil"/>
              <w:bottom w:val="single" w:sz="4" w:space="0" w:color="auto"/>
              <w:right w:val="single" w:sz="4" w:space="0" w:color="auto"/>
            </w:tcBorders>
            <w:shd w:val="clear" w:color="000000" w:fill="FFFFFF"/>
            <w:vAlign w:val="center"/>
            <w:hideMark/>
          </w:tcPr>
          <w:p w14:paraId="4BAD28EE"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1,30</w:t>
            </w:r>
          </w:p>
        </w:tc>
        <w:tc>
          <w:tcPr>
            <w:tcW w:w="700" w:type="dxa"/>
            <w:tcBorders>
              <w:top w:val="nil"/>
              <w:left w:val="nil"/>
              <w:bottom w:val="single" w:sz="4" w:space="0" w:color="auto"/>
              <w:right w:val="single" w:sz="4" w:space="0" w:color="auto"/>
            </w:tcBorders>
            <w:shd w:val="clear" w:color="000000" w:fill="FFFFFF"/>
            <w:vAlign w:val="center"/>
            <w:hideMark/>
          </w:tcPr>
          <w:p w14:paraId="4D07FD3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х</w:t>
            </w:r>
          </w:p>
        </w:tc>
      </w:tr>
      <w:tr w:rsidR="00E47AA9" w:rsidRPr="00E47AA9" w14:paraId="6E3E918E" w14:textId="77777777" w:rsidTr="00BB056E">
        <w:trPr>
          <w:trHeight w:val="340"/>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5B64EA4E"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9.</w:t>
            </w:r>
          </w:p>
        </w:tc>
        <w:tc>
          <w:tcPr>
            <w:tcW w:w="2235" w:type="dxa"/>
            <w:tcBorders>
              <w:top w:val="nil"/>
              <w:left w:val="nil"/>
              <w:bottom w:val="single" w:sz="4" w:space="0" w:color="auto"/>
              <w:right w:val="single" w:sz="4" w:space="0" w:color="auto"/>
            </w:tcBorders>
            <w:shd w:val="clear" w:color="auto" w:fill="auto"/>
            <w:vAlign w:val="center"/>
            <w:hideMark/>
          </w:tcPr>
          <w:p w14:paraId="497DA859"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Численность занятых в экономике/тыс. человек</w:t>
            </w:r>
          </w:p>
        </w:tc>
        <w:tc>
          <w:tcPr>
            <w:tcW w:w="939" w:type="dxa"/>
            <w:tcBorders>
              <w:top w:val="nil"/>
              <w:left w:val="nil"/>
              <w:bottom w:val="single" w:sz="4" w:space="0" w:color="auto"/>
              <w:right w:val="single" w:sz="4" w:space="0" w:color="auto"/>
            </w:tcBorders>
            <w:shd w:val="clear" w:color="auto" w:fill="FFFFFF" w:themeFill="background1"/>
            <w:vAlign w:val="center"/>
            <w:hideMark/>
          </w:tcPr>
          <w:p w14:paraId="74B03B64"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928,30</w:t>
            </w:r>
          </w:p>
        </w:tc>
        <w:tc>
          <w:tcPr>
            <w:tcW w:w="939" w:type="dxa"/>
            <w:tcBorders>
              <w:top w:val="nil"/>
              <w:left w:val="nil"/>
              <w:bottom w:val="single" w:sz="4" w:space="0" w:color="auto"/>
              <w:right w:val="single" w:sz="4" w:space="0" w:color="auto"/>
            </w:tcBorders>
            <w:shd w:val="clear" w:color="auto" w:fill="FFFFFF" w:themeFill="background1"/>
            <w:vAlign w:val="center"/>
            <w:hideMark/>
          </w:tcPr>
          <w:p w14:paraId="27E35C1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936,20</w:t>
            </w:r>
          </w:p>
        </w:tc>
        <w:tc>
          <w:tcPr>
            <w:tcW w:w="1172" w:type="dxa"/>
            <w:tcBorders>
              <w:top w:val="nil"/>
              <w:left w:val="nil"/>
              <w:bottom w:val="single" w:sz="4" w:space="0" w:color="auto"/>
              <w:right w:val="single" w:sz="4" w:space="0" w:color="auto"/>
            </w:tcBorders>
            <w:shd w:val="clear" w:color="000000" w:fill="FFFFFF"/>
            <w:vAlign w:val="center"/>
            <w:hideMark/>
          </w:tcPr>
          <w:p w14:paraId="5850ECCB"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930,50</w:t>
            </w:r>
          </w:p>
        </w:tc>
        <w:tc>
          <w:tcPr>
            <w:tcW w:w="1021" w:type="dxa"/>
            <w:tcBorders>
              <w:top w:val="nil"/>
              <w:left w:val="nil"/>
              <w:bottom w:val="single" w:sz="4" w:space="0" w:color="auto"/>
              <w:right w:val="single" w:sz="4" w:space="0" w:color="auto"/>
            </w:tcBorders>
            <w:shd w:val="clear" w:color="000000" w:fill="FFFFFF"/>
            <w:vAlign w:val="center"/>
            <w:hideMark/>
          </w:tcPr>
          <w:p w14:paraId="33990D0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980,80</w:t>
            </w:r>
          </w:p>
        </w:tc>
        <w:tc>
          <w:tcPr>
            <w:tcW w:w="1172" w:type="dxa"/>
            <w:tcBorders>
              <w:top w:val="nil"/>
              <w:left w:val="nil"/>
              <w:bottom w:val="single" w:sz="4" w:space="0" w:color="auto"/>
              <w:right w:val="single" w:sz="4" w:space="0" w:color="auto"/>
            </w:tcBorders>
            <w:shd w:val="clear" w:color="000000" w:fill="FFFFFF"/>
            <w:vAlign w:val="center"/>
            <w:hideMark/>
          </w:tcPr>
          <w:p w14:paraId="1196756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944,00</w:t>
            </w:r>
          </w:p>
        </w:tc>
        <w:tc>
          <w:tcPr>
            <w:tcW w:w="929" w:type="dxa"/>
            <w:tcBorders>
              <w:top w:val="nil"/>
              <w:left w:val="nil"/>
              <w:bottom w:val="single" w:sz="4" w:space="0" w:color="auto"/>
              <w:right w:val="single" w:sz="4" w:space="0" w:color="auto"/>
            </w:tcBorders>
            <w:shd w:val="clear" w:color="000000" w:fill="FFFFFF"/>
            <w:vAlign w:val="center"/>
            <w:hideMark/>
          </w:tcPr>
          <w:p w14:paraId="5421D2EB"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50,30</w:t>
            </w:r>
          </w:p>
        </w:tc>
        <w:tc>
          <w:tcPr>
            <w:tcW w:w="939" w:type="dxa"/>
            <w:tcBorders>
              <w:top w:val="nil"/>
              <w:left w:val="nil"/>
              <w:bottom w:val="single" w:sz="4" w:space="0" w:color="auto"/>
              <w:right w:val="single" w:sz="4" w:space="0" w:color="auto"/>
            </w:tcBorders>
            <w:shd w:val="clear" w:color="000000" w:fill="FFFFFF"/>
            <w:vAlign w:val="center"/>
            <w:hideMark/>
          </w:tcPr>
          <w:p w14:paraId="30A5628E"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44,60</w:t>
            </w:r>
          </w:p>
        </w:tc>
        <w:tc>
          <w:tcPr>
            <w:tcW w:w="700" w:type="dxa"/>
            <w:tcBorders>
              <w:top w:val="nil"/>
              <w:left w:val="nil"/>
              <w:bottom w:val="single" w:sz="4" w:space="0" w:color="auto"/>
              <w:right w:val="single" w:sz="4" w:space="0" w:color="auto"/>
            </w:tcBorders>
            <w:shd w:val="clear" w:color="000000" w:fill="FFFFFF"/>
            <w:vAlign w:val="center"/>
            <w:hideMark/>
          </w:tcPr>
          <w:p w14:paraId="53C2AB9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104,76</w:t>
            </w:r>
          </w:p>
        </w:tc>
      </w:tr>
      <w:tr w:rsidR="00E47AA9" w:rsidRPr="00E47AA9" w14:paraId="1B291146" w14:textId="77777777" w:rsidTr="00BB056E">
        <w:trPr>
          <w:trHeight w:val="340"/>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7162E786"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w:t>
            </w:r>
          </w:p>
        </w:tc>
        <w:tc>
          <w:tcPr>
            <w:tcW w:w="2235" w:type="dxa"/>
            <w:tcBorders>
              <w:top w:val="nil"/>
              <w:left w:val="nil"/>
              <w:bottom w:val="single" w:sz="4" w:space="0" w:color="auto"/>
              <w:right w:val="single" w:sz="4" w:space="0" w:color="auto"/>
            </w:tcBorders>
            <w:shd w:val="clear" w:color="auto" w:fill="auto"/>
            <w:vAlign w:val="center"/>
            <w:hideMark/>
          </w:tcPr>
          <w:p w14:paraId="7A58F218" w14:textId="77777777" w:rsidR="006C5C47" w:rsidRPr="00E47AA9" w:rsidRDefault="006C5C47" w:rsidP="00F77241">
            <w:pPr>
              <w:spacing w:after="0" w:line="240" w:lineRule="auto"/>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xml:space="preserve">Численность безработных (по методологии </w:t>
            </w:r>
            <w:proofErr w:type="gramStart"/>
            <w:r w:rsidRPr="00E47AA9">
              <w:rPr>
                <w:rFonts w:ascii="Times New Roman" w:eastAsia="Times New Roman" w:hAnsi="Times New Roman" w:cs="Times New Roman"/>
                <w:sz w:val="17"/>
                <w:szCs w:val="17"/>
                <w:lang w:eastAsia="ru-RU"/>
              </w:rPr>
              <w:t>МОТ)/</w:t>
            </w:r>
            <w:proofErr w:type="gramEnd"/>
            <w:r w:rsidRPr="00E47AA9">
              <w:rPr>
                <w:rFonts w:ascii="Times New Roman" w:eastAsia="Times New Roman" w:hAnsi="Times New Roman" w:cs="Times New Roman"/>
                <w:sz w:val="17"/>
                <w:szCs w:val="17"/>
                <w:lang w:eastAsia="ru-RU"/>
              </w:rPr>
              <w:t>тыс. человек</w:t>
            </w:r>
          </w:p>
        </w:tc>
        <w:tc>
          <w:tcPr>
            <w:tcW w:w="939" w:type="dxa"/>
            <w:tcBorders>
              <w:top w:val="nil"/>
              <w:left w:val="nil"/>
              <w:bottom w:val="single" w:sz="4" w:space="0" w:color="auto"/>
              <w:right w:val="single" w:sz="4" w:space="0" w:color="auto"/>
            </w:tcBorders>
            <w:shd w:val="clear" w:color="000000" w:fill="FFFFFF"/>
            <w:vAlign w:val="center"/>
            <w:hideMark/>
          </w:tcPr>
          <w:p w14:paraId="414C6AA5"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33,50</w:t>
            </w:r>
          </w:p>
        </w:tc>
        <w:tc>
          <w:tcPr>
            <w:tcW w:w="939" w:type="dxa"/>
            <w:tcBorders>
              <w:top w:val="nil"/>
              <w:left w:val="nil"/>
              <w:bottom w:val="single" w:sz="4" w:space="0" w:color="auto"/>
              <w:right w:val="single" w:sz="4" w:space="0" w:color="auto"/>
            </w:tcBorders>
            <w:shd w:val="clear" w:color="000000" w:fill="FFFFFF"/>
            <w:vAlign w:val="center"/>
            <w:hideMark/>
          </w:tcPr>
          <w:p w14:paraId="2BA41362"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25,30</w:t>
            </w:r>
          </w:p>
        </w:tc>
        <w:tc>
          <w:tcPr>
            <w:tcW w:w="1172" w:type="dxa"/>
            <w:tcBorders>
              <w:top w:val="nil"/>
              <w:left w:val="nil"/>
              <w:bottom w:val="single" w:sz="4" w:space="0" w:color="auto"/>
              <w:right w:val="single" w:sz="4" w:space="0" w:color="auto"/>
            </w:tcBorders>
            <w:shd w:val="clear" w:color="000000" w:fill="FFFFFF"/>
            <w:vAlign w:val="center"/>
            <w:hideMark/>
          </w:tcPr>
          <w:p w14:paraId="50886F77"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27,00</w:t>
            </w:r>
          </w:p>
        </w:tc>
        <w:tc>
          <w:tcPr>
            <w:tcW w:w="1021" w:type="dxa"/>
            <w:tcBorders>
              <w:top w:val="nil"/>
              <w:left w:val="nil"/>
              <w:bottom w:val="single" w:sz="4" w:space="0" w:color="auto"/>
              <w:right w:val="single" w:sz="4" w:space="0" w:color="auto"/>
            </w:tcBorders>
            <w:shd w:val="clear" w:color="000000" w:fill="FFFFFF"/>
            <w:vAlign w:val="center"/>
            <w:hideMark/>
          </w:tcPr>
          <w:p w14:paraId="1D291268"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22,50</w:t>
            </w:r>
          </w:p>
        </w:tc>
        <w:tc>
          <w:tcPr>
            <w:tcW w:w="1172" w:type="dxa"/>
            <w:tcBorders>
              <w:top w:val="nil"/>
              <w:left w:val="nil"/>
              <w:bottom w:val="single" w:sz="4" w:space="0" w:color="auto"/>
              <w:right w:val="single" w:sz="4" w:space="0" w:color="auto"/>
            </w:tcBorders>
            <w:shd w:val="clear" w:color="000000" w:fill="FFFFFF"/>
            <w:vAlign w:val="center"/>
            <w:hideMark/>
          </w:tcPr>
          <w:p w14:paraId="4BB3E204"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19,00</w:t>
            </w:r>
          </w:p>
        </w:tc>
        <w:tc>
          <w:tcPr>
            <w:tcW w:w="929" w:type="dxa"/>
            <w:tcBorders>
              <w:top w:val="nil"/>
              <w:left w:val="nil"/>
              <w:bottom w:val="single" w:sz="4" w:space="0" w:color="auto"/>
              <w:right w:val="single" w:sz="4" w:space="0" w:color="auto"/>
            </w:tcBorders>
            <w:shd w:val="clear" w:color="000000" w:fill="FFFFFF"/>
            <w:vAlign w:val="center"/>
            <w:hideMark/>
          </w:tcPr>
          <w:p w14:paraId="4EF2A32C"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-4,50</w:t>
            </w:r>
          </w:p>
        </w:tc>
        <w:tc>
          <w:tcPr>
            <w:tcW w:w="939" w:type="dxa"/>
            <w:tcBorders>
              <w:top w:val="nil"/>
              <w:left w:val="nil"/>
              <w:bottom w:val="single" w:sz="4" w:space="0" w:color="auto"/>
              <w:right w:val="single" w:sz="4" w:space="0" w:color="auto"/>
            </w:tcBorders>
            <w:shd w:val="clear" w:color="000000" w:fill="FFFFFF"/>
            <w:vAlign w:val="center"/>
            <w:hideMark/>
          </w:tcPr>
          <w:p w14:paraId="4D6AA227"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-2,80</w:t>
            </w:r>
          </w:p>
        </w:tc>
        <w:tc>
          <w:tcPr>
            <w:tcW w:w="700" w:type="dxa"/>
            <w:tcBorders>
              <w:top w:val="nil"/>
              <w:left w:val="nil"/>
              <w:bottom w:val="single" w:sz="4" w:space="0" w:color="auto"/>
              <w:right w:val="single" w:sz="4" w:space="0" w:color="auto"/>
            </w:tcBorders>
            <w:shd w:val="clear" w:color="000000" w:fill="FFFFFF"/>
            <w:vAlign w:val="center"/>
            <w:hideMark/>
          </w:tcPr>
          <w:p w14:paraId="0EDBA3D6"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88,93</w:t>
            </w:r>
          </w:p>
        </w:tc>
      </w:tr>
      <w:tr w:rsidR="00E47AA9" w:rsidRPr="00E47AA9" w14:paraId="4DE6B481" w14:textId="77777777" w:rsidTr="00BB056E">
        <w:trPr>
          <w:trHeight w:val="340"/>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11887DAE"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w:t>
            </w:r>
          </w:p>
        </w:tc>
        <w:tc>
          <w:tcPr>
            <w:tcW w:w="2235" w:type="dxa"/>
            <w:tcBorders>
              <w:top w:val="nil"/>
              <w:left w:val="nil"/>
              <w:bottom w:val="single" w:sz="4" w:space="0" w:color="auto"/>
              <w:right w:val="single" w:sz="4" w:space="0" w:color="auto"/>
            </w:tcBorders>
            <w:shd w:val="clear" w:color="auto" w:fill="auto"/>
            <w:vAlign w:val="center"/>
            <w:hideMark/>
          </w:tcPr>
          <w:p w14:paraId="3C4A281F"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xml:space="preserve">Численность безработных, зарегистрированных в государственных учреждениях службы занятости населения (на конец </w:t>
            </w:r>
            <w:proofErr w:type="gramStart"/>
            <w:r w:rsidRPr="00E47AA9">
              <w:rPr>
                <w:rFonts w:ascii="Times New Roman" w:eastAsia="Times New Roman" w:hAnsi="Times New Roman" w:cs="Times New Roman"/>
                <w:sz w:val="17"/>
                <w:szCs w:val="17"/>
                <w:lang w:eastAsia="ru-RU"/>
              </w:rPr>
              <w:t>года)/</w:t>
            </w:r>
            <w:proofErr w:type="gramEnd"/>
            <w:r w:rsidRPr="00E47AA9">
              <w:rPr>
                <w:rFonts w:ascii="Times New Roman" w:eastAsia="Times New Roman" w:hAnsi="Times New Roman" w:cs="Times New Roman"/>
                <w:sz w:val="17"/>
                <w:szCs w:val="17"/>
                <w:lang w:eastAsia="ru-RU"/>
              </w:rPr>
              <w:t xml:space="preserve"> тыс. человек</w:t>
            </w:r>
          </w:p>
        </w:tc>
        <w:tc>
          <w:tcPr>
            <w:tcW w:w="939" w:type="dxa"/>
            <w:tcBorders>
              <w:top w:val="nil"/>
              <w:left w:val="nil"/>
              <w:bottom w:val="single" w:sz="4" w:space="0" w:color="auto"/>
              <w:right w:val="single" w:sz="4" w:space="0" w:color="auto"/>
            </w:tcBorders>
            <w:shd w:val="clear" w:color="000000" w:fill="FFFFFF"/>
            <w:vAlign w:val="center"/>
            <w:hideMark/>
          </w:tcPr>
          <w:p w14:paraId="03F1F1A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7,00</w:t>
            </w:r>
          </w:p>
        </w:tc>
        <w:tc>
          <w:tcPr>
            <w:tcW w:w="939" w:type="dxa"/>
            <w:tcBorders>
              <w:top w:val="nil"/>
              <w:left w:val="nil"/>
              <w:bottom w:val="single" w:sz="4" w:space="0" w:color="auto"/>
              <w:right w:val="single" w:sz="4" w:space="0" w:color="auto"/>
            </w:tcBorders>
            <w:shd w:val="clear" w:color="000000" w:fill="FFFFFF"/>
            <w:vAlign w:val="center"/>
            <w:hideMark/>
          </w:tcPr>
          <w:p w14:paraId="73D1271A"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5,40</w:t>
            </w:r>
          </w:p>
        </w:tc>
        <w:tc>
          <w:tcPr>
            <w:tcW w:w="1172" w:type="dxa"/>
            <w:tcBorders>
              <w:top w:val="nil"/>
              <w:left w:val="nil"/>
              <w:bottom w:val="single" w:sz="4" w:space="0" w:color="auto"/>
              <w:right w:val="single" w:sz="4" w:space="0" w:color="auto"/>
            </w:tcBorders>
            <w:shd w:val="clear" w:color="000000" w:fill="FFFFFF"/>
            <w:vAlign w:val="center"/>
            <w:hideMark/>
          </w:tcPr>
          <w:p w14:paraId="39D6058F"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6,80</w:t>
            </w:r>
          </w:p>
        </w:tc>
        <w:tc>
          <w:tcPr>
            <w:tcW w:w="1021" w:type="dxa"/>
            <w:tcBorders>
              <w:top w:val="nil"/>
              <w:left w:val="nil"/>
              <w:bottom w:val="single" w:sz="4" w:space="0" w:color="auto"/>
              <w:right w:val="single" w:sz="4" w:space="0" w:color="auto"/>
            </w:tcBorders>
            <w:shd w:val="clear" w:color="000000" w:fill="FFFFFF"/>
            <w:vAlign w:val="center"/>
            <w:hideMark/>
          </w:tcPr>
          <w:p w14:paraId="62A0153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4,0</w:t>
            </w:r>
          </w:p>
        </w:tc>
        <w:tc>
          <w:tcPr>
            <w:tcW w:w="1172" w:type="dxa"/>
            <w:tcBorders>
              <w:top w:val="nil"/>
              <w:left w:val="nil"/>
              <w:bottom w:val="single" w:sz="4" w:space="0" w:color="auto"/>
              <w:right w:val="single" w:sz="4" w:space="0" w:color="auto"/>
            </w:tcBorders>
            <w:shd w:val="clear" w:color="000000" w:fill="FFFFFF"/>
            <w:vAlign w:val="center"/>
            <w:hideMark/>
          </w:tcPr>
          <w:p w14:paraId="3259D543"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5,20</w:t>
            </w:r>
          </w:p>
        </w:tc>
        <w:tc>
          <w:tcPr>
            <w:tcW w:w="929" w:type="dxa"/>
            <w:tcBorders>
              <w:top w:val="nil"/>
              <w:left w:val="nil"/>
              <w:bottom w:val="single" w:sz="4" w:space="0" w:color="auto"/>
              <w:right w:val="single" w:sz="4" w:space="0" w:color="auto"/>
            </w:tcBorders>
            <w:shd w:val="clear" w:color="000000" w:fill="FFFFFF"/>
            <w:vAlign w:val="center"/>
            <w:hideMark/>
          </w:tcPr>
          <w:p w14:paraId="3B574AB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-2,8</w:t>
            </w:r>
          </w:p>
        </w:tc>
        <w:tc>
          <w:tcPr>
            <w:tcW w:w="939" w:type="dxa"/>
            <w:tcBorders>
              <w:top w:val="nil"/>
              <w:left w:val="nil"/>
              <w:bottom w:val="single" w:sz="4" w:space="0" w:color="auto"/>
              <w:right w:val="single" w:sz="4" w:space="0" w:color="auto"/>
            </w:tcBorders>
            <w:shd w:val="clear" w:color="000000" w:fill="FFFFFF"/>
            <w:vAlign w:val="center"/>
            <w:hideMark/>
          </w:tcPr>
          <w:p w14:paraId="1EDA7DD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-1,40</w:t>
            </w:r>
          </w:p>
        </w:tc>
        <w:tc>
          <w:tcPr>
            <w:tcW w:w="700" w:type="dxa"/>
            <w:tcBorders>
              <w:top w:val="nil"/>
              <w:left w:val="nil"/>
              <w:bottom w:val="single" w:sz="4" w:space="0" w:color="auto"/>
              <w:right w:val="single" w:sz="4" w:space="0" w:color="auto"/>
            </w:tcBorders>
            <w:shd w:val="clear" w:color="000000" w:fill="FFFFFF"/>
            <w:vAlign w:val="center"/>
            <w:hideMark/>
          </w:tcPr>
          <w:p w14:paraId="3F196FE7"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74,07</w:t>
            </w:r>
          </w:p>
        </w:tc>
      </w:tr>
      <w:tr w:rsidR="00E47AA9" w:rsidRPr="00E47AA9" w14:paraId="0359205E" w14:textId="77777777" w:rsidTr="00BB056E">
        <w:trPr>
          <w:trHeight w:val="340"/>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26A78C8F"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12.</w:t>
            </w:r>
          </w:p>
        </w:tc>
        <w:tc>
          <w:tcPr>
            <w:tcW w:w="2235" w:type="dxa"/>
            <w:tcBorders>
              <w:top w:val="nil"/>
              <w:left w:val="nil"/>
              <w:bottom w:val="single" w:sz="4" w:space="0" w:color="auto"/>
              <w:right w:val="single" w:sz="4" w:space="0" w:color="auto"/>
            </w:tcBorders>
            <w:shd w:val="clear" w:color="auto" w:fill="auto"/>
            <w:vAlign w:val="center"/>
            <w:hideMark/>
          </w:tcPr>
          <w:p w14:paraId="04C81FAC"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xml:space="preserve">Уровень зарегистрированной безработицы (на конец </w:t>
            </w:r>
            <w:proofErr w:type="gramStart"/>
            <w:r w:rsidRPr="00E47AA9">
              <w:rPr>
                <w:rFonts w:ascii="Times New Roman" w:eastAsia="Times New Roman" w:hAnsi="Times New Roman" w:cs="Times New Roman"/>
                <w:sz w:val="17"/>
                <w:szCs w:val="17"/>
                <w:lang w:eastAsia="ru-RU"/>
              </w:rPr>
              <w:t>года)/</w:t>
            </w:r>
            <w:proofErr w:type="gramEnd"/>
            <w:r w:rsidRPr="00E47AA9">
              <w:rPr>
                <w:rFonts w:ascii="Times New Roman" w:eastAsia="Times New Roman" w:hAnsi="Times New Roman" w:cs="Times New Roman"/>
                <w:sz w:val="17"/>
                <w:szCs w:val="17"/>
                <w:lang w:eastAsia="ru-RU"/>
              </w:rPr>
              <w:t xml:space="preserve"> % к экономически активному населению</w:t>
            </w:r>
          </w:p>
        </w:tc>
        <w:tc>
          <w:tcPr>
            <w:tcW w:w="939" w:type="dxa"/>
            <w:tcBorders>
              <w:top w:val="nil"/>
              <w:left w:val="nil"/>
              <w:bottom w:val="single" w:sz="4" w:space="0" w:color="auto"/>
              <w:right w:val="single" w:sz="4" w:space="0" w:color="auto"/>
            </w:tcBorders>
            <w:shd w:val="clear" w:color="000000" w:fill="FFFFFF"/>
            <w:vAlign w:val="center"/>
            <w:hideMark/>
          </w:tcPr>
          <w:p w14:paraId="0C73B52C"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0,70</w:t>
            </w:r>
          </w:p>
        </w:tc>
        <w:tc>
          <w:tcPr>
            <w:tcW w:w="939" w:type="dxa"/>
            <w:tcBorders>
              <w:top w:val="nil"/>
              <w:left w:val="nil"/>
              <w:bottom w:val="single" w:sz="4" w:space="0" w:color="auto"/>
              <w:right w:val="single" w:sz="4" w:space="0" w:color="auto"/>
            </w:tcBorders>
            <w:shd w:val="clear" w:color="000000" w:fill="FFFFFF"/>
            <w:vAlign w:val="center"/>
            <w:hideMark/>
          </w:tcPr>
          <w:p w14:paraId="4DFA087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0,70</w:t>
            </w:r>
          </w:p>
        </w:tc>
        <w:tc>
          <w:tcPr>
            <w:tcW w:w="1172" w:type="dxa"/>
            <w:tcBorders>
              <w:top w:val="nil"/>
              <w:left w:val="nil"/>
              <w:bottom w:val="single" w:sz="4" w:space="0" w:color="auto"/>
              <w:right w:val="single" w:sz="4" w:space="0" w:color="auto"/>
            </w:tcBorders>
            <w:shd w:val="clear" w:color="000000" w:fill="FFFFFF"/>
            <w:vAlign w:val="center"/>
            <w:hideMark/>
          </w:tcPr>
          <w:p w14:paraId="0C248366"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0,70</w:t>
            </w:r>
          </w:p>
        </w:tc>
        <w:tc>
          <w:tcPr>
            <w:tcW w:w="1021" w:type="dxa"/>
            <w:tcBorders>
              <w:top w:val="nil"/>
              <w:left w:val="nil"/>
              <w:bottom w:val="single" w:sz="4" w:space="0" w:color="auto"/>
              <w:right w:val="single" w:sz="4" w:space="0" w:color="auto"/>
            </w:tcBorders>
            <w:shd w:val="clear" w:color="000000" w:fill="FFFFFF"/>
            <w:vAlign w:val="center"/>
            <w:hideMark/>
          </w:tcPr>
          <w:p w14:paraId="6FD1875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0,40</w:t>
            </w:r>
          </w:p>
        </w:tc>
        <w:tc>
          <w:tcPr>
            <w:tcW w:w="1172" w:type="dxa"/>
            <w:tcBorders>
              <w:top w:val="nil"/>
              <w:left w:val="nil"/>
              <w:bottom w:val="single" w:sz="4" w:space="0" w:color="auto"/>
              <w:right w:val="single" w:sz="4" w:space="0" w:color="auto"/>
            </w:tcBorders>
            <w:shd w:val="clear" w:color="000000" w:fill="FFFFFF"/>
            <w:vAlign w:val="center"/>
            <w:hideMark/>
          </w:tcPr>
          <w:p w14:paraId="54410F28"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0,53</w:t>
            </w:r>
          </w:p>
        </w:tc>
        <w:tc>
          <w:tcPr>
            <w:tcW w:w="929" w:type="dxa"/>
            <w:tcBorders>
              <w:top w:val="nil"/>
              <w:left w:val="nil"/>
              <w:bottom w:val="single" w:sz="4" w:space="0" w:color="auto"/>
              <w:right w:val="single" w:sz="4" w:space="0" w:color="auto"/>
            </w:tcBorders>
            <w:shd w:val="clear" w:color="000000" w:fill="FFFFFF"/>
            <w:vAlign w:val="center"/>
            <w:hideMark/>
          </w:tcPr>
          <w:p w14:paraId="5EEF5E8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-0,30</w:t>
            </w:r>
          </w:p>
        </w:tc>
        <w:tc>
          <w:tcPr>
            <w:tcW w:w="939" w:type="dxa"/>
            <w:tcBorders>
              <w:top w:val="nil"/>
              <w:left w:val="nil"/>
              <w:bottom w:val="single" w:sz="4" w:space="0" w:color="auto"/>
              <w:right w:val="single" w:sz="4" w:space="0" w:color="auto"/>
            </w:tcBorders>
            <w:shd w:val="clear" w:color="000000" w:fill="FFFFFF"/>
            <w:vAlign w:val="center"/>
            <w:hideMark/>
          </w:tcPr>
          <w:p w14:paraId="200B2C14"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-0,30</w:t>
            </w:r>
          </w:p>
        </w:tc>
        <w:tc>
          <w:tcPr>
            <w:tcW w:w="700" w:type="dxa"/>
            <w:tcBorders>
              <w:top w:val="nil"/>
              <w:left w:val="nil"/>
              <w:bottom w:val="single" w:sz="4" w:space="0" w:color="auto"/>
              <w:right w:val="single" w:sz="4" w:space="0" w:color="auto"/>
            </w:tcBorders>
            <w:shd w:val="clear" w:color="000000" w:fill="FFFFFF"/>
            <w:vAlign w:val="center"/>
            <w:hideMark/>
          </w:tcPr>
          <w:p w14:paraId="67A6C17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х</w:t>
            </w:r>
          </w:p>
        </w:tc>
      </w:tr>
      <w:tr w:rsidR="00E47AA9" w:rsidRPr="00E47AA9" w14:paraId="784E64DC" w14:textId="77777777" w:rsidTr="00BB056E">
        <w:trPr>
          <w:trHeight w:val="340"/>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0D3B6EB9"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13.</w:t>
            </w:r>
          </w:p>
        </w:tc>
        <w:tc>
          <w:tcPr>
            <w:tcW w:w="2235" w:type="dxa"/>
            <w:tcBorders>
              <w:top w:val="nil"/>
              <w:left w:val="nil"/>
              <w:bottom w:val="single" w:sz="4" w:space="0" w:color="auto"/>
              <w:right w:val="single" w:sz="4" w:space="0" w:color="auto"/>
            </w:tcBorders>
            <w:shd w:val="clear" w:color="auto" w:fill="auto"/>
            <w:vAlign w:val="center"/>
            <w:hideMark/>
          </w:tcPr>
          <w:p w14:paraId="3C136801"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Фонд заработной платы работников организаций (млн. руб.)</w:t>
            </w:r>
          </w:p>
        </w:tc>
        <w:tc>
          <w:tcPr>
            <w:tcW w:w="939" w:type="dxa"/>
            <w:tcBorders>
              <w:top w:val="nil"/>
              <w:left w:val="nil"/>
              <w:bottom w:val="single" w:sz="4" w:space="0" w:color="auto"/>
              <w:right w:val="single" w:sz="4" w:space="0" w:color="auto"/>
            </w:tcBorders>
            <w:shd w:val="clear" w:color="000000" w:fill="FFFFFF"/>
            <w:vAlign w:val="center"/>
            <w:hideMark/>
          </w:tcPr>
          <w:p w14:paraId="4F89BC10"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418657,30</w:t>
            </w:r>
          </w:p>
        </w:tc>
        <w:tc>
          <w:tcPr>
            <w:tcW w:w="939" w:type="dxa"/>
            <w:tcBorders>
              <w:top w:val="nil"/>
              <w:left w:val="nil"/>
              <w:bottom w:val="single" w:sz="4" w:space="0" w:color="auto"/>
              <w:right w:val="single" w:sz="4" w:space="0" w:color="auto"/>
            </w:tcBorders>
            <w:shd w:val="clear" w:color="000000" w:fill="FFFFFF"/>
            <w:vAlign w:val="center"/>
            <w:hideMark/>
          </w:tcPr>
          <w:p w14:paraId="72009983"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485658,30</w:t>
            </w:r>
          </w:p>
        </w:tc>
        <w:tc>
          <w:tcPr>
            <w:tcW w:w="1172" w:type="dxa"/>
            <w:tcBorders>
              <w:top w:val="nil"/>
              <w:left w:val="nil"/>
              <w:bottom w:val="single" w:sz="4" w:space="0" w:color="auto"/>
              <w:right w:val="single" w:sz="4" w:space="0" w:color="auto"/>
            </w:tcBorders>
            <w:shd w:val="clear" w:color="000000" w:fill="FFFFFF"/>
            <w:vAlign w:val="center"/>
            <w:hideMark/>
          </w:tcPr>
          <w:p w14:paraId="1C0E1F6B"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512916,50</w:t>
            </w:r>
          </w:p>
        </w:tc>
        <w:tc>
          <w:tcPr>
            <w:tcW w:w="1021" w:type="dxa"/>
            <w:tcBorders>
              <w:top w:val="nil"/>
              <w:left w:val="nil"/>
              <w:bottom w:val="single" w:sz="4" w:space="0" w:color="auto"/>
              <w:right w:val="single" w:sz="4" w:space="0" w:color="auto"/>
            </w:tcBorders>
            <w:shd w:val="clear" w:color="auto" w:fill="auto"/>
            <w:vAlign w:val="center"/>
            <w:hideMark/>
          </w:tcPr>
          <w:p w14:paraId="64D803D7"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559999,60 </w:t>
            </w:r>
          </w:p>
        </w:tc>
        <w:tc>
          <w:tcPr>
            <w:tcW w:w="1172" w:type="dxa"/>
            <w:tcBorders>
              <w:top w:val="nil"/>
              <w:left w:val="nil"/>
              <w:bottom w:val="single" w:sz="4" w:space="0" w:color="auto"/>
              <w:right w:val="single" w:sz="4" w:space="0" w:color="auto"/>
            </w:tcBorders>
            <w:shd w:val="clear" w:color="000000" w:fill="FFFFFF"/>
            <w:vAlign w:val="center"/>
            <w:hideMark/>
          </w:tcPr>
          <w:p w14:paraId="4E18433E"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659231,60</w:t>
            </w:r>
          </w:p>
        </w:tc>
        <w:tc>
          <w:tcPr>
            <w:tcW w:w="929" w:type="dxa"/>
            <w:tcBorders>
              <w:top w:val="nil"/>
              <w:left w:val="nil"/>
              <w:bottom w:val="single" w:sz="4" w:space="0" w:color="auto"/>
              <w:right w:val="single" w:sz="4" w:space="0" w:color="auto"/>
            </w:tcBorders>
            <w:shd w:val="clear" w:color="000000" w:fill="FFFFFF"/>
            <w:vAlign w:val="center"/>
            <w:hideMark/>
          </w:tcPr>
          <w:p w14:paraId="13D89032"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47083,10 </w:t>
            </w:r>
          </w:p>
        </w:tc>
        <w:tc>
          <w:tcPr>
            <w:tcW w:w="939" w:type="dxa"/>
            <w:tcBorders>
              <w:top w:val="nil"/>
              <w:left w:val="nil"/>
              <w:bottom w:val="single" w:sz="4" w:space="0" w:color="auto"/>
              <w:right w:val="single" w:sz="4" w:space="0" w:color="auto"/>
            </w:tcBorders>
            <w:shd w:val="clear" w:color="000000" w:fill="FFFFFF"/>
            <w:vAlign w:val="center"/>
            <w:hideMark/>
          </w:tcPr>
          <w:p w14:paraId="76208C80"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74341,30 </w:t>
            </w:r>
          </w:p>
        </w:tc>
        <w:tc>
          <w:tcPr>
            <w:tcW w:w="700" w:type="dxa"/>
            <w:tcBorders>
              <w:top w:val="nil"/>
              <w:left w:val="nil"/>
              <w:bottom w:val="single" w:sz="4" w:space="0" w:color="auto"/>
              <w:right w:val="single" w:sz="4" w:space="0" w:color="auto"/>
            </w:tcBorders>
            <w:shd w:val="clear" w:color="000000" w:fill="FFFFFF"/>
            <w:vAlign w:val="center"/>
            <w:hideMark/>
          </w:tcPr>
          <w:p w14:paraId="59BB0F7F"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115,31 </w:t>
            </w:r>
          </w:p>
        </w:tc>
      </w:tr>
      <w:tr w:rsidR="00E47AA9" w:rsidRPr="00E47AA9" w14:paraId="4A82EF70" w14:textId="77777777" w:rsidTr="00BB056E">
        <w:trPr>
          <w:trHeight w:val="340"/>
        </w:trPr>
        <w:tc>
          <w:tcPr>
            <w:tcW w:w="446" w:type="dxa"/>
            <w:tcBorders>
              <w:top w:val="nil"/>
              <w:left w:val="single" w:sz="4" w:space="0" w:color="auto"/>
              <w:bottom w:val="single" w:sz="4" w:space="0" w:color="auto"/>
              <w:right w:val="single" w:sz="4" w:space="0" w:color="auto"/>
            </w:tcBorders>
            <w:shd w:val="clear" w:color="000000" w:fill="FFFFFF"/>
            <w:vAlign w:val="center"/>
            <w:hideMark/>
          </w:tcPr>
          <w:p w14:paraId="72803113"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14.</w:t>
            </w:r>
          </w:p>
        </w:tc>
        <w:tc>
          <w:tcPr>
            <w:tcW w:w="2235" w:type="dxa"/>
            <w:tcBorders>
              <w:top w:val="nil"/>
              <w:left w:val="nil"/>
              <w:bottom w:val="single" w:sz="4" w:space="0" w:color="auto"/>
              <w:right w:val="single" w:sz="4" w:space="0" w:color="auto"/>
            </w:tcBorders>
            <w:shd w:val="clear" w:color="000000" w:fill="FFFFFF"/>
            <w:vAlign w:val="center"/>
            <w:hideMark/>
          </w:tcPr>
          <w:p w14:paraId="3AE78822"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xml:space="preserve">Среднедушевые денежные доходы (в </w:t>
            </w:r>
            <w:proofErr w:type="gramStart"/>
            <w:r w:rsidRPr="00E47AA9">
              <w:rPr>
                <w:rFonts w:ascii="Times New Roman" w:eastAsia="Times New Roman" w:hAnsi="Times New Roman" w:cs="Times New Roman"/>
                <w:sz w:val="17"/>
                <w:szCs w:val="17"/>
                <w:lang w:eastAsia="ru-RU"/>
              </w:rPr>
              <w:t>месяц)/</w:t>
            </w:r>
            <w:proofErr w:type="gramEnd"/>
            <w:r w:rsidRPr="00E47AA9">
              <w:rPr>
                <w:rFonts w:ascii="Times New Roman" w:eastAsia="Times New Roman" w:hAnsi="Times New Roman" w:cs="Times New Roman"/>
                <w:sz w:val="17"/>
                <w:szCs w:val="17"/>
                <w:lang w:eastAsia="ru-RU"/>
              </w:rPr>
              <w:t xml:space="preserve"> рублей</w:t>
            </w:r>
          </w:p>
        </w:tc>
        <w:tc>
          <w:tcPr>
            <w:tcW w:w="939" w:type="dxa"/>
            <w:tcBorders>
              <w:top w:val="nil"/>
              <w:left w:val="nil"/>
              <w:bottom w:val="single" w:sz="4" w:space="0" w:color="auto"/>
              <w:right w:val="single" w:sz="4" w:space="0" w:color="auto"/>
            </w:tcBorders>
            <w:shd w:val="clear" w:color="000000" w:fill="FFFFFF"/>
            <w:vAlign w:val="center"/>
            <w:hideMark/>
          </w:tcPr>
          <w:p w14:paraId="5F5E5F4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44653,00</w:t>
            </w:r>
          </w:p>
        </w:tc>
        <w:tc>
          <w:tcPr>
            <w:tcW w:w="939" w:type="dxa"/>
            <w:tcBorders>
              <w:top w:val="nil"/>
              <w:left w:val="nil"/>
              <w:bottom w:val="single" w:sz="4" w:space="0" w:color="auto"/>
              <w:right w:val="single" w:sz="4" w:space="0" w:color="auto"/>
            </w:tcBorders>
            <w:shd w:val="clear" w:color="000000" w:fill="FFFFFF"/>
            <w:vAlign w:val="center"/>
            <w:hideMark/>
          </w:tcPr>
          <w:p w14:paraId="427A52AE"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51757,00</w:t>
            </w:r>
          </w:p>
        </w:tc>
        <w:tc>
          <w:tcPr>
            <w:tcW w:w="1172" w:type="dxa"/>
            <w:tcBorders>
              <w:top w:val="nil"/>
              <w:left w:val="nil"/>
              <w:bottom w:val="single" w:sz="4" w:space="0" w:color="auto"/>
              <w:right w:val="single" w:sz="4" w:space="0" w:color="auto"/>
            </w:tcBorders>
            <w:shd w:val="clear" w:color="000000" w:fill="FFFFFF"/>
            <w:vAlign w:val="center"/>
            <w:hideMark/>
          </w:tcPr>
          <w:p w14:paraId="69C2AAE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1021" w:type="dxa"/>
            <w:tcBorders>
              <w:top w:val="nil"/>
              <w:left w:val="nil"/>
              <w:bottom w:val="single" w:sz="4" w:space="0" w:color="auto"/>
              <w:right w:val="single" w:sz="4" w:space="0" w:color="auto"/>
            </w:tcBorders>
            <w:shd w:val="clear" w:color="000000" w:fill="FFFFFF"/>
            <w:vAlign w:val="center"/>
            <w:hideMark/>
          </w:tcPr>
          <w:p w14:paraId="6C239458"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64859,00</w:t>
            </w:r>
          </w:p>
        </w:tc>
        <w:tc>
          <w:tcPr>
            <w:tcW w:w="1172" w:type="dxa"/>
            <w:tcBorders>
              <w:top w:val="nil"/>
              <w:left w:val="nil"/>
              <w:bottom w:val="single" w:sz="4" w:space="0" w:color="auto"/>
              <w:right w:val="single" w:sz="4" w:space="0" w:color="auto"/>
            </w:tcBorders>
            <w:shd w:val="clear" w:color="000000" w:fill="FFFFFF"/>
            <w:vAlign w:val="center"/>
            <w:hideMark/>
          </w:tcPr>
          <w:p w14:paraId="2BFEDCCC"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929" w:type="dxa"/>
            <w:tcBorders>
              <w:top w:val="nil"/>
              <w:left w:val="nil"/>
              <w:bottom w:val="single" w:sz="4" w:space="0" w:color="auto"/>
              <w:right w:val="single" w:sz="4" w:space="0" w:color="auto"/>
            </w:tcBorders>
            <w:shd w:val="clear" w:color="000000" w:fill="FFFFFF"/>
            <w:vAlign w:val="center"/>
            <w:hideMark/>
          </w:tcPr>
          <w:p w14:paraId="6B693614"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939" w:type="dxa"/>
            <w:tcBorders>
              <w:top w:val="nil"/>
              <w:left w:val="nil"/>
              <w:bottom w:val="single" w:sz="4" w:space="0" w:color="auto"/>
              <w:right w:val="single" w:sz="4" w:space="0" w:color="auto"/>
            </w:tcBorders>
            <w:shd w:val="clear" w:color="000000" w:fill="FFFFFF"/>
            <w:vAlign w:val="center"/>
            <w:hideMark/>
          </w:tcPr>
          <w:p w14:paraId="3E4C9168"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13102,00 </w:t>
            </w:r>
          </w:p>
        </w:tc>
        <w:tc>
          <w:tcPr>
            <w:tcW w:w="700" w:type="dxa"/>
            <w:tcBorders>
              <w:top w:val="nil"/>
              <w:left w:val="nil"/>
              <w:bottom w:val="single" w:sz="4" w:space="0" w:color="auto"/>
              <w:right w:val="single" w:sz="4" w:space="0" w:color="auto"/>
            </w:tcBorders>
            <w:shd w:val="clear" w:color="000000" w:fill="FFFFFF"/>
            <w:vAlign w:val="center"/>
            <w:hideMark/>
          </w:tcPr>
          <w:p w14:paraId="1A730B3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125,31 </w:t>
            </w:r>
          </w:p>
        </w:tc>
      </w:tr>
      <w:tr w:rsidR="00E47AA9" w:rsidRPr="00E47AA9" w14:paraId="0EB8A5EE" w14:textId="77777777" w:rsidTr="00BB056E">
        <w:trPr>
          <w:trHeight w:val="340"/>
        </w:trPr>
        <w:tc>
          <w:tcPr>
            <w:tcW w:w="446" w:type="dxa"/>
            <w:tcBorders>
              <w:top w:val="nil"/>
              <w:left w:val="single" w:sz="4" w:space="0" w:color="auto"/>
              <w:bottom w:val="single" w:sz="4" w:space="0" w:color="auto"/>
              <w:right w:val="single" w:sz="4" w:space="0" w:color="auto"/>
            </w:tcBorders>
            <w:shd w:val="clear" w:color="000000" w:fill="FFFFFF"/>
            <w:vAlign w:val="center"/>
            <w:hideMark/>
          </w:tcPr>
          <w:p w14:paraId="1C287215"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15</w:t>
            </w:r>
          </w:p>
        </w:tc>
        <w:tc>
          <w:tcPr>
            <w:tcW w:w="2235" w:type="dxa"/>
            <w:tcBorders>
              <w:top w:val="nil"/>
              <w:left w:val="nil"/>
              <w:bottom w:val="single" w:sz="4" w:space="0" w:color="auto"/>
              <w:right w:val="single" w:sz="4" w:space="0" w:color="auto"/>
            </w:tcBorders>
            <w:shd w:val="clear" w:color="000000" w:fill="FFFFFF"/>
            <w:vAlign w:val="center"/>
            <w:hideMark/>
          </w:tcPr>
          <w:p w14:paraId="56AD53AA"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Реальные доходы населения</w:t>
            </w:r>
          </w:p>
        </w:tc>
        <w:tc>
          <w:tcPr>
            <w:tcW w:w="939" w:type="dxa"/>
            <w:tcBorders>
              <w:top w:val="nil"/>
              <w:left w:val="nil"/>
              <w:bottom w:val="single" w:sz="4" w:space="0" w:color="auto"/>
              <w:right w:val="single" w:sz="4" w:space="0" w:color="auto"/>
            </w:tcBorders>
            <w:shd w:val="clear" w:color="000000" w:fill="FFFFFF"/>
            <w:vAlign w:val="center"/>
            <w:hideMark/>
          </w:tcPr>
          <w:p w14:paraId="526F77E6"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97,60</w:t>
            </w:r>
          </w:p>
        </w:tc>
        <w:tc>
          <w:tcPr>
            <w:tcW w:w="939" w:type="dxa"/>
            <w:tcBorders>
              <w:top w:val="nil"/>
              <w:left w:val="nil"/>
              <w:bottom w:val="single" w:sz="4" w:space="0" w:color="auto"/>
              <w:right w:val="single" w:sz="4" w:space="0" w:color="auto"/>
            </w:tcBorders>
            <w:shd w:val="clear" w:color="000000" w:fill="FFFFFF"/>
            <w:vAlign w:val="center"/>
            <w:hideMark/>
          </w:tcPr>
          <w:p w14:paraId="195795EA"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101,30</w:t>
            </w:r>
          </w:p>
        </w:tc>
        <w:tc>
          <w:tcPr>
            <w:tcW w:w="1172" w:type="dxa"/>
            <w:tcBorders>
              <w:top w:val="nil"/>
              <w:left w:val="nil"/>
              <w:bottom w:val="single" w:sz="4" w:space="0" w:color="auto"/>
              <w:right w:val="single" w:sz="4" w:space="0" w:color="auto"/>
            </w:tcBorders>
            <w:shd w:val="clear" w:color="000000" w:fill="FFFFFF"/>
            <w:vAlign w:val="center"/>
            <w:hideMark/>
          </w:tcPr>
          <w:p w14:paraId="501EDFF0"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1021" w:type="dxa"/>
            <w:tcBorders>
              <w:top w:val="nil"/>
              <w:left w:val="nil"/>
              <w:bottom w:val="single" w:sz="4" w:space="0" w:color="auto"/>
              <w:right w:val="single" w:sz="4" w:space="0" w:color="auto"/>
            </w:tcBorders>
            <w:shd w:val="clear" w:color="000000" w:fill="FFFFFF"/>
            <w:vAlign w:val="center"/>
            <w:hideMark/>
          </w:tcPr>
          <w:p w14:paraId="4B81E14A"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108,10</w:t>
            </w:r>
          </w:p>
        </w:tc>
        <w:tc>
          <w:tcPr>
            <w:tcW w:w="1172" w:type="dxa"/>
            <w:tcBorders>
              <w:top w:val="nil"/>
              <w:left w:val="nil"/>
              <w:bottom w:val="single" w:sz="4" w:space="0" w:color="auto"/>
              <w:right w:val="single" w:sz="4" w:space="0" w:color="auto"/>
            </w:tcBorders>
            <w:shd w:val="clear" w:color="000000" w:fill="FFFFFF"/>
            <w:vAlign w:val="center"/>
            <w:hideMark/>
          </w:tcPr>
          <w:p w14:paraId="50ACAB53"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929" w:type="dxa"/>
            <w:tcBorders>
              <w:top w:val="nil"/>
              <w:left w:val="nil"/>
              <w:bottom w:val="single" w:sz="4" w:space="0" w:color="auto"/>
              <w:right w:val="single" w:sz="4" w:space="0" w:color="auto"/>
            </w:tcBorders>
            <w:shd w:val="clear" w:color="000000" w:fill="FFFFFF"/>
            <w:vAlign w:val="center"/>
            <w:hideMark/>
          </w:tcPr>
          <w:p w14:paraId="0B356805"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w:t>
            </w:r>
          </w:p>
        </w:tc>
        <w:tc>
          <w:tcPr>
            <w:tcW w:w="939" w:type="dxa"/>
            <w:tcBorders>
              <w:top w:val="nil"/>
              <w:left w:val="nil"/>
              <w:bottom w:val="single" w:sz="4" w:space="0" w:color="auto"/>
              <w:right w:val="single" w:sz="4" w:space="0" w:color="auto"/>
            </w:tcBorders>
            <w:shd w:val="clear" w:color="000000" w:fill="FFFFFF"/>
            <w:vAlign w:val="center"/>
            <w:hideMark/>
          </w:tcPr>
          <w:p w14:paraId="1AE44BA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6,80 </w:t>
            </w:r>
          </w:p>
        </w:tc>
        <w:tc>
          <w:tcPr>
            <w:tcW w:w="700" w:type="dxa"/>
            <w:tcBorders>
              <w:top w:val="nil"/>
              <w:left w:val="nil"/>
              <w:bottom w:val="single" w:sz="4" w:space="0" w:color="auto"/>
              <w:right w:val="single" w:sz="4" w:space="0" w:color="auto"/>
            </w:tcBorders>
            <w:shd w:val="clear" w:color="000000" w:fill="FFFFFF"/>
            <w:vAlign w:val="center"/>
            <w:hideMark/>
          </w:tcPr>
          <w:p w14:paraId="433621BA"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106,71</w:t>
            </w:r>
          </w:p>
        </w:tc>
      </w:tr>
      <w:tr w:rsidR="00E47AA9" w:rsidRPr="00E47AA9" w14:paraId="26E989BB" w14:textId="77777777" w:rsidTr="00BB056E">
        <w:trPr>
          <w:trHeight w:val="340"/>
        </w:trPr>
        <w:tc>
          <w:tcPr>
            <w:tcW w:w="446" w:type="dxa"/>
            <w:tcBorders>
              <w:top w:val="nil"/>
              <w:left w:val="single" w:sz="4" w:space="0" w:color="auto"/>
              <w:bottom w:val="single" w:sz="4" w:space="0" w:color="auto"/>
              <w:right w:val="single" w:sz="4" w:space="0" w:color="auto"/>
            </w:tcBorders>
            <w:shd w:val="clear" w:color="000000" w:fill="FFFFFF"/>
            <w:vAlign w:val="center"/>
            <w:hideMark/>
          </w:tcPr>
          <w:p w14:paraId="5CC24844"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16</w:t>
            </w:r>
          </w:p>
        </w:tc>
        <w:tc>
          <w:tcPr>
            <w:tcW w:w="2235" w:type="dxa"/>
            <w:tcBorders>
              <w:top w:val="nil"/>
              <w:left w:val="nil"/>
              <w:bottom w:val="single" w:sz="4" w:space="0" w:color="auto"/>
              <w:right w:val="single" w:sz="4" w:space="0" w:color="auto"/>
            </w:tcBorders>
            <w:shd w:val="clear" w:color="auto" w:fill="auto"/>
            <w:vAlign w:val="center"/>
            <w:hideMark/>
          </w:tcPr>
          <w:p w14:paraId="245B4A5F"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Реальные располагаемые денежные доходы населения /в % к предыдущему году</w:t>
            </w:r>
          </w:p>
        </w:tc>
        <w:tc>
          <w:tcPr>
            <w:tcW w:w="939" w:type="dxa"/>
            <w:tcBorders>
              <w:top w:val="nil"/>
              <w:left w:val="nil"/>
              <w:bottom w:val="single" w:sz="4" w:space="0" w:color="auto"/>
              <w:right w:val="single" w:sz="4" w:space="0" w:color="auto"/>
            </w:tcBorders>
            <w:shd w:val="clear" w:color="000000" w:fill="FFFFFF"/>
            <w:vAlign w:val="center"/>
            <w:hideMark/>
          </w:tcPr>
          <w:p w14:paraId="5D40E70A"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98,00</w:t>
            </w:r>
          </w:p>
        </w:tc>
        <w:tc>
          <w:tcPr>
            <w:tcW w:w="939" w:type="dxa"/>
            <w:tcBorders>
              <w:top w:val="nil"/>
              <w:left w:val="nil"/>
              <w:bottom w:val="single" w:sz="4" w:space="0" w:color="auto"/>
              <w:right w:val="single" w:sz="4" w:space="0" w:color="auto"/>
            </w:tcBorders>
            <w:shd w:val="clear" w:color="000000" w:fill="FFFFFF"/>
            <w:vAlign w:val="center"/>
            <w:hideMark/>
          </w:tcPr>
          <w:p w14:paraId="1DEC643E"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105,30</w:t>
            </w:r>
          </w:p>
        </w:tc>
        <w:tc>
          <w:tcPr>
            <w:tcW w:w="1172" w:type="dxa"/>
            <w:tcBorders>
              <w:top w:val="nil"/>
              <w:left w:val="nil"/>
              <w:bottom w:val="single" w:sz="4" w:space="0" w:color="auto"/>
              <w:right w:val="single" w:sz="4" w:space="0" w:color="auto"/>
            </w:tcBorders>
            <w:shd w:val="clear" w:color="000000" w:fill="FFFFFF"/>
            <w:vAlign w:val="center"/>
            <w:hideMark/>
          </w:tcPr>
          <w:p w14:paraId="10CE70CC"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105,30</w:t>
            </w:r>
          </w:p>
        </w:tc>
        <w:tc>
          <w:tcPr>
            <w:tcW w:w="1021" w:type="dxa"/>
            <w:tcBorders>
              <w:top w:val="nil"/>
              <w:left w:val="nil"/>
              <w:bottom w:val="single" w:sz="4" w:space="0" w:color="auto"/>
              <w:right w:val="single" w:sz="4" w:space="0" w:color="auto"/>
            </w:tcBorders>
            <w:shd w:val="clear" w:color="000000" w:fill="FFFFFF"/>
            <w:vAlign w:val="center"/>
            <w:hideMark/>
          </w:tcPr>
          <w:p w14:paraId="5ACA0685"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108,30</w:t>
            </w:r>
          </w:p>
        </w:tc>
        <w:tc>
          <w:tcPr>
            <w:tcW w:w="1172" w:type="dxa"/>
            <w:tcBorders>
              <w:top w:val="nil"/>
              <w:left w:val="nil"/>
              <w:bottom w:val="single" w:sz="4" w:space="0" w:color="auto"/>
              <w:right w:val="single" w:sz="4" w:space="0" w:color="auto"/>
            </w:tcBorders>
            <w:shd w:val="clear" w:color="000000" w:fill="FFFFFF"/>
            <w:vAlign w:val="center"/>
            <w:hideMark/>
          </w:tcPr>
          <w:p w14:paraId="1368EFF0"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106,10</w:t>
            </w:r>
          </w:p>
        </w:tc>
        <w:tc>
          <w:tcPr>
            <w:tcW w:w="929" w:type="dxa"/>
            <w:tcBorders>
              <w:top w:val="nil"/>
              <w:left w:val="nil"/>
              <w:bottom w:val="single" w:sz="4" w:space="0" w:color="auto"/>
              <w:right w:val="single" w:sz="4" w:space="0" w:color="auto"/>
            </w:tcBorders>
            <w:shd w:val="clear" w:color="000000" w:fill="FFFFFF"/>
            <w:vAlign w:val="center"/>
            <w:hideMark/>
          </w:tcPr>
          <w:p w14:paraId="3BC998F0"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3,00</w:t>
            </w:r>
          </w:p>
        </w:tc>
        <w:tc>
          <w:tcPr>
            <w:tcW w:w="939" w:type="dxa"/>
            <w:tcBorders>
              <w:top w:val="nil"/>
              <w:left w:val="nil"/>
              <w:bottom w:val="single" w:sz="4" w:space="0" w:color="auto"/>
              <w:right w:val="single" w:sz="4" w:space="0" w:color="auto"/>
            </w:tcBorders>
            <w:shd w:val="clear" w:color="000000" w:fill="FFFFFF"/>
            <w:vAlign w:val="center"/>
            <w:hideMark/>
          </w:tcPr>
          <w:p w14:paraId="3FFD055B"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3,00</w:t>
            </w:r>
          </w:p>
        </w:tc>
        <w:tc>
          <w:tcPr>
            <w:tcW w:w="700" w:type="dxa"/>
            <w:tcBorders>
              <w:top w:val="nil"/>
              <w:left w:val="nil"/>
              <w:bottom w:val="single" w:sz="4" w:space="0" w:color="auto"/>
              <w:right w:val="single" w:sz="4" w:space="0" w:color="auto"/>
            </w:tcBorders>
            <w:shd w:val="clear" w:color="000000" w:fill="FFFFFF"/>
            <w:vAlign w:val="center"/>
            <w:hideMark/>
          </w:tcPr>
          <w:p w14:paraId="68C3498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х</w:t>
            </w:r>
          </w:p>
        </w:tc>
      </w:tr>
      <w:tr w:rsidR="00E47AA9" w:rsidRPr="00E47AA9" w14:paraId="230EBE89" w14:textId="77777777" w:rsidTr="00BB056E">
        <w:trPr>
          <w:trHeight w:val="340"/>
        </w:trPr>
        <w:tc>
          <w:tcPr>
            <w:tcW w:w="446" w:type="dxa"/>
            <w:tcBorders>
              <w:top w:val="nil"/>
              <w:left w:val="single" w:sz="4" w:space="0" w:color="auto"/>
              <w:bottom w:val="single" w:sz="4" w:space="0" w:color="auto"/>
              <w:right w:val="single" w:sz="4" w:space="0" w:color="auto"/>
            </w:tcBorders>
            <w:shd w:val="clear" w:color="000000" w:fill="FFFFFF"/>
            <w:vAlign w:val="center"/>
            <w:hideMark/>
          </w:tcPr>
          <w:p w14:paraId="685586CD"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17</w:t>
            </w:r>
          </w:p>
        </w:tc>
        <w:tc>
          <w:tcPr>
            <w:tcW w:w="2235" w:type="dxa"/>
            <w:tcBorders>
              <w:top w:val="nil"/>
              <w:left w:val="nil"/>
              <w:bottom w:val="single" w:sz="4" w:space="0" w:color="auto"/>
              <w:right w:val="single" w:sz="4" w:space="0" w:color="auto"/>
            </w:tcBorders>
            <w:shd w:val="clear" w:color="auto" w:fill="auto"/>
            <w:vAlign w:val="center"/>
            <w:hideMark/>
          </w:tcPr>
          <w:p w14:paraId="34214555"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 xml:space="preserve">Величина прожиточного минимума (в среднем на душу </w:t>
            </w:r>
            <w:proofErr w:type="gramStart"/>
            <w:r w:rsidRPr="00E47AA9">
              <w:rPr>
                <w:rFonts w:ascii="Times New Roman" w:eastAsia="Times New Roman" w:hAnsi="Times New Roman" w:cs="Times New Roman"/>
                <w:sz w:val="17"/>
                <w:szCs w:val="17"/>
                <w:lang w:eastAsia="ru-RU"/>
              </w:rPr>
              <w:t>населения)/</w:t>
            </w:r>
            <w:proofErr w:type="gramEnd"/>
            <w:r w:rsidRPr="00E47AA9">
              <w:rPr>
                <w:rFonts w:ascii="Times New Roman" w:eastAsia="Times New Roman" w:hAnsi="Times New Roman" w:cs="Times New Roman"/>
                <w:sz w:val="17"/>
                <w:szCs w:val="17"/>
                <w:lang w:eastAsia="ru-RU"/>
              </w:rPr>
              <w:t xml:space="preserve"> рублей в месяц</w:t>
            </w:r>
          </w:p>
        </w:tc>
        <w:tc>
          <w:tcPr>
            <w:tcW w:w="939" w:type="dxa"/>
            <w:tcBorders>
              <w:top w:val="nil"/>
              <w:left w:val="nil"/>
              <w:bottom w:val="single" w:sz="4" w:space="0" w:color="auto"/>
              <w:right w:val="single" w:sz="4" w:space="0" w:color="auto"/>
            </w:tcBorders>
            <w:shd w:val="clear" w:color="000000" w:fill="FFFFFF"/>
            <w:vAlign w:val="center"/>
            <w:hideMark/>
          </w:tcPr>
          <w:p w14:paraId="7B6DA61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16564,00</w:t>
            </w:r>
          </w:p>
        </w:tc>
        <w:tc>
          <w:tcPr>
            <w:tcW w:w="939" w:type="dxa"/>
            <w:tcBorders>
              <w:top w:val="nil"/>
              <w:left w:val="nil"/>
              <w:bottom w:val="single" w:sz="4" w:space="0" w:color="auto"/>
              <w:right w:val="single" w:sz="4" w:space="0" w:color="auto"/>
            </w:tcBorders>
            <w:shd w:val="clear" w:color="000000" w:fill="FFFFFF"/>
            <w:vAlign w:val="center"/>
            <w:hideMark/>
          </w:tcPr>
          <w:p w14:paraId="3888D25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17106,00</w:t>
            </w:r>
          </w:p>
        </w:tc>
        <w:tc>
          <w:tcPr>
            <w:tcW w:w="1172" w:type="dxa"/>
            <w:tcBorders>
              <w:top w:val="nil"/>
              <w:left w:val="nil"/>
              <w:bottom w:val="single" w:sz="4" w:space="0" w:color="auto"/>
              <w:right w:val="single" w:sz="4" w:space="0" w:color="auto"/>
            </w:tcBorders>
            <w:shd w:val="clear" w:color="000000" w:fill="FFFFFF"/>
            <w:vAlign w:val="center"/>
            <w:hideMark/>
          </w:tcPr>
          <w:p w14:paraId="73FAFABF"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18389,00</w:t>
            </w:r>
          </w:p>
        </w:tc>
        <w:tc>
          <w:tcPr>
            <w:tcW w:w="1021" w:type="dxa"/>
            <w:tcBorders>
              <w:top w:val="nil"/>
              <w:left w:val="nil"/>
              <w:bottom w:val="single" w:sz="4" w:space="0" w:color="auto"/>
              <w:right w:val="single" w:sz="4" w:space="0" w:color="auto"/>
            </w:tcBorders>
            <w:shd w:val="clear" w:color="000000" w:fill="FFFFFF"/>
            <w:vAlign w:val="center"/>
            <w:hideMark/>
          </w:tcPr>
          <w:p w14:paraId="7E725DBB"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18389,00</w:t>
            </w:r>
          </w:p>
        </w:tc>
        <w:tc>
          <w:tcPr>
            <w:tcW w:w="1172" w:type="dxa"/>
            <w:tcBorders>
              <w:top w:val="nil"/>
              <w:left w:val="nil"/>
              <w:bottom w:val="single" w:sz="4" w:space="0" w:color="auto"/>
              <w:right w:val="single" w:sz="4" w:space="0" w:color="auto"/>
            </w:tcBorders>
            <w:shd w:val="clear" w:color="000000" w:fill="FFFFFF"/>
            <w:vAlign w:val="center"/>
            <w:hideMark/>
          </w:tcPr>
          <w:p w14:paraId="0482C1F4"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21102,00</w:t>
            </w:r>
          </w:p>
        </w:tc>
        <w:tc>
          <w:tcPr>
            <w:tcW w:w="929" w:type="dxa"/>
            <w:tcBorders>
              <w:top w:val="nil"/>
              <w:left w:val="nil"/>
              <w:bottom w:val="single" w:sz="4" w:space="0" w:color="auto"/>
              <w:right w:val="single" w:sz="4" w:space="0" w:color="auto"/>
            </w:tcBorders>
            <w:shd w:val="clear" w:color="000000" w:fill="FFFFFF"/>
            <w:vAlign w:val="center"/>
            <w:hideMark/>
          </w:tcPr>
          <w:p w14:paraId="27575A3A"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0,00</w:t>
            </w:r>
          </w:p>
        </w:tc>
        <w:tc>
          <w:tcPr>
            <w:tcW w:w="939" w:type="dxa"/>
            <w:tcBorders>
              <w:top w:val="nil"/>
              <w:left w:val="nil"/>
              <w:bottom w:val="single" w:sz="4" w:space="0" w:color="auto"/>
              <w:right w:val="single" w:sz="4" w:space="0" w:color="auto"/>
            </w:tcBorders>
            <w:shd w:val="clear" w:color="000000" w:fill="FFFFFF"/>
            <w:vAlign w:val="center"/>
            <w:hideMark/>
          </w:tcPr>
          <w:p w14:paraId="5D2D1978"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1283,00</w:t>
            </w:r>
          </w:p>
        </w:tc>
        <w:tc>
          <w:tcPr>
            <w:tcW w:w="700" w:type="dxa"/>
            <w:tcBorders>
              <w:top w:val="nil"/>
              <w:left w:val="nil"/>
              <w:bottom w:val="single" w:sz="4" w:space="0" w:color="auto"/>
              <w:right w:val="single" w:sz="4" w:space="0" w:color="auto"/>
            </w:tcBorders>
            <w:shd w:val="clear" w:color="000000" w:fill="FFFFFF"/>
            <w:vAlign w:val="center"/>
            <w:hideMark/>
          </w:tcPr>
          <w:p w14:paraId="2636E57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107,50</w:t>
            </w:r>
          </w:p>
        </w:tc>
      </w:tr>
      <w:tr w:rsidR="00E47AA9" w:rsidRPr="00E47AA9" w14:paraId="6EF76FB7" w14:textId="77777777" w:rsidTr="00BB056E">
        <w:trPr>
          <w:trHeight w:val="340"/>
        </w:trPr>
        <w:tc>
          <w:tcPr>
            <w:tcW w:w="446" w:type="dxa"/>
            <w:tcBorders>
              <w:top w:val="nil"/>
              <w:left w:val="single" w:sz="4" w:space="0" w:color="auto"/>
              <w:bottom w:val="single" w:sz="4" w:space="0" w:color="auto"/>
              <w:right w:val="single" w:sz="4" w:space="0" w:color="auto"/>
            </w:tcBorders>
            <w:shd w:val="clear" w:color="000000" w:fill="FFFFFF"/>
            <w:vAlign w:val="center"/>
            <w:hideMark/>
          </w:tcPr>
          <w:p w14:paraId="07B0443F"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18</w:t>
            </w:r>
          </w:p>
        </w:tc>
        <w:tc>
          <w:tcPr>
            <w:tcW w:w="2235" w:type="dxa"/>
            <w:tcBorders>
              <w:top w:val="nil"/>
              <w:left w:val="nil"/>
              <w:bottom w:val="single" w:sz="4" w:space="0" w:color="auto"/>
              <w:right w:val="single" w:sz="4" w:space="0" w:color="auto"/>
            </w:tcBorders>
            <w:shd w:val="clear" w:color="auto" w:fill="auto"/>
            <w:vAlign w:val="center"/>
            <w:hideMark/>
          </w:tcPr>
          <w:p w14:paraId="1036DA64"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Экспорт товаров/ млн долл. США</w:t>
            </w:r>
          </w:p>
        </w:tc>
        <w:tc>
          <w:tcPr>
            <w:tcW w:w="939" w:type="dxa"/>
            <w:tcBorders>
              <w:top w:val="nil"/>
              <w:left w:val="nil"/>
              <w:bottom w:val="single" w:sz="4" w:space="0" w:color="auto"/>
              <w:right w:val="single" w:sz="4" w:space="0" w:color="auto"/>
            </w:tcBorders>
            <w:shd w:val="clear" w:color="000000" w:fill="FFFFFF"/>
            <w:vAlign w:val="center"/>
            <w:hideMark/>
          </w:tcPr>
          <w:p w14:paraId="2364D5F8"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3955,70</w:t>
            </w:r>
          </w:p>
        </w:tc>
        <w:tc>
          <w:tcPr>
            <w:tcW w:w="939" w:type="dxa"/>
            <w:tcBorders>
              <w:top w:val="nil"/>
              <w:left w:val="nil"/>
              <w:bottom w:val="single" w:sz="4" w:space="0" w:color="auto"/>
              <w:right w:val="single" w:sz="4" w:space="0" w:color="auto"/>
            </w:tcBorders>
            <w:shd w:val="clear" w:color="000000" w:fill="FFFFFF"/>
            <w:vAlign w:val="center"/>
            <w:hideMark/>
          </w:tcPr>
          <w:p w14:paraId="6E7141F0"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3144,40</w:t>
            </w:r>
          </w:p>
        </w:tc>
        <w:tc>
          <w:tcPr>
            <w:tcW w:w="1172" w:type="dxa"/>
            <w:tcBorders>
              <w:top w:val="nil"/>
              <w:left w:val="nil"/>
              <w:bottom w:val="single" w:sz="4" w:space="0" w:color="auto"/>
              <w:right w:val="single" w:sz="4" w:space="0" w:color="auto"/>
            </w:tcBorders>
            <w:shd w:val="clear" w:color="000000" w:fill="FFFFFF"/>
            <w:vAlign w:val="center"/>
            <w:hideMark/>
          </w:tcPr>
          <w:p w14:paraId="09FB92E5"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4329,40</w:t>
            </w:r>
          </w:p>
        </w:tc>
        <w:tc>
          <w:tcPr>
            <w:tcW w:w="1021" w:type="dxa"/>
            <w:tcBorders>
              <w:top w:val="nil"/>
              <w:left w:val="nil"/>
              <w:bottom w:val="single" w:sz="4" w:space="0" w:color="auto"/>
              <w:right w:val="single" w:sz="4" w:space="0" w:color="auto"/>
            </w:tcBorders>
            <w:shd w:val="clear" w:color="auto" w:fill="auto"/>
            <w:vAlign w:val="center"/>
            <w:hideMark/>
          </w:tcPr>
          <w:p w14:paraId="133F14AA"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2728,20 </w:t>
            </w:r>
          </w:p>
        </w:tc>
        <w:tc>
          <w:tcPr>
            <w:tcW w:w="1172" w:type="dxa"/>
            <w:tcBorders>
              <w:top w:val="nil"/>
              <w:left w:val="nil"/>
              <w:bottom w:val="single" w:sz="4" w:space="0" w:color="auto"/>
              <w:right w:val="single" w:sz="4" w:space="0" w:color="auto"/>
            </w:tcBorders>
            <w:shd w:val="clear" w:color="000000" w:fill="FFFFFF"/>
            <w:vAlign w:val="center"/>
            <w:hideMark/>
          </w:tcPr>
          <w:p w14:paraId="76087D72"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3293,20</w:t>
            </w:r>
          </w:p>
        </w:tc>
        <w:tc>
          <w:tcPr>
            <w:tcW w:w="929" w:type="dxa"/>
            <w:tcBorders>
              <w:top w:val="nil"/>
              <w:left w:val="nil"/>
              <w:bottom w:val="single" w:sz="4" w:space="0" w:color="auto"/>
              <w:right w:val="single" w:sz="4" w:space="0" w:color="auto"/>
            </w:tcBorders>
            <w:shd w:val="clear" w:color="000000" w:fill="FFFFFF"/>
            <w:vAlign w:val="center"/>
          </w:tcPr>
          <w:p w14:paraId="3EC16764"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-1601,2</w:t>
            </w:r>
          </w:p>
        </w:tc>
        <w:tc>
          <w:tcPr>
            <w:tcW w:w="939" w:type="dxa"/>
            <w:tcBorders>
              <w:top w:val="nil"/>
              <w:left w:val="nil"/>
              <w:bottom w:val="single" w:sz="4" w:space="0" w:color="auto"/>
              <w:right w:val="single" w:sz="4" w:space="0" w:color="auto"/>
            </w:tcBorders>
            <w:shd w:val="clear" w:color="000000" w:fill="FFFFFF"/>
            <w:vAlign w:val="center"/>
            <w:hideMark/>
          </w:tcPr>
          <w:p w14:paraId="1CA82D3D"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-416,20 </w:t>
            </w:r>
          </w:p>
        </w:tc>
        <w:tc>
          <w:tcPr>
            <w:tcW w:w="700" w:type="dxa"/>
            <w:tcBorders>
              <w:top w:val="nil"/>
              <w:left w:val="nil"/>
              <w:bottom w:val="single" w:sz="4" w:space="0" w:color="auto"/>
              <w:right w:val="single" w:sz="4" w:space="0" w:color="auto"/>
            </w:tcBorders>
            <w:shd w:val="clear" w:color="000000" w:fill="FFFFFF"/>
            <w:vAlign w:val="center"/>
          </w:tcPr>
          <w:p w14:paraId="7ADC42B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86,76</w:t>
            </w:r>
          </w:p>
        </w:tc>
      </w:tr>
      <w:tr w:rsidR="00E47AA9" w:rsidRPr="00E47AA9" w14:paraId="38A3E77C" w14:textId="77777777" w:rsidTr="00BB056E">
        <w:trPr>
          <w:trHeight w:val="340"/>
        </w:trPr>
        <w:tc>
          <w:tcPr>
            <w:tcW w:w="446" w:type="dxa"/>
            <w:tcBorders>
              <w:top w:val="nil"/>
              <w:left w:val="single" w:sz="4" w:space="0" w:color="auto"/>
              <w:bottom w:val="single" w:sz="4" w:space="0" w:color="auto"/>
              <w:right w:val="single" w:sz="4" w:space="0" w:color="auto"/>
            </w:tcBorders>
            <w:shd w:val="clear" w:color="000000" w:fill="FFFFFF"/>
            <w:vAlign w:val="center"/>
            <w:hideMark/>
          </w:tcPr>
          <w:p w14:paraId="2585C395"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19</w:t>
            </w:r>
          </w:p>
        </w:tc>
        <w:tc>
          <w:tcPr>
            <w:tcW w:w="2235" w:type="dxa"/>
            <w:tcBorders>
              <w:top w:val="nil"/>
              <w:left w:val="nil"/>
              <w:bottom w:val="single" w:sz="4" w:space="0" w:color="auto"/>
              <w:right w:val="single" w:sz="4" w:space="0" w:color="auto"/>
            </w:tcBorders>
            <w:shd w:val="clear" w:color="auto" w:fill="auto"/>
            <w:vAlign w:val="center"/>
            <w:hideMark/>
          </w:tcPr>
          <w:p w14:paraId="17ACE799"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Импорт товаров/ млн долл. США</w:t>
            </w:r>
          </w:p>
        </w:tc>
        <w:tc>
          <w:tcPr>
            <w:tcW w:w="939" w:type="dxa"/>
            <w:tcBorders>
              <w:top w:val="nil"/>
              <w:left w:val="nil"/>
              <w:bottom w:val="single" w:sz="4" w:space="0" w:color="auto"/>
              <w:right w:val="single" w:sz="4" w:space="0" w:color="auto"/>
            </w:tcBorders>
            <w:shd w:val="clear" w:color="000000" w:fill="FFFFFF"/>
            <w:vAlign w:val="center"/>
            <w:hideMark/>
          </w:tcPr>
          <w:p w14:paraId="5F3DA276"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9069,60</w:t>
            </w:r>
          </w:p>
        </w:tc>
        <w:tc>
          <w:tcPr>
            <w:tcW w:w="939" w:type="dxa"/>
            <w:tcBorders>
              <w:top w:val="nil"/>
              <w:left w:val="nil"/>
              <w:bottom w:val="single" w:sz="4" w:space="0" w:color="auto"/>
              <w:right w:val="single" w:sz="4" w:space="0" w:color="auto"/>
            </w:tcBorders>
            <w:shd w:val="clear" w:color="000000" w:fill="FFFFFF"/>
            <w:vAlign w:val="center"/>
            <w:hideMark/>
          </w:tcPr>
          <w:p w14:paraId="5A8E6674"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10079,10</w:t>
            </w:r>
          </w:p>
        </w:tc>
        <w:tc>
          <w:tcPr>
            <w:tcW w:w="1172" w:type="dxa"/>
            <w:tcBorders>
              <w:top w:val="nil"/>
              <w:left w:val="nil"/>
              <w:bottom w:val="single" w:sz="4" w:space="0" w:color="auto"/>
              <w:right w:val="single" w:sz="4" w:space="0" w:color="auto"/>
            </w:tcBorders>
            <w:shd w:val="clear" w:color="000000" w:fill="FFFFFF"/>
            <w:vAlign w:val="center"/>
            <w:hideMark/>
          </w:tcPr>
          <w:p w14:paraId="23FD44F6"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10744,80</w:t>
            </w:r>
          </w:p>
        </w:tc>
        <w:tc>
          <w:tcPr>
            <w:tcW w:w="1021" w:type="dxa"/>
            <w:tcBorders>
              <w:top w:val="nil"/>
              <w:left w:val="nil"/>
              <w:bottom w:val="single" w:sz="4" w:space="0" w:color="auto"/>
              <w:right w:val="single" w:sz="4" w:space="0" w:color="auto"/>
            </w:tcBorders>
            <w:shd w:val="clear" w:color="auto" w:fill="auto"/>
            <w:vAlign w:val="center"/>
            <w:hideMark/>
          </w:tcPr>
          <w:p w14:paraId="464B5C85"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7377,30 </w:t>
            </w:r>
          </w:p>
        </w:tc>
        <w:tc>
          <w:tcPr>
            <w:tcW w:w="1172" w:type="dxa"/>
            <w:tcBorders>
              <w:top w:val="nil"/>
              <w:left w:val="nil"/>
              <w:bottom w:val="single" w:sz="4" w:space="0" w:color="auto"/>
              <w:right w:val="single" w:sz="4" w:space="0" w:color="auto"/>
            </w:tcBorders>
            <w:shd w:val="clear" w:color="000000" w:fill="FFFFFF"/>
            <w:vAlign w:val="center"/>
            <w:hideMark/>
          </w:tcPr>
          <w:p w14:paraId="54293B46"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12138,60</w:t>
            </w:r>
          </w:p>
        </w:tc>
        <w:tc>
          <w:tcPr>
            <w:tcW w:w="929" w:type="dxa"/>
            <w:tcBorders>
              <w:top w:val="nil"/>
              <w:left w:val="nil"/>
              <w:bottom w:val="single" w:sz="4" w:space="0" w:color="auto"/>
              <w:right w:val="single" w:sz="4" w:space="0" w:color="auto"/>
            </w:tcBorders>
            <w:shd w:val="clear" w:color="000000" w:fill="FFFFFF"/>
            <w:vAlign w:val="center"/>
          </w:tcPr>
          <w:p w14:paraId="4CD3C7EB"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-3367,50</w:t>
            </w:r>
          </w:p>
        </w:tc>
        <w:tc>
          <w:tcPr>
            <w:tcW w:w="939" w:type="dxa"/>
            <w:tcBorders>
              <w:top w:val="nil"/>
              <w:left w:val="nil"/>
              <w:bottom w:val="single" w:sz="4" w:space="0" w:color="auto"/>
              <w:right w:val="single" w:sz="4" w:space="0" w:color="auto"/>
            </w:tcBorders>
            <w:shd w:val="clear" w:color="000000" w:fill="FFFFFF"/>
            <w:vAlign w:val="center"/>
            <w:hideMark/>
          </w:tcPr>
          <w:p w14:paraId="73A953E4"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-2701,80 </w:t>
            </w:r>
          </w:p>
        </w:tc>
        <w:tc>
          <w:tcPr>
            <w:tcW w:w="700" w:type="dxa"/>
            <w:tcBorders>
              <w:top w:val="nil"/>
              <w:left w:val="nil"/>
              <w:bottom w:val="single" w:sz="4" w:space="0" w:color="auto"/>
              <w:right w:val="single" w:sz="4" w:space="0" w:color="auto"/>
            </w:tcBorders>
            <w:shd w:val="clear" w:color="000000" w:fill="FFFFFF"/>
            <w:vAlign w:val="center"/>
          </w:tcPr>
          <w:p w14:paraId="420443A5"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73,20</w:t>
            </w:r>
          </w:p>
        </w:tc>
      </w:tr>
      <w:tr w:rsidR="00E47AA9" w:rsidRPr="00E47AA9" w14:paraId="62C8EC5A" w14:textId="77777777" w:rsidTr="00BB056E">
        <w:trPr>
          <w:trHeight w:val="340"/>
        </w:trPr>
        <w:tc>
          <w:tcPr>
            <w:tcW w:w="446" w:type="dxa"/>
            <w:tcBorders>
              <w:top w:val="nil"/>
              <w:left w:val="single" w:sz="4" w:space="0" w:color="auto"/>
              <w:bottom w:val="single" w:sz="4" w:space="0" w:color="auto"/>
              <w:right w:val="single" w:sz="4" w:space="0" w:color="auto"/>
            </w:tcBorders>
            <w:shd w:val="clear" w:color="000000" w:fill="FFFFFF"/>
            <w:vAlign w:val="center"/>
            <w:hideMark/>
          </w:tcPr>
          <w:p w14:paraId="02F45206"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20</w:t>
            </w:r>
          </w:p>
        </w:tc>
        <w:tc>
          <w:tcPr>
            <w:tcW w:w="2235" w:type="dxa"/>
            <w:tcBorders>
              <w:top w:val="nil"/>
              <w:left w:val="nil"/>
              <w:bottom w:val="single" w:sz="4" w:space="0" w:color="auto"/>
              <w:right w:val="single" w:sz="4" w:space="0" w:color="auto"/>
            </w:tcBorders>
            <w:shd w:val="clear" w:color="auto" w:fill="auto"/>
            <w:vAlign w:val="center"/>
            <w:hideMark/>
          </w:tcPr>
          <w:p w14:paraId="71FB58B7"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Продукция сельского хозяйства/ млн рублей</w:t>
            </w:r>
          </w:p>
        </w:tc>
        <w:tc>
          <w:tcPr>
            <w:tcW w:w="939" w:type="dxa"/>
            <w:tcBorders>
              <w:top w:val="nil"/>
              <w:left w:val="nil"/>
              <w:bottom w:val="single" w:sz="4" w:space="0" w:color="auto"/>
              <w:right w:val="single" w:sz="4" w:space="0" w:color="auto"/>
            </w:tcBorders>
            <w:shd w:val="clear" w:color="000000" w:fill="FFFFFF"/>
            <w:vAlign w:val="center"/>
            <w:hideMark/>
          </w:tcPr>
          <w:p w14:paraId="52874896"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69552,90</w:t>
            </w:r>
          </w:p>
        </w:tc>
        <w:tc>
          <w:tcPr>
            <w:tcW w:w="939" w:type="dxa"/>
            <w:tcBorders>
              <w:top w:val="nil"/>
              <w:left w:val="nil"/>
              <w:bottom w:val="single" w:sz="4" w:space="0" w:color="auto"/>
              <w:right w:val="single" w:sz="4" w:space="0" w:color="auto"/>
            </w:tcBorders>
            <w:shd w:val="clear" w:color="000000" w:fill="FFFFFF"/>
            <w:vAlign w:val="center"/>
            <w:hideMark/>
          </w:tcPr>
          <w:p w14:paraId="2AF886D3"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67909,20</w:t>
            </w:r>
          </w:p>
        </w:tc>
        <w:tc>
          <w:tcPr>
            <w:tcW w:w="1172" w:type="dxa"/>
            <w:tcBorders>
              <w:top w:val="nil"/>
              <w:left w:val="nil"/>
              <w:bottom w:val="single" w:sz="4" w:space="0" w:color="auto"/>
              <w:right w:val="single" w:sz="4" w:space="0" w:color="auto"/>
            </w:tcBorders>
            <w:shd w:val="clear" w:color="000000" w:fill="FFFFFF"/>
            <w:vAlign w:val="center"/>
            <w:hideMark/>
          </w:tcPr>
          <w:p w14:paraId="1B590873"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77901,60</w:t>
            </w:r>
          </w:p>
        </w:tc>
        <w:tc>
          <w:tcPr>
            <w:tcW w:w="1021" w:type="dxa"/>
            <w:tcBorders>
              <w:top w:val="nil"/>
              <w:left w:val="nil"/>
              <w:bottom w:val="single" w:sz="4" w:space="0" w:color="auto"/>
              <w:right w:val="single" w:sz="4" w:space="0" w:color="auto"/>
            </w:tcBorders>
            <w:shd w:val="clear" w:color="000000" w:fill="FFFFFF"/>
            <w:vAlign w:val="center"/>
            <w:hideMark/>
          </w:tcPr>
          <w:p w14:paraId="41A5D54E"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79029,10</w:t>
            </w:r>
          </w:p>
        </w:tc>
        <w:tc>
          <w:tcPr>
            <w:tcW w:w="1172" w:type="dxa"/>
            <w:tcBorders>
              <w:top w:val="nil"/>
              <w:left w:val="nil"/>
              <w:bottom w:val="single" w:sz="4" w:space="0" w:color="auto"/>
              <w:right w:val="single" w:sz="4" w:space="0" w:color="auto"/>
            </w:tcBorders>
            <w:shd w:val="clear" w:color="000000" w:fill="FFFFFF"/>
            <w:vAlign w:val="center"/>
            <w:hideMark/>
          </w:tcPr>
          <w:p w14:paraId="11F4EDA7"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69019,00</w:t>
            </w:r>
          </w:p>
        </w:tc>
        <w:tc>
          <w:tcPr>
            <w:tcW w:w="929" w:type="dxa"/>
            <w:tcBorders>
              <w:top w:val="nil"/>
              <w:left w:val="nil"/>
              <w:bottom w:val="single" w:sz="4" w:space="0" w:color="auto"/>
              <w:right w:val="single" w:sz="4" w:space="0" w:color="auto"/>
            </w:tcBorders>
            <w:shd w:val="clear" w:color="000000" w:fill="FFFFFF"/>
            <w:vAlign w:val="center"/>
            <w:hideMark/>
          </w:tcPr>
          <w:p w14:paraId="7C4DCAC0"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1127,50</w:t>
            </w:r>
          </w:p>
        </w:tc>
        <w:tc>
          <w:tcPr>
            <w:tcW w:w="939" w:type="dxa"/>
            <w:tcBorders>
              <w:top w:val="nil"/>
              <w:left w:val="nil"/>
              <w:bottom w:val="single" w:sz="4" w:space="0" w:color="auto"/>
              <w:right w:val="single" w:sz="4" w:space="0" w:color="auto"/>
            </w:tcBorders>
            <w:shd w:val="clear" w:color="000000" w:fill="FFFFFF"/>
            <w:vAlign w:val="center"/>
            <w:hideMark/>
          </w:tcPr>
          <w:p w14:paraId="4F68129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bookmarkStart w:id="9" w:name="_Hlk196749511"/>
            <w:r w:rsidRPr="00E47AA9">
              <w:rPr>
                <w:rFonts w:ascii="Times New Roman" w:eastAsia="Times New Roman" w:hAnsi="Times New Roman" w:cs="Times New Roman"/>
                <w:sz w:val="17"/>
                <w:szCs w:val="17"/>
                <w:lang w:eastAsia="ru-RU"/>
              </w:rPr>
              <w:t>11119,90</w:t>
            </w:r>
            <w:bookmarkEnd w:id="9"/>
          </w:p>
        </w:tc>
        <w:tc>
          <w:tcPr>
            <w:tcW w:w="700" w:type="dxa"/>
            <w:tcBorders>
              <w:top w:val="nil"/>
              <w:left w:val="nil"/>
              <w:bottom w:val="single" w:sz="4" w:space="0" w:color="auto"/>
              <w:right w:val="single" w:sz="4" w:space="0" w:color="auto"/>
            </w:tcBorders>
            <w:shd w:val="clear" w:color="000000" w:fill="FFFFFF"/>
            <w:vAlign w:val="center"/>
            <w:hideMark/>
          </w:tcPr>
          <w:p w14:paraId="669E525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116,37</w:t>
            </w:r>
          </w:p>
        </w:tc>
      </w:tr>
      <w:tr w:rsidR="00E47AA9" w:rsidRPr="00E47AA9" w14:paraId="36816B0E" w14:textId="77777777" w:rsidTr="00BB056E">
        <w:trPr>
          <w:trHeight w:val="340"/>
        </w:trPr>
        <w:tc>
          <w:tcPr>
            <w:tcW w:w="446" w:type="dxa"/>
            <w:tcBorders>
              <w:top w:val="nil"/>
              <w:left w:val="single" w:sz="4" w:space="0" w:color="auto"/>
              <w:bottom w:val="single" w:sz="4" w:space="0" w:color="auto"/>
              <w:right w:val="single" w:sz="4" w:space="0" w:color="auto"/>
            </w:tcBorders>
            <w:shd w:val="clear" w:color="000000" w:fill="FFFFFF"/>
            <w:vAlign w:val="center"/>
            <w:hideMark/>
          </w:tcPr>
          <w:p w14:paraId="51202D5C" w14:textId="77777777" w:rsidR="006C5C47" w:rsidRPr="00E47AA9" w:rsidRDefault="006C5C47" w:rsidP="00F77241">
            <w:pPr>
              <w:spacing w:after="0" w:line="240" w:lineRule="auto"/>
              <w:jc w:val="center"/>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21</w:t>
            </w:r>
          </w:p>
        </w:tc>
        <w:tc>
          <w:tcPr>
            <w:tcW w:w="2235" w:type="dxa"/>
            <w:tcBorders>
              <w:top w:val="nil"/>
              <w:left w:val="nil"/>
              <w:bottom w:val="single" w:sz="4" w:space="0" w:color="auto"/>
              <w:right w:val="single" w:sz="4" w:space="0" w:color="auto"/>
            </w:tcBorders>
            <w:shd w:val="clear" w:color="auto" w:fill="auto"/>
            <w:vAlign w:val="center"/>
            <w:hideMark/>
          </w:tcPr>
          <w:p w14:paraId="5A78F524" w14:textId="77777777" w:rsidR="006C5C47" w:rsidRPr="00E47AA9" w:rsidRDefault="006C5C47" w:rsidP="00F77241">
            <w:pPr>
              <w:spacing w:after="0" w:line="240" w:lineRule="auto"/>
              <w:jc w:val="both"/>
              <w:rPr>
                <w:rFonts w:ascii="Times New Roman" w:eastAsia="Times New Roman" w:hAnsi="Times New Roman" w:cs="Times New Roman"/>
                <w:sz w:val="17"/>
                <w:szCs w:val="17"/>
                <w:lang w:eastAsia="ru-RU"/>
              </w:rPr>
            </w:pPr>
            <w:bookmarkStart w:id="10" w:name="_Hlk196749530"/>
            <w:r w:rsidRPr="00E47AA9">
              <w:rPr>
                <w:rFonts w:ascii="Times New Roman" w:eastAsia="Times New Roman" w:hAnsi="Times New Roman" w:cs="Times New Roman"/>
                <w:sz w:val="17"/>
                <w:szCs w:val="17"/>
                <w:lang w:eastAsia="ru-RU"/>
              </w:rPr>
              <w:t>Индекс производства продукции сельского хозяйства</w:t>
            </w:r>
            <w:bookmarkEnd w:id="10"/>
          </w:p>
        </w:tc>
        <w:tc>
          <w:tcPr>
            <w:tcW w:w="939" w:type="dxa"/>
            <w:tcBorders>
              <w:top w:val="nil"/>
              <w:left w:val="nil"/>
              <w:bottom w:val="single" w:sz="4" w:space="0" w:color="auto"/>
              <w:right w:val="single" w:sz="4" w:space="0" w:color="auto"/>
            </w:tcBorders>
            <w:shd w:val="clear" w:color="000000" w:fill="FFFFFF"/>
            <w:vAlign w:val="center"/>
            <w:hideMark/>
          </w:tcPr>
          <w:p w14:paraId="6D61544C"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116,10</w:t>
            </w:r>
          </w:p>
        </w:tc>
        <w:tc>
          <w:tcPr>
            <w:tcW w:w="939" w:type="dxa"/>
            <w:tcBorders>
              <w:top w:val="nil"/>
              <w:left w:val="nil"/>
              <w:bottom w:val="single" w:sz="4" w:space="0" w:color="auto"/>
              <w:right w:val="single" w:sz="4" w:space="0" w:color="auto"/>
            </w:tcBorders>
            <w:shd w:val="clear" w:color="000000" w:fill="FFFFFF"/>
            <w:vAlign w:val="center"/>
            <w:hideMark/>
          </w:tcPr>
          <w:p w14:paraId="49EBC8DE"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87,00</w:t>
            </w:r>
          </w:p>
        </w:tc>
        <w:tc>
          <w:tcPr>
            <w:tcW w:w="1172" w:type="dxa"/>
            <w:tcBorders>
              <w:top w:val="nil"/>
              <w:left w:val="nil"/>
              <w:bottom w:val="single" w:sz="4" w:space="0" w:color="auto"/>
              <w:right w:val="single" w:sz="4" w:space="0" w:color="auto"/>
            </w:tcBorders>
            <w:shd w:val="clear" w:color="000000" w:fill="FFFFFF"/>
            <w:vAlign w:val="center"/>
            <w:hideMark/>
          </w:tcPr>
          <w:p w14:paraId="7585BDCB"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106,50</w:t>
            </w:r>
          </w:p>
        </w:tc>
        <w:tc>
          <w:tcPr>
            <w:tcW w:w="1021" w:type="dxa"/>
            <w:tcBorders>
              <w:top w:val="nil"/>
              <w:left w:val="nil"/>
              <w:bottom w:val="single" w:sz="4" w:space="0" w:color="auto"/>
              <w:right w:val="single" w:sz="4" w:space="0" w:color="auto"/>
            </w:tcBorders>
            <w:shd w:val="clear" w:color="000000" w:fill="FFFFFF"/>
            <w:vAlign w:val="center"/>
            <w:hideMark/>
          </w:tcPr>
          <w:p w14:paraId="26CF0A16"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94,20</w:t>
            </w:r>
          </w:p>
        </w:tc>
        <w:tc>
          <w:tcPr>
            <w:tcW w:w="1172" w:type="dxa"/>
            <w:tcBorders>
              <w:top w:val="nil"/>
              <w:left w:val="nil"/>
              <w:bottom w:val="single" w:sz="4" w:space="0" w:color="auto"/>
              <w:right w:val="single" w:sz="4" w:space="0" w:color="auto"/>
            </w:tcBorders>
            <w:shd w:val="clear" w:color="000000" w:fill="FFFFFF"/>
            <w:vAlign w:val="center"/>
            <w:hideMark/>
          </w:tcPr>
          <w:p w14:paraId="6FC2B2D9"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102,30</w:t>
            </w:r>
          </w:p>
        </w:tc>
        <w:tc>
          <w:tcPr>
            <w:tcW w:w="929" w:type="dxa"/>
            <w:tcBorders>
              <w:top w:val="nil"/>
              <w:left w:val="nil"/>
              <w:bottom w:val="single" w:sz="4" w:space="0" w:color="auto"/>
              <w:right w:val="single" w:sz="4" w:space="0" w:color="auto"/>
            </w:tcBorders>
            <w:shd w:val="clear" w:color="000000" w:fill="FFFFFF"/>
            <w:vAlign w:val="center"/>
            <w:hideMark/>
          </w:tcPr>
          <w:p w14:paraId="1B542C44"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-12,30</w:t>
            </w:r>
          </w:p>
        </w:tc>
        <w:tc>
          <w:tcPr>
            <w:tcW w:w="939" w:type="dxa"/>
            <w:tcBorders>
              <w:top w:val="nil"/>
              <w:left w:val="nil"/>
              <w:bottom w:val="single" w:sz="4" w:space="0" w:color="auto"/>
              <w:right w:val="single" w:sz="4" w:space="0" w:color="auto"/>
            </w:tcBorders>
            <w:shd w:val="clear" w:color="000000" w:fill="FFFFFF"/>
            <w:vAlign w:val="center"/>
            <w:hideMark/>
          </w:tcPr>
          <w:p w14:paraId="0732E2E1"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7,20</w:t>
            </w:r>
          </w:p>
        </w:tc>
        <w:tc>
          <w:tcPr>
            <w:tcW w:w="700" w:type="dxa"/>
            <w:tcBorders>
              <w:top w:val="nil"/>
              <w:left w:val="nil"/>
              <w:bottom w:val="single" w:sz="4" w:space="0" w:color="auto"/>
              <w:right w:val="single" w:sz="4" w:space="0" w:color="auto"/>
            </w:tcBorders>
            <w:shd w:val="clear" w:color="000000" w:fill="FFFFFF"/>
            <w:vAlign w:val="center"/>
            <w:hideMark/>
          </w:tcPr>
          <w:p w14:paraId="463691BA" w14:textId="77777777" w:rsidR="006C5C47" w:rsidRPr="00E47AA9" w:rsidRDefault="006C5C47" w:rsidP="00F77241">
            <w:pPr>
              <w:spacing w:after="0" w:line="240" w:lineRule="auto"/>
              <w:jc w:val="right"/>
              <w:rPr>
                <w:rFonts w:ascii="Times New Roman" w:eastAsia="Times New Roman" w:hAnsi="Times New Roman" w:cs="Times New Roman"/>
                <w:sz w:val="17"/>
                <w:szCs w:val="17"/>
                <w:lang w:eastAsia="ru-RU"/>
              </w:rPr>
            </w:pPr>
            <w:r w:rsidRPr="00E47AA9">
              <w:rPr>
                <w:rFonts w:ascii="Times New Roman" w:eastAsia="Times New Roman" w:hAnsi="Times New Roman" w:cs="Times New Roman"/>
                <w:sz w:val="17"/>
                <w:szCs w:val="17"/>
                <w:lang w:eastAsia="ru-RU"/>
              </w:rPr>
              <w:t>х</w:t>
            </w:r>
          </w:p>
        </w:tc>
      </w:tr>
    </w:tbl>
    <w:p w14:paraId="1DF4D3CD"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p>
    <w:p w14:paraId="546E1F89" w14:textId="14BC778C"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Сравнительный анализ показал, что превышение фактических значений за 2024 год над прогнозными (в Прогнозе на 2024 год) сложилось по таким основным макроэкономическим показателям, как: инвестиции в основной капитал (в абсолютном выражении) </w:t>
      </w:r>
      <w:r w:rsidR="00F77241"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на 47744,40 млн рублей</w:t>
      </w:r>
      <w:r w:rsidR="00F77241"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оборот розничной торговли (в абсолютном выражении)</w:t>
      </w:r>
      <w:r w:rsidR="00F77241"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 34167,50 млн рублей</w:t>
      </w:r>
      <w:r w:rsidR="00F77241"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оборот розничной торговли (в % к предыдущему году)</w:t>
      </w:r>
      <w:r w:rsidR="00F77241"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 на 4,70 %</w:t>
      </w:r>
      <w:r w:rsidR="00F77241"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объем платных услуг населению (в абсолютном выражении) </w:t>
      </w:r>
      <w:r w:rsidR="00F77241"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на 371,80 млн рублей</w:t>
      </w:r>
      <w:r w:rsidR="00F77241" w:rsidRPr="00E47AA9">
        <w:rPr>
          <w:rFonts w:ascii="Times New Roman" w:eastAsia="Calibri" w:hAnsi="Times New Roman" w:cs="Times New Roman"/>
          <w:sz w:val="28"/>
          <w:szCs w:val="28"/>
        </w:rPr>
        <w:t>,</w:t>
      </w:r>
      <w:r w:rsidRPr="00E47AA9">
        <w:rPr>
          <w:rFonts w:ascii="Times New Roman" w:hAnsi="Times New Roman" w:cs="Times New Roman"/>
        </w:rPr>
        <w:t xml:space="preserve"> </w:t>
      </w:r>
      <w:r w:rsidRPr="00E47AA9">
        <w:rPr>
          <w:rFonts w:ascii="Times New Roman" w:eastAsia="Calibri" w:hAnsi="Times New Roman" w:cs="Times New Roman"/>
          <w:sz w:val="28"/>
          <w:szCs w:val="28"/>
        </w:rPr>
        <w:t xml:space="preserve">индексу потребительских цен </w:t>
      </w:r>
      <w:r w:rsidR="00F77241"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4,70 %, объему продукции сельского хозяйства (в</w:t>
      </w:r>
      <w:r w:rsidR="00AB3977"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 xml:space="preserve">абсолютном выражении) </w:t>
      </w:r>
      <w:r w:rsidR="00F77241"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1127,50 </w:t>
      </w:r>
      <w:r w:rsidR="006351CF" w:rsidRPr="00E47AA9">
        <w:rPr>
          <w:rFonts w:ascii="Times New Roman" w:eastAsia="Calibri" w:hAnsi="Times New Roman" w:cs="Times New Roman"/>
          <w:sz w:val="28"/>
          <w:szCs w:val="28"/>
        </w:rPr>
        <w:t>млн</w:t>
      </w:r>
      <w:r w:rsidRPr="00E47AA9">
        <w:rPr>
          <w:rFonts w:ascii="Times New Roman" w:eastAsia="Calibri" w:hAnsi="Times New Roman" w:cs="Times New Roman"/>
          <w:sz w:val="28"/>
          <w:szCs w:val="28"/>
        </w:rPr>
        <w:t xml:space="preserve"> рублей.</w:t>
      </w:r>
    </w:p>
    <w:p w14:paraId="1FBCB03A" w14:textId="2BB371C5"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lastRenderedPageBreak/>
        <w:t xml:space="preserve">Не достигли в 2024 году прогнозных значений: </w:t>
      </w:r>
      <w:bookmarkStart w:id="11" w:name="_Hlk196748135"/>
      <w:r w:rsidRPr="00E47AA9">
        <w:rPr>
          <w:rFonts w:ascii="Times New Roman" w:eastAsia="Calibri" w:hAnsi="Times New Roman" w:cs="Times New Roman"/>
          <w:sz w:val="28"/>
          <w:szCs w:val="28"/>
        </w:rPr>
        <w:t>индекс промышленного производства – ниже на 2,90 %, индекс физического объема инвестиций в</w:t>
      </w:r>
      <w:r w:rsidR="00AB3977"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основной капитал (в % к предыдущему году) – ниже на 6,2 %</w:t>
      </w:r>
      <w:r w:rsidR="00F77241"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объем платных услуг (в % к предыдущему году) – ниже на 0,90 %, индекс производства продукции сельского хозяйства – ниже на 12,30 %.</w:t>
      </w:r>
    </w:p>
    <w:bookmarkEnd w:id="11"/>
    <w:p w14:paraId="24C1524D"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Объем ВРП, по оценке, в 2024 году превысил прогнозные значения на 175,87 млрд рублей и составил 1908,62 млрд рублей. Индекс физического объема ВРП, по оценке, в 2024 году составил 103,3 % против прогнозного значения на тот же год – 104,2 %.</w:t>
      </w:r>
    </w:p>
    <w:p w14:paraId="513EE213" w14:textId="342DE679" w:rsidR="006C5C47" w:rsidRPr="00E47AA9" w:rsidRDefault="006C5C47" w:rsidP="006C5C47">
      <w:pPr>
        <w:spacing w:after="0" w:line="240" w:lineRule="auto"/>
        <w:ind w:firstLine="709"/>
        <w:jc w:val="both"/>
        <w:rPr>
          <w:rFonts w:ascii="Times New Roman" w:eastAsia="Calibri" w:hAnsi="Times New Roman" w:cs="Times New Roman"/>
          <w:i/>
          <w:sz w:val="28"/>
          <w:szCs w:val="28"/>
        </w:rPr>
      </w:pPr>
      <w:r w:rsidRPr="00E47AA9">
        <w:rPr>
          <w:rFonts w:ascii="Times New Roman" w:eastAsia="Calibri" w:hAnsi="Times New Roman" w:cs="Times New Roman"/>
          <w:b/>
          <w:i/>
          <w:sz w:val="28"/>
          <w:szCs w:val="28"/>
        </w:rPr>
        <w:t>Индекс промышленного производства</w:t>
      </w:r>
      <w:r w:rsidRPr="00E47AA9">
        <w:rPr>
          <w:rFonts w:ascii="Times New Roman" w:eastAsia="Calibri" w:hAnsi="Times New Roman" w:cs="Times New Roman"/>
          <w:sz w:val="28"/>
          <w:szCs w:val="28"/>
        </w:rPr>
        <w:t xml:space="preserve"> в 2024 году составил 103,00 %, что ниже прогнозного показателя на 2,90 %, (в 2023 году индекс промышленного производства составил 98,80 %). За отчетный год организациями промышленного производства отгружено продукции на сумму 519,01 млрд рублей, что выше предыдущего года на 18,47 % (</w:t>
      </w:r>
      <w:r w:rsidR="00783B16" w:rsidRPr="00E47AA9">
        <w:rPr>
          <w:rFonts w:ascii="Times New Roman" w:eastAsia="Calibri" w:hAnsi="Times New Roman" w:cs="Times New Roman"/>
          <w:sz w:val="28"/>
          <w:szCs w:val="28"/>
        </w:rPr>
        <w:t xml:space="preserve">в </w:t>
      </w:r>
      <w:r w:rsidRPr="00E47AA9">
        <w:rPr>
          <w:rFonts w:ascii="Times New Roman" w:eastAsia="Calibri" w:hAnsi="Times New Roman" w:cs="Times New Roman"/>
          <w:sz w:val="28"/>
          <w:szCs w:val="28"/>
        </w:rPr>
        <w:t xml:space="preserve">2023 году – 438,09 млрд рублей). В структуре промышленного производства наибольший удельный вес приходится на обрабатывающие производства – 70,00 % (363,31 млрд рублей); обеспечение электрической энергией, газом, паром; кондиционирование воздуха – 20,85 % (108,22 млрд рублей); добыча полезных ископаемых – 6,47 % (33,57 млрд рублей); водоснабжение; водоотведение, организация сбора и утилизации отходов, деятельность по ликвидации загрязнений – 2,68 % (13,91 млрд рублей). </w:t>
      </w:r>
      <w:r w:rsidRPr="00E47AA9">
        <w:rPr>
          <w:rFonts w:ascii="Times New Roman" w:eastAsia="Calibri" w:hAnsi="Times New Roman" w:cs="Times New Roman"/>
          <w:i/>
          <w:sz w:val="28"/>
          <w:szCs w:val="28"/>
        </w:rPr>
        <w:t xml:space="preserve">Справочно: согласно </w:t>
      </w:r>
      <w:proofErr w:type="gramStart"/>
      <w:r w:rsidRPr="00E47AA9">
        <w:rPr>
          <w:rFonts w:ascii="Times New Roman" w:eastAsia="Calibri" w:hAnsi="Times New Roman" w:cs="Times New Roman"/>
          <w:i/>
          <w:sz w:val="28"/>
          <w:szCs w:val="28"/>
        </w:rPr>
        <w:t>Прогнозу</w:t>
      </w:r>
      <w:proofErr w:type="gramEnd"/>
      <w:r w:rsidRPr="00E47AA9">
        <w:rPr>
          <w:rFonts w:ascii="Times New Roman" w:eastAsia="Calibri" w:hAnsi="Times New Roman" w:cs="Times New Roman"/>
          <w:i/>
          <w:sz w:val="28"/>
          <w:szCs w:val="28"/>
        </w:rPr>
        <w:t xml:space="preserve"> на 2025 год индекс промышленного производства планируется в текущем году с ростом на уровне 105,1 %.</w:t>
      </w:r>
    </w:p>
    <w:p w14:paraId="7473DC40" w14:textId="77777777" w:rsidR="006C5C47" w:rsidRPr="00E47AA9" w:rsidRDefault="006C5C47" w:rsidP="006C5C47">
      <w:pPr>
        <w:spacing w:after="0" w:line="240" w:lineRule="auto"/>
        <w:ind w:firstLine="709"/>
        <w:jc w:val="both"/>
        <w:rPr>
          <w:rFonts w:ascii="Times New Roman" w:eastAsia="Calibri" w:hAnsi="Times New Roman" w:cs="Times New Roman"/>
          <w:i/>
          <w:sz w:val="28"/>
          <w:szCs w:val="28"/>
        </w:rPr>
      </w:pPr>
      <w:r w:rsidRPr="00E47AA9">
        <w:rPr>
          <w:rFonts w:ascii="Times New Roman" w:eastAsia="Calibri" w:hAnsi="Times New Roman" w:cs="Times New Roman"/>
          <w:sz w:val="28"/>
          <w:szCs w:val="28"/>
        </w:rPr>
        <w:t>В 2024 году</w:t>
      </w:r>
      <w:r w:rsidRPr="00E47AA9">
        <w:rPr>
          <w:rFonts w:ascii="Times New Roman" w:eastAsia="Calibri" w:hAnsi="Times New Roman" w:cs="Times New Roman"/>
          <w:b/>
          <w:i/>
          <w:sz w:val="28"/>
          <w:szCs w:val="28"/>
        </w:rPr>
        <w:t xml:space="preserve"> объем инвестиций в основной капитал</w:t>
      </w:r>
      <w:r w:rsidRPr="00E47AA9">
        <w:rPr>
          <w:rFonts w:ascii="Times New Roman" w:eastAsia="Calibri" w:hAnsi="Times New Roman" w:cs="Times New Roman"/>
          <w:sz w:val="28"/>
          <w:szCs w:val="28"/>
        </w:rPr>
        <w:t xml:space="preserve"> составил 425590,0 млн рублей, что выше прогнозных данных на 47744,40 млн рублей, или на 12,65 %. По сравнению с фактическими показателями предыдущего 2023 года (400584,00 млн рублей) объем инвестиций увеличился на 25006,00 млн рублей, или на 6,24 %. </w:t>
      </w:r>
      <w:r w:rsidRPr="00E47AA9">
        <w:rPr>
          <w:rFonts w:ascii="Times New Roman" w:eastAsia="Calibri" w:hAnsi="Times New Roman" w:cs="Times New Roman"/>
          <w:i/>
          <w:sz w:val="28"/>
          <w:szCs w:val="28"/>
        </w:rPr>
        <w:t>Справочно: объем инвестиций в основной капитал в 2025 году планируется в размере 481052,30 млн рублей, что выше фактического показателя, сложившегося за 2024 год, на 55462,30 млн рублей, или на 13,04 %.</w:t>
      </w:r>
    </w:p>
    <w:p w14:paraId="1BD56BED"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Наибольший удельный вес в объеме инвестиций Приморского края составляли инвестиции в следующие виды основных фондов: здания (кроме жилых) и сооружения, расходы на улучшение земель – 53,8 % (от общего объема инвестиций в основной капитал 425590,0 млн рублей), или 228772,9 млн рублей; машины и оборудование, включая хозяйственный инвентарь, и другие объекты – 35,8 % (152438,2 млн рублей); жилые здания и помещения – 8,6 % (36661,2 млн рублей).</w:t>
      </w:r>
    </w:p>
    <w:p w14:paraId="659A337E" w14:textId="77777777" w:rsidR="005E6B62" w:rsidRPr="00E47AA9" w:rsidRDefault="005E6B62" w:rsidP="006C5C47">
      <w:pPr>
        <w:spacing w:after="0" w:line="240" w:lineRule="auto"/>
        <w:ind w:firstLine="709"/>
        <w:jc w:val="center"/>
        <w:rPr>
          <w:rFonts w:ascii="Times New Roman" w:eastAsia="Calibri" w:hAnsi="Times New Roman" w:cs="Times New Roman"/>
          <w:b/>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5E6B62" w:rsidRPr="00E47AA9" w14:paraId="6AB1B0FA" w14:textId="77777777" w:rsidTr="005376B8">
        <w:trPr>
          <w:cantSplit/>
        </w:trPr>
        <w:tc>
          <w:tcPr>
            <w:tcW w:w="9345" w:type="dxa"/>
          </w:tcPr>
          <w:p w14:paraId="67B66527" w14:textId="77777777" w:rsidR="005E6B62" w:rsidRPr="00E47AA9" w:rsidRDefault="005E6B62" w:rsidP="005E6B62">
            <w:pPr>
              <w:spacing w:after="0" w:line="240" w:lineRule="auto"/>
              <w:ind w:firstLine="709"/>
              <w:jc w:val="center"/>
              <w:rPr>
                <w:rFonts w:ascii="Times New Roman" w:eastAsia="Calibri" w:hAnsi="Times New Roman" w:cs="Times New Roman"/>
                <w:b/>
              </w:rPr>
            </w:pPr>
          </w:p>
          <w:p w14:paraId="5B537716" w14:textId="77777777" w:rsidR="005E6B62" w:rsidRPr="00E47AA9" w:rsidRDefault="005E6B62" w:rsidP="005E6B62">
            <w:pPr>
              <w:spacing w:after="0" w:line="240" w:lineRule="auto"/>
              <w:jc w:val="center"/>
              <w:rPr>
                <w:rFonts w:ascii="Times New Roman" w:eastAsia="Calibri" w:hAnsi="Times New Roman" w:cs="Times New Roman"/>
                <w:b/>
              </w:rPr>
            </w:pPr>
            <w:r w:rsidRPr="00E47AA9">
              <w:rPr>
                <w:rFonts w:ascii="Times New Roman" w:eastAsia="Calibri" w:hAnsi="Times New Roman" w:cs="Times New Roman"/>
                <w:b/>
              </w:rPr>
              <w:t xml:space="preserve">Структура инвестиций в основной капитал </w:t>
            </w:r>
          </w:p>
          <w:p w14:paraId="2C0C72BE" w14:textId="77777777" w:rsidR="005E6B62" w:rsidRPr="00E47AA9" w:rsidRDefault="005E6B62" w:rsidP="005E6B62">
            <w:pPr>
              <w:spacing w:after="0" w:line="240" w:lineRule="auto"/>
              <w:jc w:val="center"/>
              <w:rPr>
                <w:rFonts w:ascii="Times New Roman" w:eastAsia="Calibri" w:hAnsi="Times New Roman" w:cs="Times New Roman"/>
                <w:b/>
              </w:rPr>
            </w:pPr>
            <w:r w:rsidRPr="00E47AA9">
              <w:rPr>
                <w:rFonts w:ascii="Times New Roman" w:eastAsia="Calibri" w:hAnsi="Times New Roman" w:cs="Times New Roman"/>
                <w:b/>
              </w:rPr>
              <w:t>по видам основных фондов в 2024 году</w:t>
            </w:r>
          </w:p>
          <w:p w14:paraId="749A9E24" w14:textId="77777777" w:rsidR="005376B8" w:rsidRPr="00E47AA9" w:rsidRDefault="006B4C58" w:rsidP="005376B8">
            <w:pPr>
              <w:spacing w:after="0" w:line="240" w:lineRule="auto"/>
              <w:jc w:val="center"/>
              <w:rPr>
                <w:rFonts w:ascii="Times New Roman" w:eastAsia="Calibri" w:hAnsi="Times New Roman" w:cs="Times New Roman"/>
                <w:b/>
              </w:rPr>
            </w:pPr>
            <w:r w:rsidRPr="00E47AA9">
              <w:rPr>
                <w:rFonts w:ascii="Times New Roman" w:hAnsi="Times New Roman" w:cs="Times New Roman"/>
                <w:noProof/>
                <w:lang w:eastAsia="ru-RU"/>
              </w:rPr>
              <mc:AlternateContent>
                <mc:Choice Requires="wps">
                  <w:drawing>
                    <wp:anchor distT="0" distB="0" distL="114300" distR="114300" simplePos="0" relativeHeight="251694080" behindDoc="0" locked="0" layoutInCell="1" allowOverlap="1" wp14:anchorId="67A6B94B" wp14:editId="021F6604">
                      <wp:simplePos x="0" y="0"/>
                      <wp:positionH relativeFrom="page">
                        <wp:posOffset>2261607</wp:posOffset>
                      </wp:positionH>
                      <wp:positionV relativeFrom="paragraph">
                        <wp:posOffset>1245125</wp:posOffset>
                      </wp:positionV>
                      <wp:extent cx="974785" cy="510540"/>
                      <wp:effectExtent l="0" t="0" r="0" b="3810"/>
                      <wp:wrapNone/>
                      <wp:docPr id="10" name="TextBox 2"/>
                      <wp:cNvGraphicFramePr/>
                      <a:graphic xmlns:a="http://schemas.openxmlformats.org/drawingml/2006/main">
                        <a:graphicData uri="http://schemas.microsoft.com/office/word/2010/wordprocessingShape">
                          <wps:wsp>
                            <wps:cNvSpPr txBox="1"/>
                            <wps:spPr>
                              <a:xfrm>
                                <a:off x="0" y="0"/>
                                <a:ext cx="974785" cy="51054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3624D7E4" w14:textId="77777777" w:rsidR="00F62D77" w:rsidRPr="000B0212" w:rsidRDefault="00F62D77" w:rsidP="006C5C47">
                                  <w:pPr>
                                    <w:pStyle w:val="af4"/>
                                    <w:spacing w:after="0"/>
                                    <w:jc w:val="center"/>
                                    <w:rPr>
                                      <w:rFonts w:ascii="Times New Roman" w:hAnsi="Times New Roman"/>
                                      <w:sz w:val="24"/>
                                      <w:szCs w:val="24"/>
                                    </w:rPr>
                                  </w:pPr>
                                  <w:r w:rsidRPr="000B0212">
                                    <w:rPr>
                                      <w:rFonts w:ascii="Times New Roman" w:hAnsi="Times New Roman"/>
                                      <w:b/>
                                      <w:bCs/>
                                      <w:color w:val="000000" w:themeColor="dark1"/>
                                      <w:sz w:val="21"/>
                                      <w:szCs w:val="21"/>
                                    </w:rPr>
                                    <w:t>4</w:t>
                                  </w:r>
                                  <w:r>
                                    <w:rPr>
                                      <w:rFonts w:ascii="Times New Roman" w:hAnsi="Times New Roman"/>
                                      <w:b/>
                                      <w:bCs/>
                                      <w:color w:val="000000" w:themeColor="dark1"/>
                                      <w:sz w:val="21"/>
                                      <w:szCs w:val="21"/>
                                    </w:rPr>
                                    <w:t>25 590</w:t>
                                  </w:r>
                                  <w:r w:rsidRPr="000B0212">
                                    <w:rPr>
                                      <w:rFonts w:ascii="Times New Roman" w:hAnsi="Times New Roman"/>
                                      <w:b/>
                                      <w:bCs/>
                                      <w:color w:val="000000" w:themeColor="dark1"/>
                                      <w:sz w:val="21"/>
                                      <w:szCs w:val="21"/>
                                    </w:rPr>
                                    <w:t>,0</w:t>
                                  </w:r>
                                  <w:r w:rsidRPr="000B0212">
                                    <w:rPr>
                                      <w:rFonts w:ascii="Times New Roman" w:hAnsi="Times New Roman"/>
                                      <w:color w:val="000000" w:themeColor="dark1"/>
                                      <w:sz w:val="21"/>
                                      <w:szCs w:val="21"/>
                                    </w:rPr>
                                    <w:t xml:space="preserve"> </w:t>
                                  </w:r>
                                  <w:r w:rsidRPr="000B0212">
                                    <w:rPr>
                                      <w:rFonts w:ascii="Times New Roman" w:hAnsi="Times New Roman"/>
                                      <w:b/>
                                      <w:bCs/>
                                      <w:color w:val="000000" w:themeColor="dark1"/>
                                      <w:sz w:val="21"/>
                                      <w:szCs w:val="21"/>
                                    </w:rPr>
                                    <w:t>млн рублей</w:t>
                                  </w:r>
                                </w:p>
                              </w:txbxContent>
                            </wps:txbx>
                            <wps:bodyPr vertOverflow="clip" horzOverflow="clip" wrap="square" rtlCol="0" anchor="t"/>
                          </wps:wsp>
                        </a:graphicData>
                      </a:graphic>
                      <wp14:sizeRelH relativeFrom="margin">
                        <wp14:pctWidth>0</wp14:pctWidth>
                      </wp14:sizeRelH>
                    </wp:anchor>
                  </w:drawing>
                </mc:Choice>
                <mc:Fallback>
                  <w:pict>
                    <v:shapetype w14:anchorId="67A6B94B" id="_x0000_t202" coordsize="21600,21600" o:spt="202" path="m,l,21600r21600,l21600,xe">
                      <v:stroke joinstyle="miter"/>
                      <v:path gradientshapeok="t" o:connecttype="rect"/>
                    </v:shapetype>
                    <v:shape id="TextBox 2" o:spid="_x0000_s1026" type="#_x0000_t202" style="position:absolute;left:0;text-align:left;margin-left:178.1pt;margin-top:98.05pt;width:76.75pt;height:40.2pt;z-index:25169408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" filled="f" stroked="f">
                      <v:textbox>
                        <w:txbxContent>
                          <w:p w14:paraId="3624D7E4" w14:textId="77777777" w:rsidR="00F62D77" w:rsidRPr="000B0212" w:rsidRDefault="00F62D77" w:rsidP="006C5C47">
                            <w:pPr>
                              <w:pStyle w:val="af4"/>
                              <w:spacing w:after="0"/>
                              <w:jc w:val="center"/>
                              <w:rPr>
                                <w:rFonts w:ascii="Times New Roman" w:hAnsi="Times New Roman"/>
                                <w:sz w:val="24"/>
                                <w:szCs w:val="24"/>
                              </w:rPr>
                            </w:pPr>
                            <w:r w:rsidRPr="000B0212">
                              <w:rPr>
                                <w:rFonts w:ascii="Times New Roman" w:hAnsi="Times New Roman"/>
                                <w:b/>
                                <w:bCs/>
                                <w:color w:val="000000" w:themeColor="dark1"/>
                                <w:sz w:val="21"/>
                                <w:szCs w:val="21"/>
                              </w:rPr>
                              <w:t>4</w:t>
                            </w:r>
                            <w:r>
                              <w:rPr>
                                <w:rFonts w:ascii="Times New Roman" w:hAnsi="Times New Roman"/>
                                <w:b/>
                                <w:bCs/>
                                <w:color w:val="000000" w:themeColor="dark1"/>
                                <w:sz w:val="21"/>
                                <w:szCs w:val="21"/>
                              </w:rPr>
                              <w:t>25 590</w:t>
                            </w:r>
                            <w:r w:rsidRPr="000B0212">
                              <w:rPr>
                                <w:rFonts w:ascii="Times New Roman" w:hAnsi="Times New Roman"/>
                                <w:b/>
                                <w:bCs/>
                                <w:color w:val="000000" w:themeColor="dark1"/>
                                <w:sz w:val="21"/>
                                <w:szCs w:val="21"/>
                              </w:rPr>
                              <w:t>,0</w:t>
                            </w:r>
                            <w:r w:rsidRPr="000B0212">
                              <w:rPr>
                                <w:rFonts w:ascii="Times New Roman" w:hAnsi="Times New Roman"/>
                                <w:color w:val="000000" w:themeColor="dark1"/>
                                <w:sz w:val="21"/>
                                <w:szCs w:val="21"/>
                              </w:rPr>
                              <w:t xml:space="preserve"> </w:t>
                            </w:r>
                            <w:r w:rsidRPr="000B0212">
                              <w:rPr>
                                <w:rFonts w:ascii="Times New Roman" w:hAnsi="Times New Roman"/>
                                <w:b/>
                                <w:bCs/>
                                <w:color w:val="000000" w:themeColor="dark1"/>
                                <w:sz w:val="21"/>
                                <w:szCs w:val="21"/>
                              </w:rPr>
                              <w:t>млн рублей</w:t>
                            </w:r>
                          </w:p>
                        </w:txbxContent>
                      </v:textbox>
                      <w10:wrap anchorx="page"/>
                    </v:shape>
                  </w:pict>
                </mc:Fallback>
              </mc:AlternateContent>
            </w:r>
            <w:r w:rsidR="005E6B62" w:rsidRPr="00E47AA9">
              <w:rPr>
                <w:noProof/>
                <w:lang w:eastAsia="ru-RU"/>
                <w14:ligatures w14:val="standardContextual"/>
              </w:rPr>
              <w:drawing>
                <wp:inline distT="0" distB="0" distL="0" distR="0" wp14:anchorId="09994CEC" wp14:editId="5928A651">
                  <wp:extent cx="4402530" cy="2594697"/>
                  <wp:effectExtent l="0" t="0" r="0" b="0"/>
                  <wp:docPr id="458704798"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c>
      </w:tr>
    </w:tbl>
    <w:p w14:paraId="3DDF6839" w14:textId="77777777" w:rsidR="006C5C47" w:rsidRPr="00E47AA9" w:rsidRDefault="006C5C47" w:rsidP="006C5C47">
      <w:pPr>
        <w:spacing w:after="0" w:line="240" w:lineRule="auto"/>
        <w:ind w:firstLine="1276"/>
        <w:jc w:val="both"/>
        <w:rPr>
          <w:rFonts w:ascii="Times New Roman" w:hAnsi="Times New Roman" w:cs="Times New Roman"/>
          <w:noProof/>
          <w:lang w:eastAsia="ru-RU"/>
        </w:rPr>
      </w:pPr>
    </w:p>
    <w:p w14:paraId="3EAE20C8"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Наибольший удельный вес в объеме инвестиций Приморского края (без субъектов малого предпринимательства и объема инвестиций, не наблюдаемых прямыми статистическими методами) в 2024 году (357295,3 млн рублей) составляли инвестиции в следующие виды экономической деятельности: транспортировка и хранение (27,7 % в общем объеме инвестиций за 2024 год, что составило 98952,4 млн рублей); обеспечение электрической энергией, газом и паром; кондиционирование воздуха (22,7 %, или 81149,1 млн рублей); обрабатывающие производства (15,7 %, или 56150,2 млн рублей); сельское, лесное хозяйство, охота, рыболовство и рыбоводство (10,3 %, или 36961,4 млн рублей); деятельность по операциям с недвижимым имуществом (3,8 %, или 13404,2 млн рублей); торговля оптовая и розничная; ремонт автотранспортных средств и мотоциклов (3,7 %, или 13357,5 млн рублей); государственное управление и обеспечение военной безопасности; социальное обеспечение (2,7 %, или 9602,8 млн рублей). </w:t>
      </w:r>
    </w:p>
    <w:p w14:paraId="392C7CD6" w14:textId="77777777" w:rsidR="006C5C47" w:rsidRPr="00E47AA9" w:rsidRDefault="006C5C47" w:rsidP="006C5C47">
      <w:pPr>
        <w:spacing w:after="0" w:line="240" w:lineRule="auto"/>
        <w:ind w:firstLine="709"/>
        <w:jc w:val="both"/>
        <w:rPr>
          <w:rFonts w:ascii="Times New Roman" w:eastAsia="Calibri" w:hAnsi="Times New Roman" w:cs="Times New Roman"/>
          <w:i/>
          <w:sz w:val="28"/>
          <w:szCs w:val="28"/>
        </w:rPr>
      </w:pPr>
      <w:r w:rsidRPr="00E47AA9">
        <w:rPr>
          <w:rFonts w:ascii="Times New Roman" w:eastAsia="Calibri" w:hAnsi="Times New Roman" w:cs="Times New Roman"/>
          <w:b/>
          <w:i/>
          <w:sz w:val="28"/>
          <w:szCs w:val="28"/>
        </w:rPr>
        <w:t>Индекс физического объема инвестиций в основной капитал</w:t>
      </w:r>
      <w:r w:rsidRPr="00E47AA9">
        <w:rPr>
          <w:rFonts w:ascii="Times New Roman" w:eastAsia="Calibri" w:hAnsi="Times New Roman" w:cs="Times New Roman"/>
          <w:sz w:val="28"/>
          <w:szCs w:val="28"/>
        </w:rPr>
        <w:t xml:space="preserve"> в отчетном году фактически составил 98,2 %, что ниже прогнозных показателей</w:t>
      </w:r>
      <w:r w:rsidR="00783B16"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 xml:space="preserve">– 104,4 %. В 2023 году данный показатель составил 115,0 %. </w:t>
      </w:r>
      <w:r w:rsidRPr="00E47AA9">
        <w:rPr>
          <w:rFonts w:ascii="Times New Roman" w:eastAsia="Calibri" w:hAnsi="Times New Roman" w:cs="Times New Roman"/>
          <w:i/>
          <w:sz w:val="28"/>
          <w:szCs w:val="28"/>
        </w:rPr>
        <w:t>Справочно: в 2025 году индекс физического объема инвестиций в основной капитал ожидается на уровне 101,69 %.</w:t>
      </w:r>
    </w:p>
    <w:p w14:paraId="7ABDF1F5"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Фактический объем </w:t>
      </w:r>
      <w:r w:rsidRPr="00E47AA9">
        <w:rPr>
          <w:rFonts w:ascii="Times New Roman" w:eastAsia="Calibri" w:hAnsi="Times New Roman" w:cs="Times New Roman"/>
          <w:b/>
          <w:i/>
          <w:sz w:val="28"/>
          <w:szCs w:val="28"/>
        </w:rPr>
        <w:t>оборота розничной торговли</w:t>
      </w:r>
      <w:r w:rsidRPr="00E47AA9">
        <w:rPr>
          <w:rFonts w:ascii="Times New Roman" w:eastAsia="Calibri" w:hAnsi="Times New Roman" w:cs="Times New Roman"/>
          <w:sz w:val="28"/>
          <w:szCs w:val="28"/>
        </w:rPr>
        <w:t xml:space="preserve"> составил 767250,8 млн рублей, что выше прогнозных значений на 4,66 %, или на 34167,50 млн рублей. По сравнению с 2023 годом в 2024 году оборот розничной торговли выше на 120745,30 млн рублей, или на 18,68 % </w:t>
      </w:r>
      <w:r w:rsidRPr="00E47AA9">
        <w:rPr>
          <w:rFonts w:ascii="Times New Roman" w:eastAsia="Calibri" w:hAnsi="Times New Roman" w:cs="Times New Roman"/>
          <w:sz w:val="28"/>
          <w:szCs w:val="28"/>
        </w:rPr>
        <w:br/>
        <w:t xml:space="preserve">(в 2023 году – 646505,50 млн рублей). В сопоставимой оценке оборот розничной торговли в 2024 году составил 108,7 %, что на 4,7 % выше прогнозного уровня (104,0 %). </w:t>
      </w:r>
    </w:p>
    <w:p w14:paraId="63F84A80" w14:textId="77777777" w:rsidR="006C5C47" w:rsidRPr="00E47AA9" w:rsidRDefault="006C5C47" w:rsidP="006C5C47">
      <w:pPr>
        <w:spacing w:after="0" w:line="240" w:lineRule="auto"/>
        <w:ind w:firstLine="709"/>
        <w:jc w:val="both"/>
        <w:rPr>
          <w:rFonts w:ascii="Times New Roman" w:hAnsi="Times New Roman" w:cs="Times New Roman"/>
        </w:rPr>
      </w:pPr>
      <w:r w:rsidRPr="00E47AA9">
        <w:rPr>
          <w:rFonts w:ascii="Times New Roman" w:eastAsia="Calibri" w:hAnsi="Times New Roman" w:cs="Times New Roman"/>
          <w:sz w:val="28"/>
          <w:szCs w:val="28"/>
        </w:rPr>
        <w:t xml:space="preserve">В структуре оборота розничной торговли удельный вес пищевых продуктов, включая напитки, и табачных изделий составил 49,5 %, </w:t>
      </w:r>
      <w:r w:rsidRPr="00E47AA9">
        <w:rPr>
          <w:rFonts w:ascii="Times New Roman" w:eastAsia="Calibri" w:hAnsi="Times New Roman" w:cs="Times New Roman"/>
          <w:sz w:val="28"/>
          <w:szCs w:val="28"/>
        </w:rPr>
        <w:lastRenderedPageBreak/>
        <w:t>непродовольственных товаров – 50,5 % (в 2023 году 50,8 % и 49,2 % соответственно). Пищевых продуктов, включая напитки</w:t>
      </w:r>
      <w:r w:rsidR="00783B16"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и табачных изделий продано на 379555,7 млн рублей (104,9 % к 2023 году), непродовольственных товаров – на 387695,1 млн рублей (112,7 % к 2023 году).</w:t>
      </w:r>
      <w:r w:rsidRPr="00E47AA9">
        <w:rPr>
          <w:rFonts w:ascii="Times New Roman" w:hAnsi="Times New Roman" w:cs="Times New Roman"/>
        </w:rPr>
        <w:t xml:space="preserve"> </w:t>
      </w:r>
    </w:p>
    <w:p w14:paraId="474EEC23" w14:textId="77777777" w:rsidR="006C5C47" w:rsidRPr="00E47AA9" w:rsidRDefault="006C5C47" w:rsidP="006C5C47">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Основной оборот розничной торговли (98,3 %) осуществлялся в стационарной торговой сети торгующими организациями и индивидуальными предпринимателями. Розничные рынки и ярмарки составили 1,7 % от общего объема оборота розничной торговли.</w:t>
      </w:r>
    </w:p>
    <w:p w14:paraId="39C5DA2D" w14:textId="77777777" w:rsidR="006C5C47" w:rsidRPr="00E47AA9" w:rsidRDefault="006C5C47" w:rsidP="006C5C47">
      <w:pPr>
        <w:spacing w:after="0" w:line="240" w:lineRule="auto"/>
        <w:ind w:firstLine="709"/>
        <w:jc w:val="both"/>
        <w:rPr>
          <w:rFonts w:ascii="Times New Roman" w:eastAsia="Calibri" w:hAnsi="Times New Roman" w:cs="Times New Roman"/>
          <w:i/>
          <w:sz w:val="28"/>
          <w:szCs w:val="28"/>
        </w:rPr>
      </w:pPr>
      <w:r w:rsidRPr="00E47AA9">
        <w:rPr>
          <w:rFonts w:ascii="Times New Roman" w:eastAsia="Calibri" w:hAnsi="Times New Roman" w:cs="Times New Roman"/>
          <w:i/>
          <w:sz w:val="28"/>
          <w:szCs w:val="28"/>
        </w:rPr>
        <w:t>Справочно: в 2025 году прогнозируется рост оборота розничной торговли на 24131,20 млн рублей по сравнению с предыдущим годом, что составит 791382,00 млн рублей. В сопоставимой оценке оборот розничной торговли в 2024 году ожидается на уровне 103,8 %.</w:t>
      </w:r>
    </w:p>
    <w:p w14:paraId="764FB38E"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b/>
          <w:i/>
          <w:sz w:val="28"/>
          <w:szCs w:val="28"/>
        </w:rPr>
        <w:t>Объем платных услуг</w:t>
      </w:r>
      <w:r w:rsidRPr="00E47AA9">
        <w:rPr>
          <w:rFonts w:ascii="Times New Roman" w:eastAsia="Calibri" w:hAnsi="Times New Roman" w:cs="Times New Roman"/>
          <w:sz w:val="28"/>
          <w:szCs w:val="28"/>
        </w:rPr>
        <w:t xml:space="preserve"> сложился в </w:t>
      </w:r>
      <w:r w:rsidR="00783B16" w:rsidRPr="00E47AA9">
        <w:rPr>
          <w:rFonts w:ascii="Times New Roman" w:eastAsia="Calibri" w:hAnsi="Times New Roman" w:cs="Times New Roman"/>
          <w:sz w:val="28"/>
          <w:szCs w:val="28"/>
        </w:rPr>
        <w:t>размере</w:t>
      </w:r>
      <w:r w:rsidRPr="00E47AA9">
        <w:rPr>
          <w:rFonts w:ascii="Times New Roman" w:eastAsia="Calibri" w:hAnsi="Times New Roman" w:cs="Times New Roman"/>
          <w:sz w:val="28"/>
          <w:szCs w:val="28"/>
        </w:rPr>
        <w:t xml:space="preserve"> 238439,5 млн рублей, что на 371,80 млн рублей выше</w:t>
      </w:r>
      <w:r w:rsidR="00783B16"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чем предусмотрено Прогнозом на 2024 год (238067,70 млн рублей), и выше уровня 2023 года (210225,20 млн рублей) на 28214,30 млн рублей. </w:t>
      </w:r>
    </w:p>
    <w:p w14:paraId="6AA84C2A" w14:textId="5E71921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Наиболее высокий прирост физического объема реализации услуг населению составляют прочие виды платных услуг, из них </w:t>
      </w:r>
      <w:r w:rsidR="000531FC">
        <w:rPr>
          <w:rFonts w:ascii="Times New Roman" w:eastAsia="Calibri" w:hAnsi="Times New Roman" w:cs="Times New Roman"/>
          <w:sz w:val="28"/>
          <w:szCs w:val="28"/>
        </w:rPr>
        <w:t>информационно-</w:t>
      </w:r>
      <w:r w:rsidRPr="00E47AA9">
        <w:rPr>
          <w:rFonts w:ascii="Times New Roman" w:eastAsia="Calibri" w:hAnsi="Times New Roman" w:cs="Times New Roman"/>
          <w:sz w:val="28"/>
          <w:szCs w:val="28"/>
        </w:rPr>
        <w:t>коммуникационных технологий</w:t>
      </w:r>
      <w:r w:rsidRPr="00E47AA9">
        <w:rPr>
          <w:rStyle w:val="a8"/>
          <w:rFonts w:ascii="Times New Roman" w:hAnsi="Times New Roman"/>
          <w:sz w:val="28"/>
          <w:szCs w:val="28"/>
        </w:rPr>
        <w:footnoteReference w:id="12"/>
      </w:r>
      <w:r w:rsidRPr="00E47AA9">
        <w:rPr>
          <w:rFonts w:ascii="Times New Roman" w:eastAsia="Calibri" w:hAnsi="Times New Roman" w:cs="Times New Roman"/>
          <w:sz w:val="28"/>
          <w:szCs w:val="28"/>
        </w:rPr>
        <w:t xml:space="preserve"> </w:t>
      </w:r>
      <w:r w:rsidR="000531FC" w:rsidRPr="00E47AA9">
        <w:rPr>
          <w:rFonts w:ascii="Times New Roman" w:eastAsia="Calibri" w:hAnsi="Times New Roman" w:cs="Times New Roman"/>
          <w:sz w:val="28"/>
          <w:szCs w:val="28"/>
        </w:rPr>
        <w:t>на 17,2 %</w:t>
      </w:r>
      <w:r w:rsidR="000531FC">
        <w:rPr>
          <w:rFonts w:ascii="Times New Roman" w:eastAsia="Calibri" w:hAnsi="Times New Roman" w:cs="Times New Roman"/>
          <w:sz w:val="28"/>
          <w:szCs w:val="28"/>
        </w:rPr>
        <w:t>. Р</w:t>
      </w:r>
      <w:r w:rsidRPr="00E47AA9">
        <w:rPr>
          <w:rFonts w:ascii="Times New Roman" w:eastAsia="Calibri" w:hAnsi="Times New Roman" w:cs="Times New Roman"/>
          <w:sz w:val="28"/>
          <w:szCs w:val="28"/>
        </w:rPr>
        <w:t xml:space="preserve">ост в сфере туристических услуг составил 14,0 %, культуры – 10,4 %, образования – 8,9 %, курьерской доставки – 8,7 %, услуг телекоммуникационные – 8,6 %, услуг фитнес-центров и спортивных клубов – 6,9 %, юридические – 5,5 %, гостиниц и аналогичных средств размещения – 4,8 %. Снижение объема платных услуг наблюдалось </w:t>
      </w:r>
      <w:r w:rsidR="00E32939" w:rsidRPr="00E47AA9">
        <w:rPr>
          <w:rFonts w:ascii="Times New Roman" w:eastAsia="Calibri" w:hAnsi="Times New Roman" w:cs="Times New Roman"/>
          <w:sz w:val="28"/>
          <w:szCs w:val="28"/>
        </w:rPr>
        <w:t xml:space="preserve">у </w:t>
      </w:r>
      <w:r w:rsidRPr="00E47AA9">
        <w:rPr>
          <w:rFonts w:ascii="Times New Roman" w:eastAsia="Calibri" w:hAnsi="Times New Roman" w:cs="Times New Roman"/>
          <w:sz w:val="28"/>
          <w:szCs w:val="28"/>
        </w:rPr>
        <w:t xml:space="preserve">санаторно-курортных организаций </w:t>
      </w:r>
      <w:r w:rsidR="00783B16"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ниже на 9,5 %, почтовой связи, курьерских – 6,9 %, услуг, представляемых гражданам пожилого возраста и инвалидам – 4,9 %, транспортных – 4,8 %, услуг средств размещения </w:t>
      </w:r>
      <w:r w:rsidR="00287320"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4,7 %, жилищных – 2,4 %.</w:t>
      </w:r>
    </w:p>
    <w:p w14:paraId="557ED194" w14:textId="77777777" w:rsidR="006C5C47" w:rsidRPr="00E47AA9" w:rsidRDefault="006C5C47" w:rsidP="006C5C47">
      <w:pPr>
        <w:spacing w:after="0" w:line="240" w:lineRule="auto"/>
        <w:ind w:firstLine="709"/>
        <w:jc w:val="both"/>
        <w:rPr>
          <w:rFonts w:ascii="Times New Roman" w:eastAsia="Calibri" w:hAnsi="Times New Roman" w:cs="Times New Roman"/>
          <w:i/>
          <w:sz w:val="28"/>
          <w:szCs w:val="28"/>
        </w:rPr>
      </w:pPr>
      <w:bookmarkStart w:id="12" w:name="_Hlk195860178"/>
      <w:r w:rsidRPr="00E47AA9">
        <w:rPr>
          <w:rFonts w:ascii="Times New Roman" w:eastAsia="Calibri" w:hAnsi="Times New Roman" w:cs="Times New Roman"/>
          <w:sz w:val="28"/>
          <w:szCs w:val="28"/>
        </w:rPr>
        <w:t xml:space="preserve">Как и в предыдущем году, в структуре объема платных услуг населению большую часть 65,38 % (155895,2 млн рублей) в 2024 году составили: жилищно-коммунальные (25,2 %, или 60243,8 млн рублей), транспортные (17,5 %, или 41790,8 млн рублей), медицинские (13,1 %, или 31189,7 млн рублей) и телекоммуникационные услуги (9,5 %, или 22670,9 млн рублей). За 2024 год данные расходы к 2023 </w:t>
      </w:r>
      <w:bookmarkEnd w:id="12"/>
      <w:r w:rsidRPr="00E47AA9">
        <w:rPr>
          <w:rFonts w:ascii="Times New Roman" w:eastAsia="Calibri" w:hAnsi="Times New Roman" w:cs="Times New Roman"/>
          <w:sz w:val="28"/>
          <w:szCs w:val="28"/>
        </w:rPr>
        <w:t>году увеличились на 27313,70 млн рублей, или на 21,24 </w:t>
      </w:r>
      <w:r w:rsidRPr="00E47AA9">
        <w:rPr>
          <w:rFonts w:ascii="Times New Roman" w:eastAsia="Calibri" w:hAnsi="Times New Roman" w:cs="Times New Roman"/>
          <w:i/>
          <w:sz w:val="28"/>
          <w:szCs w:val="28"/>
        </w:rPr>
        <w:t>%. Справочно: в 2023 году в структуре объема платных услуг населению 61,44 % (128581,5 млн рублей) составили жилищно-коммунальные (21,89 %, или 45829,0 млн рублей), транспортные (16,7 %, или 34903,8 млн рублей), медицинские (13,26 %, или 27766,4 млн рублей) и телекоммуникационные услуги (9,59 %, или 20082,3 млн рублей).</w:t>
      </w:r>
    </w:p>
    <w:p w14:paraId="7D3B114C"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Прогнозом на 2024 год объем платных услуг в сопоставимой оценке ожидался на уровне 103,0 % к 2023 году, фактически в 2024 году составил 102,1 %. По сравнению с предыдущим годом в 2024 году объем платных услуг в сопоставимой оценке снизился на 1,1 % (в 2023 году – 103,2 % к 2022 году).</w:t>
      </w:r>
    </w:p>
    <w:p w14:paraId="5E139E72" w14:textId="77777777" w:rsidR="006C5C47" w:rsidRPr="00E47AA9" w:rsidRDefault="006C5C47" w:rsidP="006C5C47">
      <w:pPr>
        <w:spacing w:after="0" w:line="240" w:lineRule="auto"/>
        <w:ind w:firstLine="709"/>
        <w:jc w:val="both"/>
        <w:rPr>
          <w:rFonts w:ascii="Times New Roman" w:eastAsia="Calibri" w:hAnsi="Times New Roman" w:cs="Times New Roman"/>
          <w:i/>
          <w:sz w:val="28"/>
          <w:szCs w:val="28"/>
        </w:rPr>
      </w:pPr>
      <w:r w:rsidRPr="00E47AA9">
        <w:rPr>
          <w:rFonts w:ascii="Times New Roman" w:eastAsia="Calibri" w:hAnsi="Times New Roman" w:cs="Times New Roman"/>
          <w:i/>
          <w:sz w:val="28"/>
          <w:szCs w:val="28"/>
        </w:rPr>
        <w:lastRenderedPageBreak/>
        <w:t xml:space="preserve">Справочно: в 2025 году объем платных услуг населению ожидается в сумме 259355,70 млн рублей, что выше фактического объема за 2024 год на 20916,2 млн рублей. В сопоставимой оценке объем платных услуг населению запланирован в 2025 году на уровне 102,5 %, что выше фактического уровня 2024 года на 0,4 %. </w:t>
      </w:r>
    </w:p>
    <w:p w14:paraId="31B275C6"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За 2024 год выпуск </w:t>
      </w:r>
      <w:r w:rsidRPr="00E47AA9">
        <w:rPr>
          <w:rFonts w:ascii="Times New Roman" w:eastAsia="Calibri" w:hAnsi="Times New Roman" w:cs="Times New Roman"/>
          <w:b/>
          <w:i/>
          <w:sz w:val="28"/>
          <w:szCs w:val="28"/>
        </w:rPr>
        <w:t>продукции сельского хозяйства</w:t>
      </w:r>
      <w:r w:rsidRPr="00E47AA9">
        <w:rPr>
          <w:rFonts w:ascii="Times New Roman" w:eastAsia="Calibri" w:hAnsi="Times New Roman" w:cs="Times New Roman"/>
          <w:sz w:val="28"/>
          <w:szCs w:val="28"/>
        </w:rPr>
        <w:t xml:space="preserve"> всеми сельхозпроизводителями составил 79029,10 млн рублей, или в сопоставимой оценке 94,2 % к уровню 2023 года, что выше чем прогнозировалось на 1127,5 млн рублей, и на 11119,9 млн рублей выше фактического уровня </w:t>
      </w:r>
      <w:r w:rsidRPr="00E47AA9">
        <w:rPr>
          <w:rFonts w:ascii="Times New Roman" w:eastAsia="Calibri" w:hAnsi="Times New Roman" w:cs="Times New Roman"/>
          <w:sz w:val="28"/>
          <w:szCs w:val="28"/>
        </w:rPr>
        <w:br/>
        <w:t xml:space="preserve">2023 года (67909,20 млн рублей). </w:t>
      </w:r>
    </w:p>
    <w:p w14:paraId="265CF829"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В структуре объема сельскохозяйственного производства на долю сельскохозяйственных организаций пришлось 52,2 %, хозяйств населения – 33,4 %, крестьянских (фермерских) хозяйств и индивидуальных предпринимателей – 14,4 %.</w:t>
      </w:r>
    </w:p>
    <w:p w14:paraId="57A8FE75"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В отчетном году в хозяйствах всех категорий произведено основных видов продукции животноводства: скот и птица на убой (в живом весе) – </w:t>
      </w:r>
      <w:r w:rsidRPr="00E47AA9">
        <w:rPr>
          <w:rFonts w:ascii="Times New Roman" w:eastAsia="Calibri" w:hAnsi="Times New Roman" w:cs="Times New Roman"/>
          <w:sz w:val="28"/>
          <w:szCs w:val="28"/>
        </w:rPr>
        <w:br/>
        <w:t xml:space="preserve">81,5 тыс. т, что составляет 75,3 % к 2023 году; молока – 132,8 тыс. т, или </w:t>
      </w:r>
      <w:r w:rsidRPr="00E47AA9">
        <w:rPr>
          <w:rFonts w:ascii="Times New Roman" w:eastAsia="Calibri" w:hAnsi="Times New Roman" w:cs="Times New Roman"/>
          <w:sz w:val="28"/>
          <w:szCs w:val="28"/>
        </w:rPr>
        <w:br/>
        <w:t xml:space="preserve">97,3 % к 2023 году, яйца – 265,3 млн шт., или 96,6 % к 2023 году. </w:t>
      </w:r>
    </w:p>
    <w:p w14:paraId="0936A5E0"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Основными производителями мяса в живом весе и яиц являются сельскохо</w:t>
      </w:r>
      <w:r w:rsidR="00287320" w:rsidRPr="00E47AA9">
        <w:rPr>
          <w:rFonts w:ascii="Times New Roman" w:eastAsia="Calibri" w:hAnsi="Times New Roman" w:cs="Times New Roman"/>
          <w:sz w:val="28"/>
          <w:szCs w:val="28"/>
        </w:rPr>
        <w:t>зяйственные организации (87,3 %,</w:t>
      </w:r>
      <w:r w:rsidRPr="00E47AA9">
        <w:rPr>
          <w:rFonts w:ascii="Times New Roman" w:eastAsia="Calibri" w:hAnsi="Times New Roman" w:cs="Times New Roman"/>
          <w:sz w:val="28"/>
          <w:szCs w:val="28"/>
        </w:rPr>
        <w:t xml:space="preserve"> 66,7 % соответственно). Хозяйствами населения произведено 11,1 % мяса, 38,5 % молока и 23,8 % яиц, крестьянскими (фермерскими) хозяйствами и индивидуальными предпринимателями – 1,6 %, 19,8 %, 9,5 %, соответственно.</w:t>
      </w:r>
    </w:p>
    <w:p w14:paraId="10862DE9" w14:textId="77777777" w:rsidR="006C5C47" w:rsidRPr="00E47AA9" w:rsidRDefault="006C5C47" w:rsidP="006C5C47">
      <w:pPr>
        <w:spacing w:after="0" w:line="240" w:lineRule="auto"/>
        <w:ind w:firstLine="709"/>
        <w:jc w:val="both"/>
        <w:rPr>
          <w:rFonts w:ascii="Times New Roman" w:eastAsia="Calibri" w:hAnsi="Times New Roman" w:cs="Times New Roman"/>
          <w:i/>
          <w:sz w:val="28"/>
          <w:szCs w:val="28"/>
        </w:rPr>
      </w:pPr>
      <w:r w:rsidRPr="00E47AA9">
        <w:rPr>
          <w:rFonts w:ascii="Times New Roman" w:eastAsia="Calibri" w:hAnsi="Times New Roman" w:cs="Times New Roman"/>
          <w:i/>
          <w:sz w:val="28"/>
          <w:szCs w:val="28"/>
        </w:rPr>
        <w:t>Справочно: в 2025 году объем продукции сельского хозяйства ожидается в общей сумме 69019,00 млн рублей.</w:t>
      </w:r>
    </w:p>
    <w:p w14:paraId="069C0B94"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Основные показатели социально-экономического развития Приморского края, сложившиеся в 2022</w:t>
      </w:r>
      <w:r w:rsidR="00287320"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w:t>
      </w:r>
      <w:r w:rsidR="00287320"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2024 годах, представлены на диаграммах.</w:t>
      </w:r>
    </w:p>
    <w:p w14:paraId="2B74EEA1"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p>
    <w:tbl>
      <w:tblPr>
        <w:tblStyle w:val="ab"/>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6"/>
        <w:gridCol w:w="3109"/>
        <w:gridCol w:w="3416"/>
      </w:tblGrid>
      <w:tr w:rsidR="00E47AA9" w:rsidRPr="00E47AA9" w14:paraId="1059DA2A" w14:textId="77777777" w:rsidTr="00F77241">
        <w:tc>
          <w:tcPr>
            <w:tcW w:w="3191" w:type="dxa"/>
          </w:tcPr>
          <w:p w14:paraId="3FF3635D" w14:textId="77777777" w:rsidR="006C5C47" w:rsidRPr="00E47AA9" w:rsidRDefault="006C5C47" w:rsidP="00F77241">
            <w:pPr>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0781652F" wp14:editId="0A13789F">
                  <wp:extent cx="1990725" cy="2114550"/>
                  <wp:effectExtent l="0" t="0" r="0" b="0"/>
                  <wp:docPr id="1829647611"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c>
          <w:tcPr>
            <w:tcW w:w="3308" w:type="dxa"/>
          </w:tcPr>
          <w:p w14:paraId="7737CE8F" w14:textId="77777777" w:rsidR="006C5C47" w:rsidRPr="00E47AA9" w:rsidRDefault="006C5C47" w:rsidP="00F77241">
            <w:pPr>
              <w:ind w:left="-75" w:right="-59"/>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2807163F" wp14:editId="32ED485A">
                  <wp:extent cx="1997710" cy="2143125"/>
                  <wp:effectExtent l="0" t="0" r="2540" b="0"/>
                  <wp:docPr id="1274326353"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c>
          <w:tcPr>
            <w:tcW w:w="3282" w:type="dxa"/>
          </w:tcPr>
          <w:p w14:paraId="32FC33BE" w14:textId="77777777" w:rsidR="006C5C47" w:rsidRPr="00E47AA9" w:rsidRDefault="006C5C47" w:rsidP="00F77241">
            <w:pPr>
              <w:ind w:left="111"/>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53FD79E3" wp14:editId="3E39E776">
                  <wp:extent cx="1990725" cy="2133600"/>
                  <wp:effectExtent l="0" t="0" r="0" b="0"/>
                  <wp:docPr id="1832707731"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r w:rsidR="00E47AA9" w:rsidRPr="00E47AA9" w14:paraId="1CFA749A" w14:textId="77777777" w:rsidTr="00F77241">
        <w:tc>
          <w:tcPr>
            <w:tcW w:w="3191" w:type="dxa"/>
            <w:vAlign w:val="bottom"/>
          </w:tcPr>
          <w:p w14:paraId="62134470" w14:textId="77777777" w:rsidR="006C5C47" w:rsidRPr="00E47AA9" w:rsidRDefault="006C5C47" w:rsidP="00F77241">
            <w:pPr>
              <w:jc w:val="center"/>
              <w:rPr>
                <w:rFonts w:ascii="Times New Roman" w:eastAsia="Calibri" w:hAnsi="Times New Roman" w:cs="Times New Roman"/>
                <w:sz w:val="28"/>
                <w:szCs w:val="28"/>
              </w:rPr>
            </w:pPr>
            <w:r w:rsidRPr="00E47AA9">
              <w:rPr>
                <w:noProof/>
                <w:lang w:eastAsia="ru-RU"/>
                <w14:ligatures w14:val="standardContextual"/>
              </w:rPr>
              <w:lastRenderedPageBreak/>
              <w:drawing>
                <wp:inline distT="0" distB="0" distL="0" distR="0" wp14:anchorId="4E716638" wp14:editId="6F6B4FB4">
                  <wp:extent cx="2019300" cy="1990725"/>
                  <wp:effectExtent l="0" t="0" r="0" b="0"/>
                  <wp:docPr id="888208152"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c>
          <w:tcPr>
            <w:tcW w:w="3308" w:type="dxa"/>
          </w:tcPr>
          <w:p w14:paraId="18356BF5" w14:textId="77777777" w:rsidR="006C5C47" w:rsidRPr="00E47AA9" w:rsidRDefault="006C5C47" w:rsidP="00F77241">
            <w:pPr>
              <w:ind w:left="-166"/>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02DD92AC" wp14:editId="095081B7">
                  <wp:extent cx="2171700" cy="2076450"/>
                  <wp:effectExtent l="0" t="0" r="0" b="0"/>
                  <wp:docPr id="1407108675"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0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c>
          <w:tcPr>
            <w:tcW w:w="3282" w:type="dxa"/>
          </w:tcPr>
          <w:p w14:paraId="547B65BA" w14:textId="77777777" w:rsidR="006C5C47" w:rsidRPr="00E47AA9" w:rsidRDefault="006C5C47" w:rsidP="00F77241">
            <w:pPr>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708D09EB" wp14:editId="6DC2754B">
                  <wp:extent cx="1962150" cy="2057400"/>
                  <wp:effectExtent l="0" t="0" r="0" b="0"/>
                  <wp:docPr id="605856639"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0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rsidR="00E47AA9" w:rsidRPr="00E47AA9" w14:paraId="68A7D79A" w14:textId="77777777" w:rsidTr="00F77241">
        <w:trPr>
          <w:trHeight w:val="3478"/>
        </w:trPr>
        <w:tc>
          <w:tcPr>
            <w:tcW w:w="3191" w:type="dxa"/>
          </w:tcPr>
          <w:p w14:paraId="4F57FE3A" w14:textId="77777777" w:rsidR="006C5C47" w:rsidRPr="00E47AA9" w:rsidRDefault="006C5C47" w:rsidP="00F77241">
            <w:pPr>
              <w:ind w:right="-150"/>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581AB5C1" wp14:editId="13BBA287">
                  <wp:extent cx="2170430" cy="2095500"/>
                  <wp:effectExtent l="0" t="0" r="1270" b="0"/>
                  <wp:docPr id="1023774123"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000-00001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c>
          <w:tcPr>
            <w:tcW w:w="3308" w:type="dxa"/>
          </w:tcPr>
          <w:p w14:paraId="7DC0DF71" w14:textId="77777777" w:rsidR="006C5C47" w:rsidRPr="00E47AA9" w:rsidRDefault="006C5C47" w:rsidP="00F77241">
            <w:pPr>
              <w:ind w:left="-69"/>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2056E0B9" wp14:editId="3FF7DE37">
                  <wp:extent cx="2019935" cy="2171700"/>
                  <wp:effectExtent l="0" t="0" r="0" b="0"/>
                  <wp:docPr id="1265442823"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0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3282" w:type="dxa"/>
          </w:tcPr>
          <w:p w14:paraId="6B48F33A" w14:textId="77777777" w:rsidR="006C5C47" w:rsidRPr="00E47AA9" w:rsidRDefault="006C5C47" w:rsidP="00F77241">
            <w:pPr>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2314C8FC" wp14:editId="6F6F3FB0">
                  <wp:extent cx="2286000" cy="2105025"/>
                  <wp:effectExtent l="0" t="0" r="0" b="0"/>
                  <wp:docPr id="822199035"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000-00001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E47AA9" w:rsidRPr="00E47AA9" w14:paraId="1B77AD2B" w14:textId="77777777" w:rsidTr="00F77241">
        <w:trPr>
          <w:trHeight w:val="2881"/>
        </w:trPr>
        <w:tc>
          <w:tcPr>
            <w:tcW w:w="3191" w:type="dxa"/>
          </w:tcPr>
          <w:p w14:paraId="0A071F91" w14:textId="77777777" w:rsidR="006C5C47" w:rsidRPr="00E47AA9" w:rsidRDefault="006C5C47" w:rsidP="00F77241">
            <w:pPr>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19EB4278" wp14:editId="7161AF10">
                  <wp:extent cx="2066925" cy="1971675"/>
                  <wp:effectExtent l="0" t="0" r="0" b="0"/>
                  <wp:docPr id="251272631"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000-00001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3308" w:type="dxa"/>
          </w:tcPr>
          <w:p w14:paraId="4E52B160" w14:textId="77777777" w:rsidR="006C5C47" w:rsidRPr="00E47AA9" w:rsidRDefault="006C5C47" w:rsidP="00F77241">
            <w:pPr>
              <w:ind w:left="-165"/>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4B85DEDD" wp14:editId="69C3AD68">
                  <wp:extent cx="2054860" cy="2009775"/>
                  <wp:effectExtent l="0" t="0" r="2540" b="0"/>
                  <wp:docPr id="690778794"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3282" w:type="dxa"/>
          </w:tcPr>
          <w:p w14:paraId="556B9673" w14:textId="77777777" w:rsidR="006C5C47" w:rsidRPr="00E47AA9" w:rsidRDefault="006C5C47" w:rsidP="00F77241">
            <w:pPr>
              <w:ind w:left="-158"/>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12E068EB" wp14:editId="4625B5B2">
                  <wp:extent cx="1985010" cy="2009775"/>
                  <wp:effectExtent l="0" t="0" r="0" b="0"/>
                  <wp:docPr id="162703209"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0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593B19F8"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b/>
          <w:i/>
          <w:sz w:val="28"/>
          <w:szCs w:val="28"/>
        </w:rPr>
        <w:t>Потребительская инфляция</w:t>
      </w:r>
      <w:r w:rsidRPr="00E47AA9">
        <w:rPr>
          <w:rFonts w:ascii="Times New Roman" w:eastAsia="Calibri" w:hAnsi="Times New Roman" w:cs="Times New Roman"/>
          <w:b/>
          <w:sz w:val="28"/>
          <w:szCs w:val="28"/>
        </w:rPr>
        <w:t xml:space="preserve"> </w:t>
      </w:r>
      <w:r w:rsidRPr="00E47AA9">
        <w:rPr>
          <w:rFonts w:ascii="Times New Roman" w:eastAsia="Calibri" w:hAnsi="Times New Roman" w:cs="Times New Roman"/>
          <w:sz w:val="28"/>
          <w:szCs w:val="28"/>
        </w:rPr>
        <w:t>в декабре 2024 года по отношению к декабрю 2023 года составила 109,2 %</w:t>
      </w:r>
      <w:r w:rsidR="00070FAE"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в декабре 2023 года к декабрю </w:t>
      </w:r>
      <w:r w:rsidRPr="00E47AA9">
        <w:rPr>
          <w:rFonts w:ascii="Times New Roman" w:eastAsia="Calibri" w:hAnsi="Times New Roman" w:cs="Times New Roman"/>
          <w:sz w:val="28"/>
          <w:szCs w:val="28"/>
        </w:rPr>
        <w:br/>
        <w:t xml:space="preserve">2022 года – 109,4 %. </w:t>
      </w:r>
    </w:p>
    <w:p w14:paraId="4B6026A5" w14:textId="77777777" w:rsidR="006C5C47" w:rsidRPr="00E47AA9" w:rsidRDefault="006C5C47" w:rsidP="006C5C47">
      <w:pPr>
        <w:spacing w:after="0" w:line="240" w:lineRule="auto"/>
        <w:ind w:firstLine="709"/>
        <w:jc w:val="both"/>
        <w:rPr>
          <w:rFonts w:ascii="Times New Roman" w:eastAsia="Calibri" w:hAnsi="Times New Roman" w:cs="Times New Roman"/>
          <w:i/>
          <w:sz w:val="28"/>
          <w:szCs w:val="28"/>
        </w:rPr>
      </w:pPr>
      <w:r w:rsidRPr="00E47AA9">
        <w:rPr>
          <w:rFonts w:ascii="Times New Roman" w:eastAsia="Calibri" w:hAnsi="Times New Roman" w:cs="Times New Roman"/>
          <w:i/>
          <w:sz w:val="28"/>
          <w:szCs w:val="28"/>
        </w:rPr>
        <w:t>Справочно: по данным Росстата</w:t>
      </w:r>
      <w:r w:rsidRPr="00E47AA9">
        <w:rPr>
          <w:rStyle w:val="a8"/>
          <w:rFonts w:ascii="Times New Roman" w:hAnsi="Times New Roman"/>
          <w:sz w:val="28"/>
          <w:szCs w:val="28"/>
        </w:rPr>
        <w:footnoteReference w:id="13"/>
      </w:r>
      <w:r w:rsidRPr="00E47AA9">
        <w:rPr>
          <w:rFonts w:ascii="Times New Roman" w:eastAsia="Calibri" w:hAnsi="Times New Roman" w:cs="Times New Roman"/>
          <w:i/>
          <w:sz w:val="28"/>
          <w:szCs w:val="28"/>
        </w:rPr>
        <w:t xml:space="preserve"> индекс потребительских цен в Российской Федерации в декабре 2024 года составил 109,52 % к декабрю 2023 года (декабрь 2023 года к декабрю 2022 года – 107,42 %). Индекс потребительских цен в 2024 к 2023 году – 108,45 % (в 2023 году к 2022 году – 105,87 %). </w:t>
      </w:r>
    </w:p>
    <w:p w14:paraId="42B762D4"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Наибольший рост цен в Приморском крае в декабре 2024 года к декабрю 2023 года из </w:t>
      </w:r>
      <w:r w:rsidRPr="00E47AA9">
        <w:rPr>
          <w:rFonts w:ascii="Times New Roman" w:eastAsia="Calibri" w:hAnsi="Times New Roman" w:cs="Times New Roman"/>
          <w:i/>
          <w:sz w:val="28"/>
          <w:szCs w:val="28"/>
        </w:rPr>
        <w:t>продовольственных товаров</w:t>
      </w:r>
      <w:r w:rsidRPr="00E47AA9">
        <w:rPr>
          <w:rFonts w:ascii="Times New Roman" w:eastAsia="Calibri" w:hAnsi="Times New Roman" w:cs="Times New Roman"/>
          <w:sz w:val="28"/>
          <w:szCs w:val="28"/>
        </w:rPr>
        <w:t xml:space="preserve"> отмечался на масло сливочное </w:t>
      </w:r>
      <w:r w:rsidR="00070FAE"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lastRenderedPageBreak/>
        <w:t>48,5</w:t>
      </w:r>
      <w:r w:rsidR="00070FAE"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 шоколад – 42,5 %, сельди – 34,0 %, масло оливковое – 32,3 %, икра лососевых рыб, отечественная – 30,0</w:t>
      </w:r>
      <w:r w:rsidR="00070FAE"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крупа манная – 23,7 %, молоко питьевое, мед, сыры плавленые – 20,0 %, морковь, зелень свежая – 19,0 %, изделия кондитерские – 16,0</w:t>
      </w:r>
      <w:r w:rsidR="00070FAE"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овощи – 9,0 %.</w:t>
      </w:r>
    </w:p>
    <w:p w14:paraId="10574585"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t xml:space="preserve"> </w:t>
      </w:r>
      <w:r w:rsidRPr="00E47AA9">
        <w:rPr>
          <w:rFonts w:ascii="Times New Roman" w:eastAsia="Calibri" w:hAnsi="Times New Roman" w:cs="Times New Roman"/>
          <w:sz w:val="28"/>
          <w:szCs w:val="28"/>
        </w:rPr>
        <w:t>Вылов тихоокеанской сельди на Дальнем Востоке в 2024 году снизился, что привело к росту оптовых цен на нее и отразилось на розничных ценах.</w:t>
      </w:r>
      <w:r w:rsidRPr="00E47AA9">
        <w:t xml:space="preserve"> </w:t>
      </w:r>
      <w:r w:rsidRPr="00E47AA9">
        <w:rPr>
          <w:rFonts w:ascii="Times New Roman" w:eastAsia="Calibri" w:hAnsi="Times New Roman" w:cs="Times New Roman"/>
          <w:sz w:val="28"/>
          <w:szCs w:val="28"/>
        </w:rPr>
        <w:t>Неоднозначная ситуация складывалась на потребительском рынке с картофелем, подорожавш</w:t>
      </w:r>
      <w:r w:rsidR="00070FAE" w:rsidRPr="00E47AA9">
        <w:rPr>
          <w:rFonts w:ascii="Times New Roman" w:eastAsia="Calibri" w:hAnsi="Times New Roman" w:cs="Times New Roman"/>
          <w:sz w:val="28"/>
          <w:szCs w:val="28"/>
        </w:rPr>
        <w:t>е</w:t>
      </w:r>
      <w:r w:rsidRPr="00E47AA9">
        <w:rPr>
          <w:rFonts w:ascii="Times New Roman" w:eastAsia="Calibri" w:hAnsi="Times New Roman" w:cs="Times New Roman"/>
          <w:sz w:val="28"/>
          <w:szCs w:val="28"/>
        </w:rPr>
        <w:t>м с начала года – на 6 %. Однако</w:t>
      </w:r>
      <w:r w:rsidR="00521F4B"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учитывая</w:t>
      </w:r>
      <w:r w:rsidR="00521F4B"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что в целом по России картофель в 2024 году подорожал в 1,9 раза, ситуация на Дальнем Востоке оставалась одной из самых благоприятных.</w:t>
      </w:r>
    </w:p>
    <w:p w14:paraId="7F12C55F"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На </w:t>
      </w:r>
      <w:r w:rsidRPr="00E47AA9">
        <w:rPr>
          <w:rFonts w:ascii="Times New Roman" w:eastAsia="Calibri" w:hAnsi="Times New Roman" w:cs="Times New Roman"/>
          <w:i/>
          <w:sz w:val="28"/>
          <w:szCs w:val="28"/>
        </w:rPr>
        <w:t>непродовольственные товары</w:t>
      </w:r>
      <w:r w:rsidRPr="00E47AA9">
        <w:rPr>
          <w:rFonts w:ascii="Times New Roman" w:eastAsia="Calibri" w:hAnsi="Times New Roman" w:cs="Times New Roman"/>
          <w:sz w:val="28"/>
          <w:szCs w:val="28"/>
        </w:rPr>
        <w:t xml:space="preserve"> заметно выросли цены в декабре </w:t>
      </w:r>
      <w:r w:rsidRPr="00E47AA9">
        <w:rPr>
          <w:rFonts w:ascii="Times New Roman" w:eastAsia="Calibri" w:hAnsi="Times New Roman" w:cs="Times New Roman"/>
          <w:sz w:val="28"/>
          <w:szCs w:val="28"/>
        </w:rPr>
        <w:br/>
        <w:t xml:space="preserve">2024 года </w:t>
      </w:r>
      <w:r w:rsidR="008932FE" w:rsidRPr="00E47AA9">
        <w:rPr>
          <w:rFonts w:ascii="Times New Roman" w:eastAsia="Calibri" w:hAnsi="Times New Roman" w:cs="Times New Roman"/>
          <w:sz w:val="28"/>
          <w:szCs w:val="28"/>
        </w:rPr>
        <w:t xml:space="preserve">на </w:t>
      </w:r>
      <w:r w:rsidRPr="00E47AA9">
        <w:rPr>
          <w:rFonts w:ascii="Times New Roman" w:eastAsia="Calibri" w:hAnsi="Times New Roman" w:cs="Times New Roman"/>
          <w:sz w:val="28"/>
          <w:szCs w:val="28"/>
        </w:rPr>
        <w:t>ювелирные изделия – 20,0 %, бензин автомобильный марки АИ-98 и выше – 19,0 %, товары для садоводства – 17,1 %.</w:t>
      </w:r>
    </w:p>
    <w:p w14:paraId="0E2AC759"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Прирост цен (тарифов) </w:t>
      </w:r>
      <w:r w:rsidRPr="00E47AA9">
        <w:rPr>
          <w:rFonts w:ascii="Times New Roman" w:eastAsia="Calibri" w:hAnsi="Times New Roman" w:cs="Times New Roman"/>
          <w:i/>
          <w:sz w:val="28"/>
          <w:szCs w:val="28"/>
        </w:rPr>
        <w:t>на платные услуги</w:t>
      </w:r>
      <w:r w:rsidRPr="00E47AA9">
        <w:rPr>
          <w:rFonts w:ascii="Times New Roman" w:eastAsia="Calibri" w:hAnsi="Times New Roman" w:cs="Times New Roman"/>
          <w:sz w:val="28"/>
          <w:szCs w:val="28"/>
        </w:rPr>
        <w:t xml:space="preserve"> населению составил в среднем 1,6 % к декабрю 2023 года. В декабре 2024 года по сравнению с декабрем </w:t>
      </w:r>
      <w:r w:rsidRPr="00E47AA9">
        <w:rPr>
          <w:rFonts w:ascii="Times New Roman" w:eastAsia="Calibri" w:hAnsi="Times New Roman" w:cs="Times New Roman"/>
          <w:sz w:val="28"/>
          <w:szCs w:val="28"/>
        </w:rPr>
        <w:br/>
        <w:t>2023 года заметно выросли цены на плат</w:t>
      </w:r>
      <w:r w:rsidR="00521F4B" w:rsidRPr="00E47AA9">
        <w:rPr>
          <w:rFonts w:ascii="Times New Roman" w:eastAsia="Calibri" w:hAnsi="Times New Roman" w:cs="Times New Roman"/>
          <w:sz w:val="28"/>
          <w:szCs w:val="28"/>
        </w:rPr>
        <w:t>у</w:t>
      </w:r>
      <w:r w:rsidRPr="00E47AA9">
        <w:rPr>
          <w:rFonts w:ascii="Times New Roman" w:eastAsia="Calibri" w:hAnsi="Times New Roman" w:cs="Times New Roman"/>
          <w:sz w:val="28"/>
          <w:szCs w:val="28"/>
        </w:rPr>
        <w:t xml:space="preserve"> за пользование потребительским кредитом (процентная ставка в стоимостном выражении) – 54,89</w:t>
      </w:r>
      <w:r w:rsidR="00521F4B"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  услуги банков </w:t>
      </w:r>
      <w:r w:rsidR="00521F4B"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51,96 %, услуги прачечных, химчисток – 40,6</w:t>
      </w:r>
      <w:r w:rsidR="00521F4B"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услуги в сфере зарубежного туризма – 29,1 %, плата за пакет услуг сотовой связи – 27,5 %, пассажирского транспорта – 25,6 %, ветеринарные услуги – 19,1 %, аренда автомобилей – 18,8 %, аренда квартир – 18,5 %, услуги в сфере внутреннего туризма – 17,0 %</w:t>
      </w:r>
      <w:r w:rsidRPr="00E47AA9">
        <w:t xml:space="preserve">, </w:t>
      </w:r>
      <w:r w:rsidRPr="00E47AA9">
        <w:rPr>
          <w:rFonts w:ascii="Times New Roman" w:eastAsia="Calibri" w:hAnsi="Times New Roman" w:cs="Times New Roman"/>
          <w:sz w:val="28"/>
          <w:szCs w:val="28"/>
        </w:rPr>
        <w:t>городской электрический транспорт – 16,4 %</w:t>
      </w:r>
      <w:r w:rsidRPr="00E47AA9">
        <w:rPr>
          <w:rFonts w:ascii="Times New Roman" w:hAnsi="Times New Roman" w:cs="Times New Roman"/>
        </w:rPr>
        <w:t>,</w:t>
      </w:r>
      <w:r w:rsidRPr="00E47AA9">
        <w:t xml:space="preserve"> </w:t>
      </w:r>
      <w:r w:rsidRPr="00E47AA9">
        <w:rPr>
          <w:rFonts w:ascii="Times New Roman" w:eastAsia="Calibri" w:hAnsi="Times New Roman" w:cs="Times New Roman"/>
          <w:sz w:val="28"/>
          <w:szCs w:val="28"/>
        </w:rPr>
        <w:t xml:space="preserve">услуги телекоммуникационные </w:t>
      </w:r>
      <w:r w:rsidR="00521F4B"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16,1 %, услуги гостиниц – 15,7 %.</w:t>
      </w:r>
    </w:p>
    <w:p w14:paraId="1A2E624C" w14:textId="77777777" w:rsidR="006C5C47" w:rsidRPr="00E47AA9" w:rsidRDefault="00D24735" w:rsidP="006C5C47">
      <w:pPr>
        <w:spacing w:after="0" w:line="240" w:lineRule="auto"/>
        <w:ind w:firstLine="709"/>
        <w:jc w:val="both"/>
        <w:rPr>
          <w:rFonts w:ascii="Times New Roman" w:eastAsia="Calibri" w:hAnsi="Times New Roman" w:cs="Times New Roman"/>
          <w:i/>
          <w:sz w:val="28"/>
          <w:szCs w:val="28"/>
        </w:rPr>
      </w:pPr>
      <w:r w:rsidRPr="00E47AA9">
        <w:rPr>
          <w:rFonts w:ascii="Times New Roman" w:eastAsia="Calibri" w:hAnsi="Times New Roman" w:cs="Times New Roman"/>
          <w:sz w:val="28"/>
          <w:szCs w:val="28"/>
        </w:rPr>
        <w:t>В IV квартале 2024 года</w:t>
      </w:r>
      <w:r w:rsidR="006C5C47" w:rsidRPr="00E47AA9">
        <w:rPr>
          <w:rFonts w:ascii="Times New Roman" w:eastAsia="Calibri" w:hAnsi="Times New Roman" w:cs="Times New Roman"/>
          <w:sz w:val="28"/>
          <w:szCs w:val="28"/>
        </w:rPr>
        <w:t xml:space="preserve"> по сравнению с предыдущим кварталом индекс цен на первичном рынке жилья составил 100,5 %, на вторичном – 100,7 %. Стоимость 1 кв. м общей площади квартир в IV квартале 2024 года на первичном рынке жилья в Приморском крае составила 176 тыс. рублей, на вторичном рынке жилья – 146,9 тыс. рублей.</w:t>
      </w:r>
    </w:p>
    <w:p w14:paraId="007DC399"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Стоимость условного (минимального) набора продуктов питания, рассчитанная по среднероссийским нормам потребления, на конец декабря 2024 года составила в среднем по Приморскому краю 9196,53 рублей в расчете на месяц, что выше на 12,15 % по сравнению с декабрем 2023 года (8200,49 рублей). По сравнению с предыдущим месяцем его стоимость увеличилась на 2,1 %.</w:t>
      </w:r>
    </w:p>
    <w:p w14:paraId="73C56AB8" w14:textId="77777777" w:rsidR="006C5C47" w:rsidRPr="00E47AA9" w:rsidRDefault="006C5C47" w:rsidP="006C5C47">
      <w:pPr>
        <w:spacing w:after="0" w:line="240" w:lineRule="auto"/>
        <w:ind w:firstLine="709"/>
        <w:jc w:val="both"/>
        <w:rPr>
          <w:rFonts w:ascii="Times New Roman" w:eastAsia="Calibri" w:hAnsi="Times New Roman" w:cs="Times New Roman"/>
          <w:b/>
          <w:sz w:val="28"/>
          <w:szCs w:val="28"/>
        </w:rPr>
      </w:pPr>
      <w:r w:rsidRPr="00E47AA9">
        <w:rPr>
          <w:rFonts w:ascii="Times New Roman" w:eastAsia="Calibri" w:hAnsi="Times New Roman" w:cs="Times New Roman"/>
          <w:sz w:val="28"/>
          <w:szCs w:val="28"/>
        </w:rPr>
        <w:t xml:space="preserve">По данным </w:t>
      </w:r>
      <w:proofErr w:type="spellStart"/>
      <w:r w:rsidRPr="00E47AA9">
        <w:rPr>
          <w:rFonts w:ascii="Times New Roman" w:eastAsia="Calibri" w:hAnsi="Times New Roman" w:cs="Times New Roman"/>
          <w:sz w:val="28"/>
          <w:szCs w:val="28"/>
        </w:rPr>
        <w:t>Приморскстата</w:t>
      </w:r>
      <w:proofErr w:type="spellEnd"/>
      <w:r w:rsidRPr="00E47AA9">
        <w:rPr>
          <w:rFonts w:ascii="Times New Roman" w:eastAsia="Calibri" w:hAnsi="Times New Roman" w:cs="Times New Roman"/>
          <w:sz w:val="28"/>
          <w:szCs w:val="28"/>
        </w:rPr>
        <w:t xml:space="preserve">, из 11 регионов в ДФО стоимость набора по Приморскому краю (9197 рублей) </w:t>
      </w:r>
      <w:r w:rsidRPr="00E47AA9">
        <w:rPr>
          <w:rFonts w:ascii="Times New Roman" w:eastAsia="Calibri" w:hAnsi="Times New Roman" w:cs="Times New Roman"/>
          <w:i/>
          <w:sz w:val="28"/>
          <w:szCs w:val="28"/>
        </w:rPr>
        <w:t>больше,</w:t>
      </w:r>
      <w:r w:rsidRPr="00E47AA9">
        <w:rPr>
          <w:rFonts w:ascii="Times New Roman" w:eastAsia="Calibri" w:hAnsi="Times New Roman" w:cs="Times New Roman"/>
          <w:sz w:val="28"/>
          <w:szCs w:val="28"/>
        </w:rPr>
        <w:t xml:space="preserve"> чем в Республике Бурятия (7782 рубля), Амурской области (7751 рубля), Забайкальском крае (8534 рублей), Еврейской АО (8354 рубля) и Хабаровском крае (9121 рублей), но </w:t>
      </w:r>
      <w:r w:rsidRPr="00E47AA9">
        <w:rPr>
          <w:rFonts w:ascii="Times New Roman" w:eastAsia="Calibri" w:hAnsi="Times New Roman" w:cs="Times New Roman"/>
          <w:i/>
          <w:sz w:val="28"/>
          <w:szCs w:val="28"/>
        </w:rPr>
        <w:t xml:space="preserve">ниже </w:t>
      </w:r>
      <w:r w:rsidRPr="00E47AA9">
        <w:rPr>
          <w:rFonts w:ascii="Times New Roman" w:eastAsia="Calibri" w:hAnsi="Times New Roman" w:cs="Times New Roman"/>
          <w:sz w:val="28"/>
          <w:szCs w:val="28"/>
        </w:rPr>
        <w:t xml:space="preserve">чем в Республике Саха (Якутия) (10439), Камчатском крае (11219), Магаданской области (11452), Сахалинской области (9860), Чукотского АО (16465). </w:t>
      </w:r>
    </w:p>
    <w:p w14:paraId="779C0024"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Стоимость фиксированного набора потребительских товаров и услуг, используемого для межрегиональных сопоставлений покупательной способности населения, составила в Приморском крае в конце декабря </w:t>
      </w:r>
      <w:r w:rsidRPr="00E47AA9">
        <w:rPr>
          <w:rFonts w:ascii="Times New Roman" w:eastAsia="Calibri" w:hAnsi="Times New Roman" w:cs="Times New Roman"/>
          <w:sz w:val="28"/>
          <w:szCs w:val="28"/>
        </w:rPr>
        <w:br/>
      </w:r>
      <w:r w:rsidRPr="00E47AA9">
        <w:rPr>
          <w:rFonts w:ascii="Times New Roman" w:eastAsia="Calibri" w:hAnsi="Times New Roman" w:cs="Times New Roman"/>
          <w:sz w:val="28"/>
          <w:szCs w:val="28"/>
        </w:rPr>
        <w:lastRenderedPageBreak/>
        <w:t xml:space="preserve">2024 года 27126,49 рубля в расчете на месяц, что выше на 0,8 % по сравнению с предыдущим месяцем. В конце декабря 2023 года стоимость фиксированного набора потребительских товаров и услуг составляла 24881,29 рублей. </w:t>
      </w:r>
    </w:p>
    <w:p w14:paraId="36BE4EA7" w14:textId="77777777" w:rsidR="006C5C47" w:rsidRPr="00E47AA9" w:rsidRDefault="006C5C47" w:rsidP="006C5C47">
      <w:pPr>
        <w:spacing w:after="0" w:line="240" w:lineRule="auto"/>
        <w:ind w:firstLine="709"/>
        <w:jc w:val="both"/>
        <w:rPr>
          <w:rFonts w:ascii="Times New Roman" w:eastAsia="Calibri" w:hAnsi="Times New Roman" w:cs="Times New Roman"/>
          <w:b/>
          <w:i/>
          <w:sz w:val="28"/>
          <w:szCs w:val="28"/>
        </w:rPr>
      </w:pPr>
      <w:r w:rsidRPr="00E47AA9">
        <w:rPr>
          <w:rFonts w:ascii="Times New Roman" w:eastAsia="Calibri" w:hAnsi="Times New Roman" w:cs="Times New Roman"/>
          <w:sz w:val="28"/>
          <w:szCs w:val="28"/>
        </w:rPr>
        <w:t xml:space="preserve">Важными показателями </w:t>
      </w:r>
      <w:r w:rsidRPr="00E47AA9">
        <w:rPr>
          <w:rFonts w:ascii="Times New Roman" w:eastAsia="Calibri" w:hAnsi="Times New Roman" w:cs="Times New Roman"/>
          <w:sz w:val="28"/>
          <w:szCs w:val="28"/>
          <w:lang w:eastAsia="ru-RU"/>
        </w:rPr>
        <w:t>состояния</w:t>
      </w:r>
      <w:r w:rsidRPr="00E47AA9">
        <w:rPr>
          <w:rFonts w:ascii="Times New Roman" w:eastAsia="Calibri" w:hAnsi="Times New Roman" w:cs="Times New Roman"/>
          <w:sz w:val="28"/>
          <w:szCs w:val="28"/>
        </w:rPr>
        <w:t xml:space="preserve"> экономики Приморского края являются </w:t>
      </w:r>
      <w:r w:rsidRPr="00E47AA9">
        <w:rPr>
          <w:rFonts w:ascii="Times New Roman" w:eastAsia="Calibri" w:hAnsi="Times New Roman" w:cs="Times New Roman"/>
          <w:b/>
          <w:i/>
          <w:sz w:val="28"/>
          <w:szCs w:val="28"/>
        </w:rPr>
        <w:t xml:space="preserve">демографические показатели, доходы населения, безработица. </w:t>
      </w:r>
    </w:p>
    <w:p w14:paraId="3DDC33F6"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Динамика данных показателей за 2022-2024 годы представлена на диаграммах.</w:t>
      </w:r>
    </w:p>
    <w:tbl>
      <w:tblPr>
        <w:tblStyle w:val="ab"/>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2"/>
        <w:gridCol w:w="3131"/>
        <w:gridCol w:w="3179"/>
      </w:tblGrid>
      <w:tr w:rsidR="00E47AA9" w:rsidRPr="00E47AA9" w14:paraId="1AEE824A" w14:textId="77777777" w:rsidTr="00F77241">
        <w:trPr>
          <w:trHeight w:val="3847"/>
        </w:trPr>
        <w:tc>
          <w:tcPr>
            <w:tcW w:w="3192" w:type="dxa"/>
          </w:tcPr>
          <w:p w14:paraId="43C22F4C" w14:textId="77777777" w:rsidR="006C5C47" w:rsidRPr="00E47AA9" w:rsidRDefault="006C5C47" w:rsidP="00F77241">
            <w:pPr>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2FB83B97" wp14:editId="49D2E619">
                  <wp:extent cx="2103755" cy="2228850"/>
                  <wp:effectExtent l="0" t="0" r="0" b="0"/>
                  <wp:docPr id="1108961195"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1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c>
          <w:tcPr>
            <w:tcW w:w="3131" w:type="dxa"/>
          </w:tcPr>
          <w:p w14:paraId="0B9D42AA" w14:textId="77777777" w:rsidR="006C5C47" w:rsidRPr="00E47AA9" w:rsidRDefault="006C5C47" w:rsidP="00F77241">
            <w:pPr>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3AD2298B" wp14:editId="2B9098E2">
                  <wp:extent cx="2314575" cy="2257425"/>
                  <wp:effectExtent l="0" t="0" r="0" b="0"/>
                  <wp:docPr id="370065451"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1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c>
          <w:tcPr>
            <w:tcW w:w="3179" w:type="dxa"/>
          </w:tcPr>
          <w:p w14:paraId="2B13353F" w14:textId="77777777" w:rsidR="006C5C47" w:rsidRPr="00E47AA9" w:rsidRDefault="006C5C47" w:rsidP="00F77241">
            <w:pPr>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6545D258" wp14:editId="42A3554E">
                  <wp:extent cx="2352675" cy="2228850"/>
                  <wp:effectExtent l="0" t="0" r="0" b="0"/>
                  <wp:docPr id="1367872997"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1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E47AA9" w:rsidRPr="00E47AA9" w14:paraId="1862370F" w14:textId="77777777" w:rsidTr="00F77241">
        <w:trPr>
          <w:trHeight w:val="3847"/>
        </w:trPr>
        <w:tc>
          <w:tcPr>
            <w:tcW w:w="3192" w:type="dxa"/>
          </w:tcPr>
          <w:p w14:paraId="4B090089" w14:textId="77777777" w:rsidR="006C5C47" w:rsidRPr="00E47AA9" w:rsidRDefault="006C5C47" w:rsidP="00F77241">
            <w:pPr>
              <w:jc w:val="both"/>
              <w:rPr>
                <w:noProof/>
                <w14:ligatures w14:val="standardContextual"/>
              </w:rPr>
            </w:pPr>
            <w:r w:rsidRPr="00E47AA9">
              <w:rPr>
                <w:noProof/>
                <w:lang w:eastAsia="ru-RU"/>
                <w14:ligatures w14:val="standardContextual"/>
              </w:rPr>
              <w:drawing>
                <wp:inline distT="0" distB="0" distL="0" distR="0" wp14:anchorId="0F0C7B4A" wp14:editId="6CE27336">
                  <wp:extent cx="2362200" cy="2190750"/>
                  <wp:effectExtent l="0" t="0" r="0" b="0"/>
                  <wp:docPr id="1076078963"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1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3131" w:type="dxa"/>
          </w:tcPr>
          <w:p w14:paraId="336675B1" w14:textId="77777777" w:rsidR="006C5C47" w:rsidRPr="00E47AA9" w:rsidRDefault="006C5C47" w:rsidP="00F77241">
            <w:pPr>
              <w:jc w:val="both"/>
              <w:rPr>
                <w:noProof/>
                <w14:ligatures w14:val="standardContextual"/>
              </w:rPr>
            </w:pPr>
            <w:r w:rsidRPr="00E47AA9">
              <w:rPr>
                <w:noProof/>
                <w:lang w:eastAsia="ru-RU"/>
                <w14:ligatures w14:val="standardContextual"/>
              </w:rPr>
              <w:drawing>
                <wp:inline distT="0" distB="0" distL="0" distR="0" wp14:anchorId="466ADAB3" wp14:editId="320C2CC1">
                  <wp:extent cx="2009775" cy="2233930"/>
                  <wp:effectExtent l="0" t="0" r="0" b="0"/>
                  <wp:docPr id="1558902731"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1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c>
          <w:tcPr>
            <w:tcW w:w="3179" w:type="dxa"/>
          </w:tcPr>
          <w:p w14:paraId="7CBDCCAE" w14:textId="77777777" w:rsidR="006C5C47" w:rsidRPr="00E47AA9" w:rsidRDefault="006C5C47" w:rsidP="00F77241">
            <w:pPr>
              <w:jc w:val="both"/>
              <w:rPr>
                <w:noProof/>
                <w14:ligatures w14:val="standardContextual"/>
              </w:rPr>
            </w:pPr>
            <w:r w:rsidRPr="00E47AA9">
              <w:rPr>
                <w:noProof/>
                <w:lang w:eastAsia="ru-RU"/>
                <w14:ligatures w14:val="standardContextual"/>
              </w:rPr>
              <w:drawing>
                <wp:inline distT="0" distB="0" distL="0" distR="0" wp14:anchorId="2DCBC9C6" wp14:editId="7E086A8C">
                  <wp:extent cx="2056765" cy="2234241"/>
                  <wp:effectExtent l="0" t="0" r="635" b="0"/>
                  <wp:docPr id="450656300"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2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E47AA9" w:rsidRPr="00E47AA9" w14:paraId="4332CA14" w14:textId="77777777" w:rsidTr="00F77241">
        <w:tc>
          <w:tcPr>
            <w:tcW w:w="3192" w:type="dxa"/>
          </w:tcPr>
          <w:p w14:paraId="0AE6FA11" w14:textId="77777777" w:rsidR="006C5C47" w:rsidRPr="00E47AA9" w:rsidRDefault="006C5C47" w:rsidP="00F77241">
            <w:pPr>
              <w:ind w:left="-112"/>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23EC70DA" wp14:editId="40B21591">
                  <wp:extent cx="2355012" cy="2354580"/>
                  <wp:effectExtent l="0" t="0" r="7620" b="7620"/>
                  <wp:docPr id="1317784683"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2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c>
          <w:tcPr>
            <w:tcW w:w="3131" w:type="dxa"/>
          </w:tcPr>
          <w:p w14:paraId="5A1419D1" w14:textId="77777777" w:rsidR="006C5C47" w:rsidRPr="00E47AA9" w:rsidRDefault="006C5C47" w:rsidP="00F77241">
            <w:pPr>
              <w:ind w:left="-209"/>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0AF22243" wp14:editId="06191BDE">
                  <wp:extent cx="2171700" cy="2247900"/>
                  <wp:effectExtent l="0" t="0" r="0" b="0"/>
                  <wp:docPr id="2090155220"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2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c>
          <w:tcPr>
            <w:tcW w:w="3179" w:type="dxa"/>
          </w:tcPr>
          <w:p w14:paraId="502F573E" w14:textId="77777777" w:rsidR="006C5C47" w:rsidRPr="00E47AA9" w:rsidRDefault="006C5C47" w:rsidP="00F77241">
            <w:pPr>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0C4EB79E" wp14:editId="42E6E311">
                  <wp:extent cx="2028825" cy="2295525"/>
                  <wp:effectExtent l="0" t="0" r="0" b="0"/>
                  <wp:docPr id="985705788"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0E7F31F7"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lastRenderedPageBreak/>
        <w:t xml:space="preserve">По оценке </w:t>
      </w:r>
      <w:proofErr w:type="spellStart"/>
      <w:r w:rsidRPr="00E47AA9">
        <w:rPr>
          <w:rFonts w:ascii="Times New Roman" w:eastAsia="Calibri" w:hAnsi="Times New Roman" w:cs="Times New Roman"/>
          <w:sz w:val="28"/>
          <w:szCs w:val="28"/>
        </w:rPr>
        <w:t>Приморскстата</w:t>
      </w:r>
      <w:proofErr w:type="spellEnd"/>
      <w:r w:rsidRPr="00E47AA9">
        <w:rPr>
          <w:rFonts w:ascii="Times New Roman" w:eastAsia="Calibri" w:hAnsi="Times New Roman" w:cs="Times New Roman"/>
          <w:sz w:val="28"/>
          <w:szCs w:val="28"/>
        </w:rPr>
        <w:t xml:space="preserve">, объем </w:t>
      </w:r>
      <w:r w:rsidRPr="00E47AA9">
        <w:rPr>
          <w:rFonts w:ascii="Times New Roman" w:eastAsia="Calibri" w:hAnsi="Times New Roman" w:cs="Times New Roman"/>
          <w:b/>
          <w:i/>
          <w:sz w:val="28"/>
          <w:szCs w:val="28"/>
        </w:rPr>
        <w:t>денежных доходов</w:t>
      </w:r>
      <w:r w:rsidRPr="00E47AA9">
        <w:rPr>
          <w:rFonts w:ascii="Times New Roman" w:eastAsia="Calibri" w:hAnsi="Times New Roman" w:cs="Times New Roman"/>
          <w:sz w:val="28"/>
          <w:szCs w:val="28"/>
        </w:rPr>
        <w:t xml:space="preserve"> населения сложился в размере 1405,9 млрд рублей и увеличился на 19 % по сравнению с предыдущим годом. Среднедушевые денежные доходы за 2024 год составили 64859 рублей в месяц, потребительские расходы – 53790 рублей в месяц.</w:t>
      </w:r>
      <w:r w:rsidRPr="00E47AA9">
        <w:rPr>
          <w:rFonts w:ascii="Times New Roman" w:hAnsi="Times New Roman" w:cs="Times New Roman"/>
        </w:rPr>
        <w:t xml:space="preserve"> </w:t>
      </w:r>
      <w:r w:rsidRPr="00E47AA9">
        <w:rPr>
          <w:rFonts w:ascii="Times New Roman" w:eastAsia="Calibri" w:hAnsi="Times New Roman" w:cs="Times New Roman"/>
          <w:sz w:val="28"/>
          <w:szCs w:val="28"/>
        </w:rPr>
        <w:t>По сравнению с 2023 годом в номинальном выражении среднедушевые денежные доходы показали рост на 19,0 %, в реальном – увеличение на 8,1 %.</w:t>
      </w:r>
    </w:p>
    <w:p w14:paraId="40AC9C42"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В структуре денежных доходов населения Приморского края наибольший удельный вес приходится на заработную плату 70,9 % всех денежных поступлений, на социальные выплаты (пенсия, пособия и социальная помощь, стипендии) – 16,7 %, доходы от собственности – 5,8 %, доходы от предпринимательской деятельности – 5,7 %, прочие денежные поступления – 0,9 %.</w:t>
      </w:r>
    </w:p>
    <w:p w14:paraId="38F36D6A" w14:textId="77777777" w:rsidR="006C5C47" w:rsidRPr="00E47AA9" w:rsidRDefault="006C5C47" w:rsidP="006C5C47">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Среднемесячная номинальная начисленная заработная плата работников организаций в 2024 году составила 84,91 тыс. рублей и по сравнению с </w:t>
      </w:r>
      <w:r w:rsidRPr="00E47AA9">
        <w:rPr>
          <w:rFonts w:ascii="Times New Roman" w:hAnsi="Times New Roman" w:cs="Times New Roman"/>
          <w:sz w:val="28"/>
          <w:szCs w:val="28"/>
        </w:rPr>
        <w:br/>
        <w:t>2023 годом возросла на 17,6 %. Реальная заработная плата, рассчитанная с учетом индекса потребительских цен, выше 2023 года на 7,2 %.</w:t>
      </w:r>
    </w:p>
    <w:p w14:paraId="6DB94263" w14:textId="77777777" w:rsidR="006C5C47" w:rsidRPr="00E47AA9" w:rsidRDefault="006C5C47" w:rsidP="006C5C47">
      <w:pPr>
        <w:autoSpaceDE w:val="0"/>
        <w:autoSpaceDN w:val="0"/>
        <w:adjustRightInd w:val="0"/>
        <w:spacing w:after="0" w:line="240" w:lineRule="auto"/>
        <w:ind w:firstLine="709"/>
        <w:jc w:val="both"/>
        <w:rPr>
          <w:rFonts w:ascii="Times New Roman" w:hAnsi="Times New Roman" w:cs="Times New Roman"/>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30"/>
      </w:tblGrid>
      <w:tr w:rsidR="00E47AA9" w:rsidRPr="00E47AA9" w14:paraId="3F2B9E7E" w14:textId="77777777" w:rsidTr="00F77241">
        <w:trPr>
          <w:trHeight w:val="4800"/>
        </w:trPr>
        <w:tc>
          <w:tcPr>
            <w:tcW w:w="8630" w:type="dxa"/>
          </w:tcPr>
          <w:p w14:paraId="7734C9B8" w14:textId="77777777" w:rsidR="006C5C47" w:rsidRPr="00E47AA9" w:rsidRDefault="006C5C47" w:rsidP="00F77241">
            <w:pPr>
              <w:ind w:left="321" w:firstLine="708"/>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2EA1E5A2" wp14:editId="13F34541">
                  <wp:extent cx="4362450" cy="3042920"/>
                  <wp:effectExtent l="0" t="0" r="0" b="5080"/>
                  <wp:docPr id="207893301"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076C0AFD" w14:textId="77777777" w:rsidR="006C5C47" w:rsidRPr="00E47AA9" w:rsidRDefault="006C5C47" w:rsidP="006C5C47">
      <w:pPr>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b/>
          <w:i/>
          <w:sz w:val="28"/>
          <w:szCs w:val="28"/>
        </w:rPr>
        <w:t>Реальные денежные доходы</w:t>
      </w:r>
      <w:r w:rsidRPr="00E47AA9">
        <w:rPr>
          <w:rStyle w:val="a8"/>
          <w:rFonts w:ascii="Times New Roman" w:hAnsi="Times New Roman"/>
          <w:b/>
          <w:sz w:val="28"/>
          <w:szCs w:val="28"/>
        </w:rPr>
        <w:footnoteReference w:id="14"/>
      </w:r>
      <w:r w:rsidRPr="00E47AA9">
        <w:rPr>
          <w:rFonts w:ascii="Times New Roman" w:eastAsia="Calibri" w:hAnsi="Times New Roman" w:cs="Times New Roman"/>
          <w:sz w:val="28"/>
          <w:szCs w:val="28"/>
        </w:rPr>
        <w:t xml:space="preserve"> населения, по оценке, в 2024 году по сравнению с предыдущим годом увеличились на 8,1 % и составили 108,1 % к 2023 году (в 2023 году 101,3 % к 2022 году). </w:t>
      </w:r>
    </w:p>
    <w:p w14:paraId="56EE3CC3"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b/>
          <w:i/>
          <w:sz w:val="28"/>
          <w:szCs w:val="28"/>
        </w:rPr>
        <w:t>Реальные располагаемые денежные доходы населения</w:t>
      </w:r>
      <w:r w:rsidRPr="00E47AA9">
        <w:rPr>
          <w:rStyle w:val="a8"/>
          <w:rFonts w:ascii="Times New Roman" w:hAnsi="Times New Roman"/>
          <w:sz w:val="28"/>
          <w:szCs w:val="28"/>
        </w:rPr>
        <w:footnoteReference w:id="15"/>
      </w:r>
      <w:r w:rsidRPr="00E47AA9">
        <w:rPr>
          <w:rFonts w:ascii="Times New Roman" w:eastAsia="Calibri" w:hAnsi="Times New Roman" w:cs="Times New Roman"/>
          <w:sz w:val="28"/>
          <w:szCs w:val="28"/>
        </w:rPr>
        <w:t xml:space="preserve"> в 2024 году превысили прогнозное показатели и составили 108,3 % к 2023 году (по Прогнозу 2024</w:t>
      </w:r>
      <w:r w:rsidR="00B70BF3"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 xml:space="preserve">–105,3 %). По Прогнозу на 2025 год ожидается увеличение реальных располагаемых денежных доходов населения до 106,1 %. </w:t>
      </w:r>
    </w:p>
    <w:p w14:paraId="0C9DEF2B"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b/>
          <w:i/>
          <w:sz w:val="28"/>
          <w:szCs w:val="28"/>
        </w:rPr>
        <w:t>Денежные расходы</w:t>
      </w:r>
      <w:r w:rsidRPr="00E47AA9">
        <w:rPr>
          <w:rFonts w:ascii="Times New Roman" w:eastAsia="Calibri" w:hAnsi="Times New Roman" w:cs="Times New Roman"/>
          <w:sz w:val="28"/>
          <w:szCs w:val="28"/>
        </w:rPr>
        <w:t xml:space="preserve"> населения за прошедший год составили 1393 млрд рублей (в 2023 году 1159,3 млрд рублей). На покупку товаров и </w:t>
      </w:r>
      <w:r w:rsidRPr="00E47AA9">
        <w:rPr>
          <w:rFonts w:ascii="Times New Roman" w:eastAsia="Calibri" w:hAnsi="Times New Roman" w:cs="Times New Roman"/>
          <w:sz w:val="28"/>
          <w:szCs w:val="28"/>
        </w:rPr>
        <w:lastRenderedPageBreak/>
        <w:t xml:space="preserve">оплату услуг население израсходовало 1166 млрд рублей, что на 19,9 % больше, чем в 2023 году. </w:t>
      </w:r>
    </w:p>
    <w:p w14:paraId="21ECEE6F"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b/>
          <w:i/>
          <w:sz w:val="28"/>
          <w:szCs w:val="28"/>
        </w:rPr>
        <w:t xml:space="preserve">Номинальная начисленная среднемесячная заработная плата работников организаций </w:t>
      </w:r>
      <w:r w:rsidRPr="00E47AA9">
        <w:rPr>
          <w:rFonts w:ascii="Times New Roman" w:eastAsia="Calibri" w:hAnsi="Times New Roman" w:cs="Times New Roman"/>
          <w:sz w:val="28"/>
          <w:szCs w:val="28"/>
        </w:rPr>
        <w:t xml:space="preserve">Приморского края составила 84,91 тыс. рублей, что выше на 6,43 тыс. рублей по сравнению с прогнозным значением на тот же год (78,48 тыс. рублей). По сравнению с предыдущим годом номинальная начисленная среднемесячная заработная плата работников организаций в </w:t>
      </w:r>
      <w:r w:rsidRPr="00E47AA9">
        <w:rPr>
          <w:rFonts w:ascii="Times New Roman" w:eastAsia="Calibri" w:hAnsi="Times New Roman" w:cs="Times New Roman"/>
          <w:sz w:val="28"/>
          <w:szCs w:val="28"/>
        </w:rPr>
        <w:br/>
        <w:t xml:space="preserve">2024 году выросла на 10,95 тыс. рублей, или на 14,81 % (в 2023 году – 73,96 тыс. рублей). Справочно: согласно </w:t>
      </w:r>
      <w:proofErr w:type="gramStart"/>
      <w:r w:rsidRPr="00E47AA9">
        <w:rPr>
          <w:rFonts w:ascii="Times New Roman" w:eastAsia="Calibri" w:hAnsi="Times New Roman" w:cs="Times New Roman"/>
          <w:sz w:val="28"/>
          <w:szCs w:val="28"/>
        </w:rPr>
        <w:t>Прогнозу</w:t>
      </w:r>
      <w:proofErr w:type="gramEnd"/>
      <w:r w:rsidRPr="00E47AA9">
        <w:rPr>
          <w:rFonts w:ascii="Times New Roman" w:eastAsia="Calibri" w:hAnsi="Times New Roman" w:cs="Times New Roman"/>
          <w:sz w:val="28"/>
          <w:szCs w:val="28"/>
        </w:rPr>
        <w:t xml:space="preserve"> на 2025 год номинальная начисленная среднемесячная заработная плата работников организаций в </w:t>
      </w:r>
      <w:r w:rsidRPr="00E47AA9">
        <w:rPr>
          <w:rFonts w:ascii="Times New Roman" w:eastAsia="Calibri" w:hAnsi="Times New Roman" w:cs="Times New Roman"/>
          <w:sz w:val="28"/>
          <w:szCs w:val="28"/>
        </w:rPr>
        <w:br/>
        <w:t>2025 году увеличится на 13,80 тыс. рублей и составит 98,71 тыс. рублей.</w:t>
      </w:r>
    </w:p>
    <w:p w14:paraId="1983D971"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b/>
          <w:i/>
          <w:sz w:val="28"/>
          <w:szCs w:val="28"/>
        </w:rPr>
        <w:t>Реальная среднемесячная заработная плата работников организаций</w:t>
      </w:r>
      <w:r w:rsidRPr="00E47AA9">
        <w:rPr>
          <w:rFonts w:ascii="Times New Roman" w:eastAsia="Calibri" w:hAnsi="Times New Roman" w:cs="Times New Roman"/>
          <w:sz w:val="28"/>
          <w:szCs w:val="28"/>
        </w:rPr>
        <w:t xml:space="preserve"> увеличилась по сравнению с 2023 годом на 7,2 % и составила в 2024 году 107,2 % (в 2023 году – 109,0 % к 2022 году).</w:t>
      </w:r>
    </w:p>
    <w:p w14:paraId="7239719B" w14:textId="77777777" w:rsidR="006C5C47" w:rsidRPr="00E47AA9" w:rsidRDefault="006C5C47" w:rsidP="006C5C47">
      <w:pPr>
        <w:spacing w:after="0" w:line="240" w:lineRule="auto"/>
        <w:jc w:val="both"/>
        <w:rPr>
          <w:rFonts w:ascii="Times New Roman" w:eastAsia="Calibri" w:hAnsi="Times New Roman" w:cs="Times New Roman"/>
          <w:sz w:val="28"/>
          <w:szCs w:val="28"/>
        </w:rPr>
      </w:pPr>
      <w:r w:rsidRPr="00E47AA9">
        <w:rPr>
          <w:noProof/>
          <w:lang w:eastAsia="ru-RU"/>
          <w14:ligatures w14:val="standardContextual"/>
        </w:rPr>
        <w:drawing>
          <wp:inline distT="0" distB="0" distL="0" distR="0" wp14:anchorId="76B49A70" wp14:editId="0995B400">
            <wp:extent cx="5524500" cy="3067050"/>
            <wp:effectExtent l="0" t="0" r="0" b="0"/>
            <wp:docPr id="1970237191"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0C831EF"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Среди основных видов экономической деятельности наиболее высокая среднемесячная начисленная заработная плата работников сложилась в реальном секторе экономики у работников, занятых рыболовством и рыбоводством, в номинальном выражении она составила 161,24 тыс. рублей, что выше среднекраевого уровня в 1,9 раза (84,91 тыс. рублей). Далее среди лидирующих – организации, осуществляющие финансовую и страховую деятельность (151,91 тыс. рублей), производство металлургическое </w:t>
      </w:r>
      <w:r w:rsidRPr="00E47AA9">
        <w:rPr>
          <w:rFonts w:ascii="Times New Roman" w:eastAsia="Calibri" w:hAnsi="Times New Roman" w:cs="Times New Roman"/>
          <w:sz w:val="28"/>
          <w:szCs w:val="28"/>
        </w:rPr>
        <w:br/>
        <w:t>(135,93 тыс. рублей),</w:t>
      </w:r>
      <w:r w:rsidRPr="00E47AA9">
        <w:t xml:space="preserve"> </w:t>
      </w:r>
      <w:r w:rsidRPr="00E47AA9">
        <w:rPr>
          <w:rFonts w:ascii="Times New Roman" w:eastAsia="Calibri" w:hAnsi="Times New Roman" w:cs="Times New Roman"/>
          <w:sz w:val="28"/>
          <w:szCs w:val="28"/>
        </w:rPr>
        <w:t>производство автотранспортных средств, прицепов и полуприцепов (118,73 тыс. рублей),</w:t>
      </w:r>
      <w:r w:rsidRPr="00E47AA9">
        <w:t xml:space="preserve"> </w:t>
      </w:r>
      <w:r w:rsidRPr="00E47AA9">
        <w:rPr>
          <w:rFonts w:ascii="Times New Roman" w:eastAsia="Calibri" w:hAnsi="Times New Roman" w:cs="Times New Roman"/>
          <w:sz w:val="28"/>
          <w:szCs w:val="28"/>
        </w:rPr>
        <w:t>производство электрического оборудования (114,43 тыс. рублей),</w:t>
      </w:r>
      <w:r w:rsidRPr="00E47AA9">
        <w:t xml:space="preserve"> </w:t>
      </w:r>
      <w:r w:rsidRPr="00E47AA9">
        <w:rPr>
          <w:rFonts w:ascii="Times New Roman" w:eastAsia="Calibri" w:hAnsi="Times New Roman" w:cs="Times New Roman"/>
          <w:sz w:val="28"/>
          <w:szCs w:val="28"/>
        </w:rPr>
        <w:t xml:space="preserve">транспортировка и хранение </w:t>
      </w:r>
      <w:r w:rsidRPr="00E47AA9">
        <w:rPr>
          <w:rFonts w:ascii="Times New Roman" w:eastAsia="Calibri" w:hAnsi="Times New Roman" w:cs="Times New Roman"/>
          <w:sz w:val="28"/>
          <w:szCs w:val="28"/>
        </w:rPr>
        <w:br/>
        <w:t>(107,74 тыс. рублей), производство, передача и распределение электроэнергии (107,69 тыс. рублей),</w:t>
      </w:r>
      <w:r w:rsidRPr="00E47AA9">
        <w:t xml:space="preserve"> </w:t>
      </w:r>
      <w:r w:rsidRPr="00E47AA9">
        <w:rPr>
          <w:rFonts w:ascii="Times New Roman" w:eastAsia="Calibri" w:hAnsi="Times New Roman" w:cs="Times New Roman"/>
          <w:sz w:val="28"/>
          <w:szCs w:val="28"/>
        </w:rPr>
        <w:t xml:space="preserve">деятельность в области информации и связи </w:t>
      </w:r>
      <w:r w:rsidRPr="00E47AA9">
        <w:rPr>
          <w:rFonts w:ascii="Times New Roman" w:eastAsia="Calibri" w:hAnsi="Times New Roman" w:cs="Times New Roman"/>
          <w:sz w:val="28"/>
          <w:szCs w:val="28"/>
        </w:rPr>
        <w:br/>
        <w:t xml:space="preserve">(106,35 тыс. рублей). </w:t>
      </w:r>
    </w:p>
    <w:p w14:paraId="3B306395"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Значительно ниже среднекраевого уровня заработная плата в организациях по производству одежды (23,20 тыс. рублей), мебели </w:t>
      </w:r>
      <w:r w:rsidRPr="00E47AA9">
        <w:rPr>
          <w:rFonts w:ascii="Times New Roman" w:eastAsia="Calibri" w:hAnsi="Times New Roman" w:cs="Times New Roman"/>
          <w:sz w:val="28"/>
          <w:szCs w:val="28"/>
        </w:rPr>
        <w:br/>
      </w:r>
      <w:r w:rsidRPr="00E47AA9">
        <w:rPr>
          <w:rFonts w:ascii="Times New Roman" w:eastAsia="Calibri" w:hAnsi="Times New Roman" w:cs="Times New Roman"/>
          <w:sz w:val="28"/>
          <w:szCs w:val="28"/>
        </w:rPr>
        <w:lastRenderedPageBreak/>
        <w:t>(31,18 тыс. рублей), осуществляющих деятельность по операциям с недвижимым имуществом (40,86 тыс. рублей), организаций, предоставляющих услуги в сфере туризма (41,04 тыс. рублей), производство прочей неметаллической минеральной продукции (45,68 тыс. рублей),</w:t>
      </w:r>
      <w:r w:rsidRPr="00E47AA9">
        <w:t xml:space="preserve"> </w:t>
      </w:r>
      <w:r w:rsidRPr="00E47AA9">
        <w:rPr>
          <w:rFonts w:ascii="Times New Roman" w:eastAsia="Calibri" w:hAnsi="Times New Roman" w:cs="Times New Roman"/>
          <w:sz w:val="28"/>
          <w:szCs w:val="28"/>
        </w:rPr>
        <w:t xml:space="preserve">обработка древесины и производство изделий из дерева и пробки, кроме мебели, производство изделий из соломки и материалов для плетения </w:t>
      </w:r>
      <w:r w:rsidRPr="00E47AA9">
        <w:rPr>
          <w:rFonts w:ascii="Times New Roman" w:eastAsia="Calibri" w:hAnsi="Times New Roman" w:cs="Times New Roman"/>
          <w:sz w:val="28"/>
          <w:szCs w:val="28"/>
        </w:rPr>
        <w:br/>
        <w:t xml:space="preserve">(50,99 тыс. рублей), деятельность административная и сопутствующие дополнительные услуги (52,94 тыс. рублей). </w:t>
      </w:r>
    </w:p>
    <w:p w14:paraId="4A692917" w14:textId="77777777" w:rsidR="006C5C47" w:rsidRPr="00E47AA9" w:rsidRDefault="006C5C47" w:rsidP="006C5C47">
      <w:pPr>
        <w:spacing w:after="0" w:line="240" w:lineRule="auto"/>
        <w:ind w:firstLine="709"/>
        <w:jc w:val="both"/>
        <w:rPr>
          <w:rFonts w:ascii="Times New Roman" w:eastAsia="Calibri" w:hAnsi="Times New Roman" w:cs="Times New Roman"/>
          <w:i/>
          <w:sz w:val="28"/>
          <w:szCs w:val="28"/>
        </w:rPr>
      </w:pPr>
      <w:r w:rsidRPr="00E47AA9">
        <w:rPr>
          <w:rFonts w:ascii="Times New Roman" w:eastAsia="Calibri" w:hAnsi="Times New Roman" w:cs="Times New Roman"/>
          <w:b/>
          <w:i/>
          <w:sz w:val="28"/>
          <w:szCs w:val="28"/>
        </w:rPr>
        <w:t>Величина прожиточного минимума в Приморском крае</w:t>
      </w:r>
      <w:r w:rsidRPr="00E47AA9">
        <w:rPr>
          <w:rFonts w:ascii="Times New Roman" w:eastAsia="Calibri" w:hAnsi="Times New Roman" w:cs="Times New Roman"/>
          <w:sz w:val="28"/>
          <w:szCs w:val="28"/>
        </w:rPr>
        <w:t xml:space="preserve"> (в среднем на душу населения) на 2024 год установлена в размере </w:t>
      </w:r>
      <w:r w:rsidRPr="00E47AA9">
        <w:rPr>
          <w:rFonts w:ascii="Times New Roman" w:hAnsi="Times New Roman" w:cs="Times New Roman"/>
          <w:sz w:val="28"/>
          <w:szCs w:val="28"/>
        </w:rPr>
        <w:t>18389 рублей</w:t>
      </w:r>
      <w:r w:rsidRPr="00E47AA9">
        <w:rPr>
          <w:rFonts w:ascii="Times New Roman" w:eastAsia="Calibri" w:hAnsi="Times New Roman" w:cs="Times New Roman"/>
          <w:sz w:val="28"/>
          <w:szCs w:val="28"/>
        </w:rPr>
        <w:t xml:space="preserve"> согласно постановлению Правительства Приморского края от 14.09.2023 № 634-пп </w:t>
      </w:r>
      <w:r w:rsidRPr="00E47AA9">
        <w:rPr>
          <w:rFonts w:ascii="Times New Roman" w:eastAsia="Calibri" w:hAnsi="Times New Roman" w:cs="Times New Roman"/>
          <w:sz w:val="28"/>
          <w:szCs w:val="28"/>
        </w:rPr>
        <w:br/>
        <w:t xml:space="preserve">"Об установлении величины прожиточного минимума на душу населения и по основным социально-демографическим группам населения Приморского края на 2024 год". По сравнению с предыдущим годом величина прожиточного минимума в Приморском крае увеличилась на 1283 рубля, или на 7,50 % </w:t>
      </w:r>
      <w:r w:rsidRPr="00E47AA9">
        <w:rPr>
          <w:rFonts w:ascii="Times New Roman" w:eastAsia="Calibri" w:hAnsi="Times New Roman" w:cs="Times New Roman"/>
          <w:sz w:val="28"/>
          <w:szCs w:val="28"/>
        </w:rPr>
        <w:br/>
        <w:t xml:space="preserve">(в 2023 году – 17106,00 рублей). </w:t>
      </w:r>
      <w:r w:rsidRPr="00E47AA9">
        <w:rPr>
          <w:rFonts w:ascii="Times New Roman" w:eastAsia="Calibri" w:hAnsi="Times New Roman" w:cs="Times New Roman"/>
          <w:i/>
          <w:sz w:val="28"/>
          <w:szCs w:val="28"/>
        </w:rPr>
        <w:t xml:space="preserve">Для сведения: величина прожиточного минимума в Приморском крае на душу населения на 2025 год установлена в размере </w:t>
      </w:r>
      <w:r w:rsidRPr="00E47AA9">
        <w:rPr>
          <w:rFonts w:ascii="Times New Roman" w:hAnsi="Times New Roman" w:cs="Times New Roman"/>
          <w:i/>
          <w:sz w:val="28"/>
          <w:szCs w:val="28"/>
        </w:rPr>
        <w:t>21102 рубля</w:t>
      </w:r>
      <w:r w:rsidRPr="00E47AA9">
        <w:rPr>
          <w:rFonts w:ascii="Times New Roman" w:eastAsia="Calibri" w:hAnsi="Times New Roman" w:cs="Times New Roman"/>
          <w:i/>
          <w:sz w:val="28"/>
          <w:szCs w:val="28"/>
        </w:rPr>
        <w:t xml:space="preserve"> согласно постановлению Правительства Приморского края от 09.09.2024 № 636-пп "Об установлении величины прожиточного минимума на душу населения и по основным социально-демографическим группам населения Приморского края на 2025 год".</w:t>
      </w:r>
    </w:p>
    <w:p w14:paraId="3F5A28A7" w14:textId="77777777" w:rsidR="006C5C47" w:rsidRPr="00E47AA9" w:rsidRDefault="006C5C47" w:rsidP="006C5C47">
      <w:pPr>
        <w:spacing w:after="0" w:line="240" w:lineRule="auto"/>
        <w:ind w:firstLine="709"/>
        <w:jc w:val="both"/>
        <w:rPr>
          <w:rFonts w:ascii="Times New Roman" w:eastAsia="Calibri" w:hAnsi="Times New Roman" w:cs="Times New Roman"/>
          <w:i/>
          <w:sz w:val="28"/>
          <w:szCs w:val="28"/>
        </w:rPr>
      </w:pPr>
      <w:r w:rsidRPr="00E47AA9">
        <w:rPr>
          <w:rFonts w:ascii="Times New Roman" w:eastAsia="Calibri" w:hAnsi="Times New Roman" w:cs="Times New Roman"/>
          <w:b/>
          <w:i/>
          <w:sz w:val="28"/>
          <w:szCs w:val="28"/>
        </w:rPr>
        <w:t>Численность безработных, зарегистрированных в государственных учреждениях службы занятости населения,</w:t>
      </w:r>
      <w:r w:rsidRPr="00E47AA9">
        <w:rPr>
          <w:rFonts w:ascii="Times New Roman" w:eastAsia="Calibri" w:hAnsi="Times New Roman" w:cs="Times New Roman"/>
          <w:sz w:val="28"/>
          <w:szCs w:val="28"/>
        </w:rPr>
        <w:t xml:space="preserve"> по Прогнозу на 2024 год ожидалась в количестве 6,80 тыс. человек, по итогам года составила 4,00 тыс. человек, или на 2,80 тыс. человек ниже прогнозного уровня. По сравнению с 2023 годом (5,40 тыс. человек) численность безработных, зарегистрированных в государственных учреждениях службы занятости населения, снизилась на 1,40 тыс. человек, или на 25,93 %. </w:t>
      </w:r>
      <w:r w:rsidRPr="00E47AA9">
        <w:rPr>
          <w:rFonts w:ascii="Times New Roman" w:eastAsia="Calibri" w:hAnsi="Times New Roman" w:cs="Times New Roman"/>
          <w:i/>
          <w:sz w:val="28"/>
          <w:szCs w:val="28"/>
        </w:rPr>
        <w:t>Справочно: Прогнозом на 2025 год запланировано снижение численности безработных, зарегистрированных в государственных учреждениях службы занятости населения в 2025 году</w:t>
      </w:r>
      <w:r w:rsidR="00B70BF3" w:rsidRPr="00E47AA9">
        <w:rPr>
          <w:rFonts w:ascii="Times New Roman" w:eastAsia="Calibri" w:hAnsi="Times New Roman" w:cs="Times New Roman"/>
          <w:i/>
          <w:sz w:val="28"/>
          <w:szCs w:val="28"/>
        </w:rPr>
        <w:t>,</w:t>
      </w:r>
      <w:r w:rsidRPr="00E47AA9">
        <w:rPr>
          <w:rFonts w:ascii="Times New Roman" w:eastAsia="Calibri" w:hAnsi="Times New Roman" w:cs="Times New Roman"/>
          <w:i/>
          <w:sz w:val="28"/>
          <w:szCs w:val="28"/>
        </w:rPr>
        <w:t xml:space="preserve"> 5,20 тыс. человек.</w:t>
      </w:r>
    </w:p>
    <w:p w14:paraId="00D66B95" w14:textId="77777777" w:rsidR="006C5C47" w:rsidRPr="00E47AA9" w:rsidRDefault="006C5C47" w:rsidP="006C5C47">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b/>
          <w:i/>
          <w:sz w:val="28"/>
          <w:szCs w:val="28"/>
        </w:rPr>
        <w:t xml:space="preserve">Уровень зарегистрированной безработицы </w:t>
      </w:r>
      <w:r w:rsidRPr="00E47AA9">
        <w:rPr>
          <w:rFonts w:ascii="Times New Roman" w:eastAsia="Calibri" w:hAnsi="Times New Roman" w:cs="Times New Roman"/>
          <w:sz w:val="28"/>
          <w:szCs w:val="28"/>
        </w:rPr>
        <w:t xml:space="preserve">(на конец года) ожидался на уровне 0,70 % к экономически активному населению. Фактически на конец года уровень зарегистрированной безработицы сложился на уровне 0,40 % </w:t>
      </w:r>
      <w:r w:rsidRPr="00E47AA9">
        <w:rPr>
          <w:rFonts w:ascii="Times New Roman" w:eastAsia="Calibri" w:hAnsi="Times New Roman" w:cs="Times New Roman"/>
          <w:sz w:val="28"/>
          <w:szCs w:val="28"/>
        </w:rPr>
        <w:br/>
        <w:t xml:space="preserve">(в 2023 году – 0,70 %). </w:t>
      </w:r>
    </w:p>
    <w:p w14:paraId="3CE9EF99" w14:textId="77777777" w:rsidR="006C5C47" w:rsidRPr="00E47AA9" w:rsidRDefault="006C5C47" w:rsidP="006C5C47">
      <w:pPr>
        <w:spacing w:after="0" w:line="240" w:lineRule="auto"/>
        <w:ind w:firstLine="709"/>
        <w:jc w:val="both"/>
        <w:rPr>
          <w:rFonts w:ascii="Times New Roman" w:eastAsia="Calibri" w:hAnsi="Times New Roman" w:cs="Times New Roman"/>
          <w:i/>
          <w:sz w:val="28"/>
          <w:szCs w:val="28"/>
        </w:rPr>
      </w:pPr>
      <w:r w:rsidRPr="00E47AA9">
        <w:rPr>
          <w:rFonts w:ascii="Times New Roman" w:eastAsia="Calibri" w:hAnsi="Times New Roman" w:cs="Times New Roman"/>
          <w:i/>
          <w:sz w:val="28"/>
          <w:szCs w:val="28"/>
        </w:rPr>
        <w:t>Справочно: в 2025 году уровень зарегистрированной безработицы ожидается на уровне 0,53 %.</w:t>
      </w:r>
    </w:p>
    <w:p w14:paraId="75998A76" w14:textId="77777777" w:rsidR="006C5C47" w:rsidRPr="00E47AA9" w:rsidRDefault="006C5C47" w:rsidP="006C5C47">
      <w:pPr>
        <w:pStyle w:val="-0"/>
        <w:spacing w:before="0" w:line="240" w:lineRule="auto"/>
        <w:ind w:firstLine="709"/>
        <w:jc w:val="both"/>
        <w:rPr>
          <w:b w:val="0"/>
          <w:color w:val="auto"/>
        </w:rPr>
      </w:pPr>
      <w:r w:rsidRPr="00E47AA9">
        <w:rPr>
          <w:b w:val="0"/>
          <w:color w:val="auto"/>
        </w:rPr>
        <w:t xml:space="preserve">По данным </w:t>
      </w:r>
      <w:proofErr w:type="spellStart"/>
      <w:r w:rsidRPr="00E47AA9">
        <w:rPr>
          <w:b w:val="0"/>
          <w:color w:val="auto"/>
        </w:rPr>
        <w:t>Приморскстата</w:t>
      </w:r>
      <w:proofErr w:type="spellEnd"/>
      <w:r w:rsidRPr="00E47AA9">
        <w:rPr>
          <w:b w:val="0"/>
          <w:color w:val="auto"/>
        </w:rPr>
        <w:t xml:space="preserve">, </w:t>
      </w:r>
      <w:r w:rsidRPr="00E47AA9">
        <w:rPr>
          <w:i/>
          <w:color w:val="auto"/>
        </w:rPr>
        <w:t>уровень безработицы</w:t>
      </w:r>
      <w:r w:rsidRPr="00E47AA9">
        <w:rPr>
          <w:b w:val="0"/>
          <w:color w:val="auto"/>
        </w:rPr>
        <w:t xml:space="preserve"> (отношение численности безработных к численности рабочей силы) в декабре 2024 года составил 2,2 %.</w:t>
      </w:r>
    </w:p>
    <w:p w14:paraId="1E61B9EB" w14:textId="77777777" w:rsidR="006C5C47" w:rsidRPr="00E47AA9" w:rsidRDefault="006C5C47" w:rsidP="006C5C47">
      <w:pPr>
        <w:spacing w:after="0" w:line="240" w:lineRule="auto"/>
        <w:ind w:firstLine="709"/>
        <w:jc w:val="both"/>
        <w:rPr>
          <w:rFonts w:ascii="Times New Roman" w:eastAsia="Calibri" w:hAnsi="Times New Roman" w:cs="Times New Roman"/>
          <w:i/>
          <w:sz w:val="28"/>
          <w:szCs w:val="28"/>
        </w:rPr>
      </w:pPr>
      <w:r w:rsidRPr="00E47AA9">
        <w:rPr>
          <w:rFonts w:ascii="Times New Roman" w:eastAsia="Calibri" w:hAnsi="Times New Roman" w:cs="Times New Roman"/>
          <w:sz w:val="28"/>
          <w:szCs w:val="28"/>
        </w:rPr>
        <w:t>Показатель</w:t>
      </w:r>
      <w:r w:rsidRPr="00E47AA9">
        <w:rPr>
          <w:rFonts w:ascii="Times New Roman" w:eastAsia="Calibri" w:hAnsi="Times New Roman" w:cs="Times New Roman"/>
          <w:b/>
          <w:i/>
          <w:sz w:val="28"/>
          <w:szCs w:val="28"/>
        </w:rPr>
        <w:t xml:space="preserve"> численности занятых в экономике</w:t>
      </w:r>
      <w:r w:rsidRPr="00E47AA9">
        <w:rPr>
          <w:rFonts w:ascii="Times New Roman" w:eastAsia="Calibri" w:hAnsi="Times New Roman" w:cs="Times New Roman"/>
          <w:sz w:val="28"/>
          <w:szCs w:val="28"/>
        </w:rPr>
        <w:t xml:space="preserve"> в 2024 году предварительно составил 980,80 тыс. человек, что на 44,60 тыс. человек выше, чем в 2023 году. По Прогнозу на 2024 год данный показатель ожидался на уровне 930,50 тыс. человек, что на 50,30 тыс. человек ниже фактически </w:t>
      </w:r>
      <w:r w:rsidRPr="00E47AA9">
        <w:rPr>
          <w:rFonts w:ascii="Times New Roman" w:eastAsia="Calibri" w:hAnsi="Times New Roman" w:cs="Times New Roman"/>
          <w:sz w:val="28"/>
          <w:szCs w:val="28"/>
        </w:rPr>
        <w:lastRenderedPageBreak/>
        <w:t xml:space="preserve">сложившегося показателя. </w:t>
      </w:r>
      <w:r w:rsidRPr="00E47AA9">
        <w:rPr>
          <w:rFonts w:ascii="Times New Roman" w:eastAsia="Calibri" w:hAnsi="Times New Roman" w:cs="Times New Roman"/>
          <w:i/>
          <w:sz w:val="28"/>
          <w:szCs w:val="28"/>
        </w:rPr>
        <w:t>Справочно: в 2025 году среднегодовая численность занятых в экономике запланирована в количестве 944,00 тыс. человек.</w:t>
      </w:r>
    </w:p>
    <w:p w14:paraId="483D389D" w14:textId="77777777" w:rsidR="00C813CF" w:rsidRPr="00E47AA9" w:rsidRDefault="006C5C47" w:rsidP="006C5C47">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b/>
          <w:i/>
          <w:sz w:val="28"/>
          <w:szCs w:val="28"/>
        </w:rPr>
        <w:t>Среднегодовая численность населения</w:t>
      </w:r>
      <w:r w:rsidRPr="00E47AA9">
        <w:rPr>
          <w:rFonts w:ascii="Times New Roman" w:hAnsi="Times New Roman" w:cs="Times New Roman"/>
          <w:sz w:val="28"/>
          <w:szCs w:val="28"/>
        </w:rPr>
        <w:t xml:space="preserve"> Приморского края в 2024 году прогнозировалась на уровне 1801,94 тыс. человек (по базовому </w:t>
      </w:r>
      <w:r w:rsidRPr="00E47AA9">
        <w:rPr>
          <w:rFonts w:ascii="Times New Roman" w:hAnsi="Times New Roman" w:cs="Times New Roman"/>
          <w:sz w:val="28"/>
          <w:szCs w:val="28"/>
        </w:rPr>
        <w:br/>
        <w:t xml:space="preserve">варианту развития экономики). </w:t>
      </w:r>
    </w:p>
    <w:p w14:paraId="26263953" w14:textId="32276B87" w:rsidR="006C5C47" w:rsidRPr="00E47AA9" w:rsidRDefault="006C5C47" w:rsidP="006C5C47">
      <w:pPr>
        <w:spacing w:after="0" w:line="240" w:lineRule="auto"/>
        <w:ind w:firstLine="709"/>
        <w:jc w:val="both"/>
        <w:rPr>
          <w:rFonts w:ascii="Times New Roman" w:hAnsi="Times New Roman" w:cs="Times New Roman"/>
          <w:noProof/>
          <w:lang w:eastAsia="ru-RU"/>
        </w:rPr>
      </w:pPr>
      <w:r w:rsidRPr="00E47AA9">
        <w:rPr>
          <w:rFonts w:ascii="Times New Roman" w:eastAsia="Calibri" w:hAnsi="Times New Roman" w:cs="Times New Roman"/>
          <w:sz w:val="28"/>
          <w:szCs w:val="28"/>
        </w:rPr>
        <w:t xml:space="preserve">По данным </w:t>
      </w:r>
      <w:proofErr w:type="spellStart"/>
      <w:r w:rsidRPr="00E47AA9">
        <w:rPr>
          <w:rFonts w:ascii="Times New Roman" w:eastAsia="Calibri" w:hAnsi="Times New Roman" w:cs="Times New Roman"/>
          <w:sz w:val="28"/>
          <w:szCs w:val="28"/>
        </w:rPr>
        <w:t>Приморскстата</w:t>
      </w:r>
      <w:proofErr w:type="spellEnd"/>
      <w:r w:rsidRPr="00E47AA9">
        <w:rPr>
          <w:rFonts w:ascii="Times New Roman" w:eastAsia="Calibri" w:hAnsi="Times New Roman" w:cs="Times New Roman"/>
          <w:sz w:val="28"/>
          <w:szCs w:val="28"/>
        </w:rPr>
        <w:t xml:space="preserve">, за январь – декабрь 2024 года численность </w:t>
      </w:r>
      <w:r w:rsidR="003A29A9" w:rsidRPr="00E47AA9">
        <w:rPr>
          <w:rFonts w:ascii="Times New Roman" w:eastAsia="Calibri" w:hAnsi="Times New Roman" w:cs="Times New Roman"/>
          <w:sz w:val="28"/>
          <w:szCs w:val="28"/>
        </w:rPr>
        <w:t xml:space="preserve">постоянного </w:t>
      </w:r>
      <w:r w:rsidRPr="00E47AA9">
        <w:rPr>
          <w:rFonts w:ascii="Times New Roman" w:eastAsia="Calibri" w:hAnsi="Times New Roman" w:cs="Times New Roman"/>
          <w:sz w:val="28"/>
          <w:szCs w:val="28"/>
        </w:rPr>
        <w:t>населения Приморского края уменьшилась на 6</w:t>
      </w:r>
      <w:r w:rsidR="003A29A9"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77 тыс. человек, и на 01.01.2025 составила 1799,6 тыс. человек. </w:t>
      </w:r>
    </w:p>
    <w:p w14:paraId="2371ED89" w14:textId="77777777" w:rsidR="006C5C47" w:rsidRDefault="006C5C47" w:rsidP="006C5C47">
      <w:pPr>
        <w:spacing w:after="0" w:line="240" w:lineRule="auto"/>
        <w:ind w:firstLine="709"/>
        <w:jc w:val="both"/>
        <w:rPr>
          <w:rFonts w:ascii="Times New Roman" w:hAnsi="Times New Roman" w:cs="Times New Roman"/>
          <w:noProof/>
          <w:sz w:val="28"/>
          <w:szCs w:val="28"/>
          <w:lang w:eastAsia="ru-RU"/>
        </w:rPr>
      </w:pPr>
      <w:r w:rsidRPr="00E47AA9">
        <w:rPr>
          <w:rFonts w:ascii="Times New Roman" w:hAnsi="Times New Roman" w:cs="Times New Roman"/>
          <w:noProof/>
          <w:sz w:val="28"/>
          <w:szCs w:val="28"/>
          <w:lang w:eastAsia="ru-RU"/>
        </w:rPr>
        <w:t>Динамика численности населения Приморского края в 2020-2025 годах (на начало года) представлена на диаграмме.</w:t>
      </w:r>
    </w:p>
    <w:p w14:paraId="063450C7" w14:textId="77777777" w:rsidR="000E33AC" w:rsidRPr="00E47AA9" w:rsidRDefault="000E33AC" w:rsidP="006C5C47">
      <w:pPr>
        <w:spacing w:after="0" w:line="240" w:lineRule="auto"/>
        <w:ind w:firstLine="709"/>
        <w:jc w:val="both"/>
        <w:rPr>
          <w:rFonts w:ascii="Times New Roman" w:hAnsi="Times New Roman" w:cs="Times New Roman"/>
          <w:noProof/>
          <w:sz w:val="28"/>
          <w:szCs w:val="28"/>
          <w:lang w:eastAsia="ru-RU"/>
        </w:rPr>
      </w:pPr>
    </w:p>
    <w:tbl>
      <w:tblPr>
        <w:tblStyle w:val="ab"/>
        <w:tblW w:w="9559"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5"/>
        <w:gridCol w:w="1564"/>
      </w:tblGrid>
      <w:tr w:rsidR="00E47AA9" w:rsidRPr="00E47AA9" w14:paraId="2982A751" w14:textId="77777777" w:rsidTr="000E33AC">
        <w:trPr>
          <w:trHeight w:val="3977"/>
        </w:trPr>
        <w:tc>
          <w:tcPr>
            <w:tcW w:w="6521" w:type="dxa"/>
          </w:tcPr>
          <w:p w14:paraId="64B26614" w14:textId="77777777" w:rsidR="006C5C47" w:rsidRPr="00E47AA9" w:rsidRDefault="006C5C47" w:rsidP="00F77241">
            <w:pPr>
              <w:ind w:firstLine="894"/>
              <w:jc w:val="both"/>
              <w:rPr>
                <w:rFonts w:ascii="Times New Roman" w:hAnsi="Times New Roman" w:cs="Times New Roman"/>
                <w:noProof/>
                <w:sz w:val="28"/>
                <w:szCs w:val="28"/>
                <w:lang w:eastAsia="ru-RU"/>
              </w:rPr>
            </w:pPr>
            <w:r w:rsidRPr="00E47AA9">
              <w:rPr>
                <w:noProof/>
                <w:lang w:eastAsia="ru-RU"/>
                <w14:ligatures w14:val="standardContextual"/>
              </w:rPr>
              <w:drawing>
                <wp:inline distT="0" distB="0" distL="0" distR="0" wp14:anchorId="4F271A79" wp14:editId="2A2F6FD2">
                  <wp:extent cx="4371975" cy="2181225"/>
                  <wp:effectExtent l="0" t="0" r="0" b="0"/>
                  <wp:docPr id="1242494348"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c>
          <w:tcPr>
            <w:tcW w:w="3038" w:type="dxa"/>
          </w:tcPr>
          <w:p w14:paraId="2B02E7C8" w14:textId="77777777" w:rsidR="006C5C47" w:rsidRPr="00E47AA9" w:rsidRDefault="006C5C47" w:rsidP="00F77241">
            <w:pPr>
              <w:jc w:val="both"/>
              <w:rPr>
                <w:rFonts w:ascii="Times New Roman" w:hAnsi="Times New Roman" w:cs="Times New Roman"/>
                <w:noProof/>
                <w:sz w:val="28"/>
                <w:szCs w:val="28"/>
                <w:lang w:eastAsia="ru-RU"/>
              </w:rPr>
            </w:pPr>
          </w:p>
        </w:tc>
      </w:tr>
    </w:tbl>
    <w:p w14:paraId="1459A918" w14:textId="77777777" w:rsidR="006C5C47" w:rsidRPr="00E47AA9" w:rsidRDefault="006C5C47" w:rsidP="006C5C47">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За январь – декабрь 2024 года число зарегистрированных умерших превысило число родившихся в 1,7 раза (в 2023 году в 1,6 раза). Наибольшее превышение имело место в Дальнегорском городском округе и Кавалеровском муниципальном округе (в 3 раза). Естественная убыль населения сохранялась на всех территориях края, и в сравнении с 2023 годом в целом по краю увеличилась на 6,6 %</w:t>
      </w:r>
      <w:r w:rsidR="00B70BF3" w:rsidRPr="00E47AA9">
        <w:rPr>
          <w:rFonts w:ascii="Times New Roman" w:hAnsi="Times New Roman" w:cs="Times New Roman"/>
          <w:sz w:val="28"/>
          <w:szCs w:val="28"/>
        </w:rPr>
        <w:t xml:space="preserve">, </w:t>
      </w:r>
      <w:r w:rsidRPr="00E47AA9">
        <w:rPr>
          <w:rFonts w:ascii="Times New Roman" w:hAnsi="Times New Roman" w:cs="Times New Roman"/>
          <w:sz w:val="28"/>
          <w:szCs w:val="28"/>
        </w:rPr>
        <w:t>или на 0,65 тыс. человек, и составила 10,48 тыс. человек.</w:t>
      </w:r>
    </w:p>
    <w:p w14:paraId="4EB8A8F4" w14:textId="6AE1AC08" w:rsidR="006C5C47" w:rsidRPr="00E47AA9" w:rsidRDefault="006C5C47" w:rsidP="006C5C47">
      <w:pPr>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rPr>
        <w:t xml:space="preserve">В отчетном году миграционное сальдо составило 3,71 тыс. человек </w:t>
      </w:r>
      <w:r w:rsidRPr="00E47AA9">
        <w:rPr>
          <w:rFonts w:ascii="Times New Roman" w:hAnsi="Times New Roman" w:cs="Times New Roman"/>
          <w:sz w:val="28"/>
        </w:rPr>
        <w:br/>
        <w:t xml:space="preserve">(в 2023 году – (-) 3,86 тыс. человек). </w:t>
      </w:r>
      <w:r w:rsidRPr="00E47AA9">
        <w:rPr>
          <w:rFonts w:ascii="Times New Roman" w:hAnsi="Times New Roman" w:cs="Times New Roman"/>
          <w:sz w:val="28"/>
          <w:szCs w:val="28"/>
        </w:rPr>
        <w:t>В 2024 году в Приморский край прибыло 57,35 тыс. человек (</w:t>
      </w:r>
      <w:r w:rsidR="00FD4B17">
        <w:rPr>
          <w:rFonts w:ascii="Times New Roman" w:hAnsi="Times New Roman" w:cs="Times New Roman"/>
          <w:sz w:val="28"/>
          <w:szCs w:val="28"/>
        </w:rPr>
        <w:t xml:space="preserve">из них </w:t>
      </w:r>
      <w:r w:rsidRPr="00E47AA9">
        <w:rPr>
          <w:rFonts w:ascii="Times New Roman" w:hAnsi="Times New Roman" w:cs="Times New Roman"/>
          <w:sz w:val="28"/>
          <w:szCs w:val="28"/>
        </w:rPr>
        <w:t xml:space="preserve">14,77 тыс. человек из других регионов России, 10,39 тыс. человек из других стран); выехало из Приморского края </w:t>
      </w:r>
      <w:r w:rsidRPr="00E47AA9">
        <w:rPr>
          <w:rFonts w:ascii="Times New Roman" w:hAnsi="Times New Roman" w:cs="Times New Roman"/>
          <w:sz w:val="28"/>
          <w:szCs w:val="28"/>
        </w:rPr>
        <w:br/>
        <w:t>53,64 тыс. человек (</w:t>
      </w:r>
      <w:r w:rsidR="00FD4B17">
        <w:rPr>
          <w:rFonts w:ascii="Times New Roman" w:hAnsi="Times New Roman" w:cs="Times New Roman"/>
          <w:sz w:val="28"/>
          <w:szCs w:val="28"/>
        </w:rPr>
        <w:t xml:space="preserve">из них </w:t>
      </w:r>
      <w:r w:rsidRPr="00E47AA9">
        <w:rPr>
          <w:rFonts w:ascii="Times New Roman" w:hAnsi="Times New Roman" w:cs="Times New Roman"/>
          <w:sz w:val="28"/>
          <w:szCs w:val="28"/>
        </w:rPr>
        <w:t>15,64 тыс. человек в другие регионы России, 5,80 тыс. человек в другие страны).</w:t>
      </w:r>
    </w:p>
    <w:p w14:paraId="1D366B10" w14:textId="77777777" w:rsidR="006C5C47" w:rsidRPr="00E47AA9" w:rsidRDefault="006C5C47" w:rsidP="006C5C47">
      <w:pPr>
        <w:spacing w:after="0" w:line="240" w:lineRule="auto"/>
        <w:ind w:firstLine="708"/>
        <w:jc w:val="both"/>
        <w:rPr>
          <w:rFonts w:ascii="Times New Roman" w:hAnsi="Times New Roman" w:cs="Times New Roman"/>
          <w:sz w:val="28"/>
          <w:szCs w:val="28"/>
        </w:rPr>
      </w:pPr>
      <w:r w:rsidRPr="00E47AA9">
        <w:rPr>
          <w:noProof/>
          <w:lang w:eastAsia="ru-RU"/>
          <w14:ligatures w14:val="standardContextual"/>
        </w:rPr>
        <w:lastRenderedPageBreak/>
        <w:drawing>
          <wp:inline distT="0" distB="0" distL="0" distR="0" wp14:anchorId="78E19949" wp14:editId="01C28919">
            <wp:extent cx="4662170" cy="3848100"/>
            <wp:effectExtent l="0" t="0" r="5080" b="0"/>
            <wp:docPr id="1270132505"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2CAE9E53-3DCB-0D30-6D7A-12E77A0868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BB61729" w14:textId="77777777" w:rsidR="006C5C47" w:rsidRPr="00E47AA9" w:rsidRDefault="006C5C47" w:rsidP="006C5C47">
      <w:pPr>
        <w:spacing w:after="0" w:line="240" w:lineRule="auto"/>
        <w:ind w:firstLine="708"/>
        <w:jc w:val="both"/>
        <w:rPr>
          <w:rFonts w:ascii="Times New Roman" w:eastAsia="Calibri" w:hAnsi="Times New Roman" w:cs="Times New Roman"/>
          <w:sz w:val="28"/>
          <w:szCs w:val="28"/>
        </w:rPr>
      </w:pPr>
      <w:r w:rsidRPr="00E47AA9">
        <w:rPr>
          <w:rFonts w:ascii="Times New Roman" w:hAnsi="Times New Roman" w:cs="Times New Roman"/>
          <w:sz w:val="28"/>
          <w:szCs w:val="28"/>
        </w:rPr>
        <w:t xml:space="preserve">В целом в Дальневосточном федеральном округе в 2024 году наблюдется положительная миграционная динамика. В 2024 году регион продемонстрировал значительный прирост населения за счёт миграции </w:t>
      </w:r>
      <w:r w:rsidR="007F0422" w:rsidRPr="00E47AA9">
        <w:rPr>
          <w:rFonts w:ascii="Times New Roman" w:hAnsi="Times New Roman" w:cs="Times New Roman"/>
          <w:sz w:val="28"/>
          <w:szCs w:val="28"/>
        </w:rPr>
        <w:t>–</w:t>
      </w:r>
      <w:r w:rsidRPr="00E47AA9">
        <w:rPr>
          <w:rFonts w:ascii="Times New Roman" w:hAnsi="Times New Roman" w:cs="Times New Roman"/>
          <w:sz w:val="28"/>
          <w:szCs w:val="28"/>
        </w:rPr>
        <w:t xml:space="preserve"> 24,22</w:t>
      </w:r>
      <w:r w:rsidR="007F0422" w:rsidRPr="00E47AA9">
        <w:rPr>
          <w:rFonts w:ascii="Times New Roman" w:hAnsi="Times New Roman" w:cs="Times New Roman"/>
          <w:sz w:val="28"/>
          <w:szCs w:val="28"/>
        </w:rPr>
        <w:t> </w:t>
      </w:r>
      <w:r w:rsidRPr="00E47AA9">
        <w:rPr>
          <w:rFonts w:ascii="Times New Roman" w:hAnsi="Times New Roman" w:cs="Times New Roman"/>
          <w:sz w:val="28"/>
          <w:szCs w:val="28"/>
        </w:rPr>
        <w:t>тыс. человек</w:t>
      </w:r>
      <w:r w:rsidRPr="00E47AA9">
        <w:rPr>
          <w:rStyle w:val="a8"/>
          <w:rFonts w:ascii="Times New Roman" w:hAnsi="Times New Roman"/>
          <w:sz w:val="28"/>
          <w:szCs w:val="28"/>
        </w:rPr>
        <w:footnoteReference w:id="16"/>
      </w:r>
      <w:r w:rsidRPr="00E47AA9">
        <w:rPr>
          <w:rFonts w:ascii="Times New Roman" w:hAnsi="Times New Roman" w:cs="Times New Roman"/>
          <w:sz w:val="28"/>
          <w:szCs w:val="28"/>
        </w:rPr>
        <w:t>. Этот результат резко контрастирует с данными 2023 года, когда округ столкнулся с оттоком населения, миграционное сальдо составило (-14,18) тыс. человек. В отчетном году в 8 из 11 субъектов ДФО наблюдался миграционный прирост, а именно</w:t>
      </w:r>
      <w:r w:rsidR="007F0422" w:rsidRPr="00E47AA9">
        <w:rPr>
          <w:rFonts w:ascii="Times New Roman" w:hAnsi="Times New Roman" w:cs="Times New Roman"/>
          <w:sz w:val="28"/>
          <w:szCs w:val="28"/>
        </w:rPr>
        <w:t>:</w:t>
      </w:r>
      <w:r w:rsidRPr="00E47AA9">
        <w:rPr>
          <w:rFonts w:ascii="Times New Roman" w:hAnsi="Times New Roman" w:cs="Times New Roman"/>
          <w:sz w:val="28"/>
          <w:szCs w:val="28"/>
        </w:rPr>
        <w:t xml:space="preserve"> в</w:t>
      </w:r>
      <w:r w:rsidRPr="00E47AA9">
        <w:rPr>
          <w:rFonts w:ascii="Times New Roman" w:eastAsia="Calibri" w:hAnsi="Times New Roman" w:cs="Times New Roman"/>
          <w:sz w:val="28"/>
          <w:szCs w:val="28"/>
        </w:rPr>
        <w:t xml:space="preserve"> Амурской области прирост составил </w:t>
      </w:r>
      <w:r w:rsidRPr="00E47AA9">
        <w:rPr>
          <w:rFonts w:ascii="Times New Roman" w:eastAsia="Calibri" w:hAnsi="Times New Roman" w:cs="Times New Roman"/>
          <w:sz w:val="28"/>
          <w:szCs w:val="28"/>
        </w:rPr>
        <w:br/>
        <w:t xml:space="preserve">7,09 тыс. человек (в 2023 году убыль (-)2,43 тыс. человек), </w:t>
      </w:r>
      <w:r w:rsidR="007F0422" w:rsidRPr="00E47AA9">
        <w:rPr>
          <w:rFonts w:ascii="Times New Roman" w:eastAsia="Calibri" w:hAnsi="Times New Roman" w:cs="Times New Roman"/>
          <w:sz w:val="28"/>
          <w:szCs w:val="28"/>
        </w:rPr>
        <w:t xml:space="preserve">в </w:t>
      </w:r>
      <w:r w:rsidRPr="00E47AA9">
        <w:rPr>
          <w:rFonts w:ascii="Times New Roman" w:eastAsia="Calibri" w:hAnsi="Times New Roman" w:cs="Times New Roman"/>
          <w:i/>
          <w:iCs/>
          <w:sz w:val="28"/>
          <w:szCs w:val="28"/>
        </w:rPr>
        <w:t>Приморском кра</w:t>
      </w:r>
      <w:r w:rsidR="007F0422" w:rsidRPr="00E47AA9">
        <w:rPr>
          <w:rFonts w:ascii="Times New Roman" w:eastAsia="Calibri" w:hAnsi="Times New Roman" w:cs="Times New Roman"/>
          <w:i/>
          <w:iCs/>
          <w:sz w:val="28"/>
          <w:szCs w:val="28"/>
        </w:rPr>
        <w:t>е –</w:t>
      </w:r>
      <w:r w:rsidRPr="00E47AA9">
        <w:rPr>
          <w:rFonts w:ascii="Times New Roman" w:eastAsia="Calibri" w:hAnsi="Times New Roman" w:cs="Times New Roman"/>
          <w:i/>
          <w:iCs/>
          <w:sz w:val="28"/>
          <w:szCs w:val="28"/>
        </w:rPr>
        <w:t xml:space="preserve"> 3,71 тыс. человек ((-) 3,86 тыс. человек),</w:t>
      </w:r>
      <w:r w:rsidRPr="00E47AA9">
        <w:rPr>
          <w:rFonts w:ascii="Times New Roman" w:eastAsia="Calibri" w:hAnsi="Times New Roman" w:cs="Times New Roman"/>
          <w:sz w:val="28"/>
          <w:szCs w:val="28"/>
        </w:rPr>
        <w:t xml:space="preserve"> Забайкальском крае </w:t>
      </w:r>
      <w:r w:rsidR="007F042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3,61 тыс. человек ((-) 4,90 тыс. человек), Республике Саха (Якутия) </w:t>
      </w:r>
      <w:r w:rsidR="007F042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2,37 тыс. человек </w:t>
      </w:r>
      <w:r w:rsidRPr="00E47AA9">
        <w:rPr>
          <w:rFonts w:ascii="Times New Roman" w:eastAsia="Calibri" w:hAnsi="Times New Roman" w:cs="Times New Roman"/>
          <w:sz w:val="28"/>
          <w:szCs w:val="28"/>
        </w:rPr>
        <w:br/>
        <w:t xml:space="preserve">(0,75 тыс. человек), Хабаровском крае </w:t>
      </w:r>
      <w:r w:rsidR="007F042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2,22 тыс. человек ((-) 0,5 тыс. человек), Сахалинской области </w:t>
      </w:r>
      <w:r w:rsidR="007F042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2,06 тыс. человек ((-) 1,32 тыс. человек), Магаданской области </w:t>
      </w:r>
      <w:r w:rsidR="007F042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1,85 тыс. человек ((-) 0,41 тыс. человек), Республике Буряти</w:t>
      </w:r>
      <w:r w:rsidR="007F0422" w:rsidRPr="00E47AA9">
        <w:rPr>
          <w:rFonts w:ascii="Times New Roman" w:eastAsia="Calibri" w:hAnsi="Times New Roman" w:cs="Times New Roman"/>
          <w:sz w:val="28"/>
          <w:szCs w:val="28"/>
        </w:rPr>
        <w:t xml:space="preserve">и – </w:t>
      </w:r>
      <w:r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br/>
        <w:t xml:space="preserve">1,57 тыс. человек ((-) 1,44 тыс. человек), Камчатском крае </w:t>
      </w:r>
      <w:r w:rsidR="007F042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0,26 тыс. человек (0,69 тыс. человек).</w:t>
      </w:r>
    </w:p>
    <w:p w14:paraId="23A34B46" w14:textId="77777777" w:rsidR="00690A1A" w:rsidRPr="00E47AA9" w:rsidRDefault="006C5C47" w:rsidP="006C5C47">
      <w:pPr>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В Еврейском АО в 2024 году зафиксировано снижение миграционного оттока, миграционное сальдо составило (-) 0,26 тыс. человек </w:t>
      </w:r>
      <w:r w:rsidRPr="00E47AA9">
        <w:rPr>
          <w:rFonts w:ascii="Times New Roman" w:eastAsia="Calibri" w:hAnsi="Times New Roman" w:cs="Times New Roman"/>
          <w:sz w:val="28"/>
          <w:szCs w:val="28"/>
        </w:rPr>
        <w:br/>
        <w:t xml:space="preserve">(в 2023 году </w:t>
      </w:r>
      <w:r w:rsidR="007F0422"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 0,90 тыс. человек). Вместе с тем миграционный отток увеличился в Чукотском АО – убыль в 2024 году (-) 0,24 тыс. человек</w:t>
      </w:r>
      <w:r w:rsidR="007F042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(в 2023 году – прирост 0,15 тыс. человек).</w:t>
      </w:r>
    </w:p>
    <w:p w14:paraId="4A8B8BEE" w14:textId="77777777" w:rsidR="00690A1A" w:rsidRPr="00E47AA9" w:rsidRDefault="00690A1A">
      <w:pPr>
        <w:spacing w:after="160" w:line="259" w:lineRule="auto"/>
        <w:rPr>
          <w:rFonts w:ascii="Times New Roman" w:eastAsia="Calibri" w:hAnsi="Times New Roman" w:cs="Times New Roman"/>
          <w:sz w:val="28"/>
          <w:szCs w:val="28"/>
        </w:rPr>
      </w:pPr>
      <w:r w:rsidRPr="00E47AA9">
        <w:rPr>
          <w:rFonts w:ascii="Times New Roman" w:eastAsia="Calibri" w:hAnsi="Times New Roman" w:cs="Times New Roman"/>
          <w:sz w:val="28"/>
          <w:szCs w:val="28"/>
        </w:rPr>
        <w:br w:type="page"/>
      </w:r>
    </w:p>
    <w:p w14:paraId="6683F895"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lastRenderedPageBreak/>
        <w:t xml:space="preserve">3. Общая характеристика основных параметров </w:t>
      </w:r>
    </w:p>
    <w:p w14:paraId="6FE46523"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краевого бюджета</w:t>
      </w:r>
    </w:p>
    <w:p w14:paraId="2808D6F8" w14:textId="00F9A4DA"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Отчет об исполнении краевого бюджета представлен по форме 0503117,</w:t>
      </w:r>
      <w:r w:rsidR="007F0422"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утвержденной Инструкцией № 191н</w:t>
      </w:r>
      <w:r w:rsidRPr="00E47AA9">
        <w:rPr>
          <w:rFonts w:ascii="Times New Roman" w:eastAsia="Times New Roman" w:hAnsi="Times New Roman" w:cs="Times New Roman"/>
          <w:sz w:val="28"/>
          <w:szCs w:val="28"/>
          <w:vertAlign w:val="superscript"/>
          <w:lang w:eastAsia="ru-RU"/>
        </w:rPr>
        <w:footnoteReference w:id="17"/>
      </w:r>
      <w:r w:rsidRPr="00E47AA9">
        <w:rPr>
          <w:rFonts w:ascii="Times New Roman" w:eastAsia="Times New Roman" w:hAnsi="Times New Roman" w:cs="Times New Roman"/>
          <w:sz w:val="28"/>
          <w:szCs w:val="28"/>
          <w:lang w:eastAsia="ru-RU"/>
        </w:rPr>
        <w:t xml:space="preserve">, содержащий показатели по разделам классификации: доходов, расходов и источников финансирования дефицита краевого бюджета, с формированием промежуточных итогов по </w:t>
      </w:r>
      <w:proofErr w:type="spellStart"/>
      <w:r w:rsidRPr="00E47AA9">
        <w:rPr>
          <w:rFonts w:ascii="Times New Roman" w:eastAsia="Times New Roman" w:hAnsi="Times New Roman" w:cs="Times New Roman"/>
          <w:sz w:val="28"/>
          <w:szCs w:val="28"/>
          <w:lang w:eastAsia="ru-RU"/>
        </w:rPr>
        <w:t>группировочным</w:t>
      </w:r>
      <w:proofErr w:type="spellEnd"/>
      <w:r w:rsidRPr="00E47AA9">
        <w:rPr>
          <w:rFonts w:ascii="Times New Roman" w:eastAsia="Times New Roman" w:hAnsi="Times New Roman" w:cs="Times New Roman"/>
          <w:sz w:val="28"/>
          <w:szCs w:val="28"/>
          <w:lang w:eastAsia="ru-RU"/>
        </w:rPr>
        <w:t xml:space="preserve"> кодам бюджетной классификации Российской Федерации в структуре бюджетных назначений, утвержденных Законом Приморского края от 22.12.2023 № 495-КЗ "О краевом бюджете на 2024 год и плановый период 2025 и 2026 годов"</w:t>
      </w:r>
      <w:r w:rsidR="0097203A" w:rsidRPr="00E47AA9">
        <w:rPr>
          <w:rFonts w:ascii="Times New Roman" w:eastAsia="Times New Roman" w:hAnsi="Times New Roman" w:cs="Times New Roman"/>
          <w:sz w:val="28"/>
          <w:szCs w:val="28"/>
          <w:lang w:eastAsia="ru-RU"/>
        </w:rPr>
        <w:t xml:space="preserve"> (далее – закон о краевом бюджете или Закон № 495-КЗ)</w:t>
      </w:r>
      <w:r w:rsidRPr="00E47AA9">
        <w:rPr>
          <w:rFonts w:ascii="Times New Roman" w:eastAsia="Times New Roman" w:hAnsi="Times New Roman" w:cs="Times New Roman"/>
          <w:sz w:val="28"/>
          <w:szCs w:val="28"/>
          <w:lang w:eastAsia="ru-RU"/>
        </w:rPr>
        <w:t xml:space="preserve">. </w:t>
      </w:r>
    </w:p>
    <w:p w14:paraId="762BA741"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соответствии с условиями части 3 статьи 111 (1) Закона № 271-КЗ одновременно с отчетом об исполнении краевого бюджета за 2024 год представлены отчеты об использовании бюджетных ассигнований резервных фондов Правительства Приморского края.</w:t>
      </w:r>
    </w:p>
    <w:p w14:paraId="0BDB04CF" w14:textId="77777777" w:rsidR="006D736D" w:rsidRPr="00E47AA9" w:rsidRDefault="006D736D" w:rsidP="006D736D">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На 2024 год законом о краевом бюджете в первоначальной редакции утверждены следующие основные параметры: по доходам – 213002,20 млн рублей, по расходам – 224413,24 млн рублей и размеру дефицита краевого бюджета – 17068,34 млн рублей.</w:t>
      </w:r>
    </w:p>
    <w:p w14:paraId="6C543E22" w14:textId="77777777" w:rsidR="006D736D" w:rsidRPr="00E47AA9" w:rsidRDefault="006D736D" w:rsidP="006D736D">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sz w:val="28"/>
          <w:szCs w:val="28"/>
        </w:rPr>
        <w:t>В ходе исполнения краевого бюджета соответствующими законами Приморского края внесено восемь изменений в закон о краевом бюджете</w:t>
      </w:r>
      <w:r w:rsidRPr="00E47AA9">
        <w:rPr>
          <w:rFonts w:ascii="Times New Roman" w:eastAsia="Calibri" w:hAnsi="Times New Roman" w:cs="Times New Roman"/>
          <w:sz w:val="28"/>
          <w:szCs w:val="28"/>
          <w:vertAlign w:val="superscript"/>
        </w:rPr>
        <w:footnoteReference w:id="18"/>
      </w:r>
      <w:r w:rsidRPr="00E47AA9">
        <w:rPr>
          <w:rFonts w:ascii="Times New Roman" w:eastAsia="Calibri" w:hAnsi="Times New Roman" w:cs="Times New Roman"/>
          <w:sz w:val="28"/>
          <w:szCs w:val="28"/>
        </w:rPr>
        <w:t xml:space="preserve">. </w:t>
      </w:r>
      <w:r w:rsidRPr="00E47AA9">
        <w:rPr>
          <w:rFonts w:ascii="Times New Roman" w:eastAsia="Times New Roman" w:hAnsi="Times New Roman" w:cs="Times New Roman"/>
          <w:sz w:val="28"/>
          <w:szCs w:val="28"/>
          <w:lang w:eastAsia="ru-RU"/>
        </w:rPr>
        <w:t>В результате произведенных корректировок законодательно утвержденные бюджетные назначения на 2024 год в первоначальной</w:t>
      </w:r>
      <w:r w:rsidRPr="00E47AA9">
        <w:rPr>
          <w:rFonts w:ascii="Times New Roman" w:eastAsia="Times New Roman" w:hAnsi="Times New Roman" w:cs="Times New Roman"/>
          <w:sz w:val="28"/>
          <w:szCs w:val="28"/>
          <w:vertAlign w:val="superscript"/>
          <w:lang w:eastAsia="ru-RU"/>
        </w:rPr>
        <w:footnoteReference w:id="19"/>
      </w:r>
      <w:r w:rsidRPr="00E47AA9">
        <w:rPr>
          <w:rFonts w:ascii="Times New Roman" w:eastAsia="Times New Roman" w:hAnsi="Times New Roman" w:cs="Times New Roman"/>
          <w:sz w:val="28"/>
          <w:szCs w:val="28"/>
          <w:lang w:eastAsia="ru-RU"/>
        </w:rPr>
        <w:t xml:space="preserve"> редакции закона о краевом бюджете увеличены по доходам на 11411,04 млн рублей, что составило 224413,24 млн рублей, по расходам на 14859,38 млн рублей до 244929,92 млн рублей, размеру дефицита краевого бюджета на 3448,34 млн рублей до 20516,68 млн рублей.</w:t>
      </w:r>
    </w:p>
    <w:p w14:paraId="39C97445" w14:textId="77777777" w:rsidR="00A441A6" w:rsidRPr="00E47AA9" w:rsidRDefault="00A441A6" w:rsidP="00A441A6">
      <w:pPr>
        <w:spacing w:after="0" w:line="240" w:lineRule="auto"/>
        <w:ind w:firstLine="709"/>
        <w:jc w:val="both"/>
        <w:rPr>
          <w:rFonts w:ascii="Times New Roman" w:eastAsia="Calibri" w:hAnsi="Times New Roman" w:cs="Times New Roman"/>
          <w:sz w:val="28"/>
          <w:szCs w:val="28"/>
        </w:rPr>
      </w:pPr>
    </w:p>
    <w:tbl>
      <w:tblPr>
        <w:tblW w:w="9214" w:type="dxa"/>
        <w:tblLook w:val="04A0" w:firstRow="1" w:lastRow="0" w:firstColumn="1" w:lastColumn="0" w:noHBand="0" w:noVBand="1"/>
      </w:tblPr>
      <w:tblGrid>
        <w:gridCol w:w="3637"/>
        <w:gridCol w:w="1706"/>
        <w:gridCol w:w="1557"/>
        <w:gridCol w:w="1322"/>
        <w:gridCol w:w="992"/>
      </w:tblGrid>
      <w:tr w:rsidR="00E47AA9" w:rsidRPr="00E47AA9" w14:paraId="758047B4" w14:textId="77777777" w:rsidTr="00353702">
        <w:trPr>
          <w:trHeight w:val="20"/>
          <w:tblHeader/>
        </w:trPr>
        <w:tc>
          <w:tcPr>
            <w:tcW w:w="3637" w:type="dxa"/>
            <w:tcBorders>
              <w:top w:val="nil"/>
              <w:left w:val="nil"/>
              <w:bottom w:val="nil"/>
              <w:right w:val="nil"/>
            </w:tcBorders>
            <w:shd w:val="clear" w:color="auto" w:fill="auto"/>
            <w:vAlign w:val="bottom"/>
            <w:hideMark/>
          </w:tcPr>
          <w:p w14:paraId="007E445A" w14:textId="77777777" w:rsidR="00A441A6" w:rsidRPr="00E47AA9" w:rsidRDefault="00A441A6" w:rsidP="00353702">
            <w:pPr>
              <w:spacing w:after="0" w:line="240" w:lineRule="auto"/>
              <w:rPr>
                <w:rFonts w:ascii="Times New Roman" w:eastAsia="Times New Roman" w:hAnsi="Times New Roman" w:cs="Times New Roman"/>
                <w:lang w:eastAsia="ru-RU"/>
              </w:rPr>
            </w:pPr>
          </w:p>
        </w:tc>
        <w:tc>
          <w:tcPr>
            <w:tcW w:w="1706" w:type="dxa"/>
            <w:tcBorders>
              <w:top w:val="nil"/>
              <w:left w:val="nil"/>
              <w:bottom w:val="nil"/>
              <w:right w:val="nil"/>
            </w:tcBorders>
            <w:shd w:val="clear" w:color="auto" w:fill="auto"/>
            <w:vAlign w:val="bottom"/>
            <w:hideMark/>
          </w:tcPr>
          <w:p w14:paraId="0710D68A" w14:textId="77777777" w:rsidR="00A441A6" w:rsidRPr="00E47AA9" w:rsidRDefault="00A441A6" w:rsidP="00353702">
            <w:pPr>
              <w:spacing w:after="0" w:line="240" w:lineRule="auto"/>
              <w:rPr>
                <w:rFonts w:ascii="Times New Roman" w:eastAsia="Times New Roman" w:hAnsi="Times New Roman" w:cs="Times New Roman"/>
                <w:lang w:eastAsia="ru-RU"/>
              </w:rPr>
            </w:pPr>
          </w:p>
        </w:tc>
        <w:tc>
          <w:tcPr>
            <w:tcW w:w="1557" w:type="dxa"/>
            <w:tcBorders>
              <w:top w:val="nil"/>
              <w:left w:val="nil"/>
              <w:bottom w:val="nil"/>
              <w:right w:val="nil"/>
            </w:tcBorders>
            <w:shd w:val="clear" w:color="auto" w:fill="auto"/>
            <w:vAlign w:val="bottom"/>
            <w:hideMark/>
          </w:tcPr>
          <w:p w14:paraId="2C031532" w14:textId="77777777" w:rsidR="00A441A6" w:rsidRPr="00E47AA9" w:rsidRDefault="00A441A6" w:rsidP="00353702">
            <w:pPr>
              <w:spacing w:after="0" w:line="240" w:lineRule="auto"/>
              <w:rPr>
                <w:rFonts w:ascii="Times New Roman" w:eastAsia="Times New Roman" w:hAnsi="Times New Roman" w:cs="Times New Roman"/>
                <w:lang w:eastAsia="ru-RU"/>
              </w:rPr>
            </w:pPr>
          </w:p>
        </w:tc>
        <w:tc>
          <w:tcPr>
            <w:tcW w:w="2314" w:type="dxa"/>
            <w:gridSpan w:val="2"/>
            <w:tcBorders>
              <w:top w:val="nil"/>
              <w:left w:val="nil"/>
              <w:bottom w:val="nil"/>
              <w:right w:val="nil"/>
            </w:tcBorders>
            <w:shd w:val="clear" w:color="auto" w:fill="auto"/>
            <w:vAlign w:val="center"/>
            <w:hideMark/>
          </w:tcPr>
          <w:p w14:paraId="0D50F2D3" w14:textId="77777777" w:rsidR="00A441A6" w:rsidRPr="00E47AA9" w:rsidRDefault="00A441A6" w:rsidP="00353702">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sz w:val="24"/>
                <w:lang w:eastAsia="ru-RU"/>
              </w:rPr>
              <w:t>(млн рублей)</w:t>
            </w:r>
          </w:p>
        </w:tc>
      </w:tr>
      <w:tr w:rsidR="00E47AA9" w:rsidRPr="00E47AA9" w14:paraId="785245FB" w14:textId="77777777" w:rsidTr="00353702">
        <w:trPr>
          <w:trHeight w:val="20"/>
          <w:tblHeader/>
        </w:trPr>
        <w:tc>
          <w:tcPr>
            <w:tcW w:w="36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4BABAE" w14:textId="77777777" w:rsidR="00A441A6" w:rsidRPr="00E47AA9" w:rsidRDefault="00A441A6"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Показатели</w:t>
            </w:r>
          </w:p>
        </w:tc>
        <w:tc>
          <w:tcPr>
            <w:tcW w:w="3263" w:type="dxa"/>
            <w:gridSpan w:val="2"/>
            <w:tcBorders>
              <w:top w:val="single" w:sz="4" w:space="0" w:color="auto"/>
              <w:left w:val="nil"/>
              <w:bottom w:val="single" w:sz="4" w:space="0" w:color="auto"/>
              <w:right w:val="single" w:sz="4" w:space="0" w:color="auto"/>
            </w:tcBorders>
            <w:shd w:val="clear" w:color="auto" w:fill="auto"/>
            <w:vAlign w:val="center"/>
            <w:hideMark/>
          </w:tcPr>
          <w:p w14:paraId="53060801" w14:textId="1030B368" w:rsidR="00A441A6" w:rsidRPr="00E47AA9" w:rsidRDefault="00A441A6"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Закон № </w:t>
            </w:r>
            <w:r w:rsidR="00AC20F8" w:rsidRPr="00E47AA9">
              <w:rPr>
                <w:rFonts w:ascii="Times New Roman" w:eastAsia="Times New Roman" w:hAnsi="Times New Roman" w:cs="Times New Roman"/>
                <w:lang w:eastAsia="ru-RU"/>
              </w:rPr>
              <w:t>495</w:t>
            </w:r>
            <w:r w:rsidRPr="00E47AA9">
              <w:rPr>
                <w:rFonts w:ascii="Times New Roman" w:eastAsia="Times New Roman" w:hAnsi="Times New Roman" w:cs="Times New Roman"/>
                <w:lang w:eastAsia="ru-RU"/>
              </w:rPr>
              <w:t>-КЗ</w:t>
            </w:r>
          </w:p>
        </w:tc>
        <w:tc>
          <w:tcPr>
            <w:tcW w:w="2314" w:type="dxa"/>
            <w:gridSpan w:val="2"/>
            <w:tcBorders>
              <w:top w:val="single" w:sz="4" w:space="0" w:color="auto"/>
              <w:left w:val="nil"/>
              <w:bottom w:val="single" w:sz="4" w:space="0" w:color="auto"/>
              <w:right w:val="single" w:sz="4" w:space="0" w:color="auto"/>
            </w:tcBorders>
            <w:shd w:val="clear" w:color="auto" w:fill="auto"/>
            <w:vAlign w:val="center"/>
            <w:hideMark/>
          </w:tcPr>
          <w:p w14:paraId="296DE761" w14:textId="77777777" w:rsidR="00A441A6" w:rsidRPr="00E47AA9" w:rsidRDefault="00A441A6"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Отклонение</w:t>
            </w:r>
          </w:p>
        </w:tc>
      </w:tr>
      <w:tr w:rsidR="00E47AA9" w:rsidRPr="00E47AA9" w14:paraId="6C318641" w14:textId="77777777" w:rsidTr="00353702">
        <w:trPr>
          <w:trHeight w:val="20"/>
          <w:tblHeader/>
        </w:trPr>
        <w:tc>
          <w:tcPr>
            <w:tcW w:w="3637" w:type="dxa"/>
            <w:vMerge/>
            <w:tcBorders>
              <w:top w:val="single" w:sz="4" w:space="0" w:color="auto"/>
              <w:left w:val="single" w:sz="4" w:space="0" w:color="auto"/>
              <w:bottom w:val="single" w:sz="4" w:space="0" w:color="auto"/>
              <w:right w:val="single" w:sz="4" w:space="0" w:color="auto"/>
            </w:tcBorders>
            <w:vAlign w:val="center"/>
            <w:hideMark/>
          </w:tcPr>
          <w:p w14:paraId="0753B4E9" w14:textId="77777777" w:rsidR="00A441A6" w:rsidRPr="00E47AA9" w:rsidRDefault="00A441A6" w:rsidP="00353702">
            <w:pPr>
              <w:spacing w:after="0" w:line="240" w:lineRule="auto"/>
              <w:rPr>
                <w:rFonts w:ascii="Times New Roman" w:eastAsia="Times New Roman" w:hAnsi="Times New Roman" w:cs="Times New Roman"/>
                <w:lang w:eastAsia="ru-RU"/>
              </w:rPr>
            </w:pPr>
          </w:p>
        </w:tc>
        <w:tc>
          <w:tcPr>
            <w:tcW w:w="1706" w:type="dxa"/>
            <w:tcBorders>
              <w:top w:val="nil"/>
              <w:left w:val="nil"/>
              <w:bottom w:val="single" w:sz="4" w:space="0" w:color="auto"/>
              <w:right w:val="single" w:sz="4" w:space="0" w:color="auto"/>
            </w:tcBorders>
            <w:shd w:val="clear" w:color="auto" w:fill="auto"/>
            <w:vAlign w:val="center"/>
            <w:hideMark/>
          </w:tcPr>
          <w:p w14:paraId="314FF289" w14:textId="77777777" w:rsidR="00A441A6" w:rsidRPr="00E47AA9" w:rsidRDefault="00A441A6"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первоначальная редакция</w:t>
            </w:r>
          </w:p>
        </w:tc>
        <w:tc>
          <w:tcPr>
            <w:tcW w:w="1557" w:type="dxa"/>
            <w:tcBorders>
              <w:top w:val="nil"/>
              <w:left w:val="nil"/>
              <w:bottom w:val="single" w:sz="4" w:space="0" w:color="auto"/>
              <w:right w:val="single" w:sz="4" w:space="0" w:color="auto"/>
            </w:tcBorders>
            <w:shd w:val="clear" w:color="auto" w:fill="auto"/>
            <w:vAlign w:val="center"/>
            <w:hideMark/>
          </w:tcPr>
          <w:p w14:paraId="63184BD5" w14:textId="77777777" w:rsidR="00A441A6" w:rsidRPr="00E47AA9" w:rsidRDefault="00A441A6"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действующая редакция</w:t>
            </w:r>
          </w:p>
        </w:tc>
        <w:tc>
          <w:tcPr>
            <w:tcW w:w="1322" w:type="dxa"/>
            <w:tcBorders>
              <w:top w:val="nil"/>
              <w:left w:val="nil"/>
              <w:bottom w:val="single" w:sz="4" w:space="0" w:color="auto"/>
              <w:right w:val="single" w:sz="4" w:space="0" w:color="auto"/>
            </w:tcBorders>
            <w:shd w:val="clear" w:color="auto" w:fill="auto"/>
            <w:vAlign w:val="center"/>
            <w:hideMark/>
          </w:tcPr>
          <w:p w14:paraId="362210F5" w14:textId="77777777" w:rsidR="00A441A6" w:rsidRPr="00E47AA9" w:rsidRDefault="00A441A6"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сумма</w:t>
            </w:r>
          </w:p>
        </w:tc>
        <w:tc>
          <w:tcPr>
            <w:tcW w:w="992" w:type="dxa"/>
            <w:tcBorders>
              <w:top w:val="nil"/>
              <w:left w:val="nil"/>
              <w:bottom w:val="single" w:sz="4" w:space="0" w:color="auto"/>
              <w:right w:val="single" w:sz="4" w:space="0" w:color="auto"/>
            </w:tcBorders>
            <w:shd w:val="clear" w:color="auto" w:fill="auto"/>
            <w:vAlign w:val="center"/>
            <w:hideMark/>
          </w:tcPr>
          <w:p w14:paraId="53F15408" w14:textId="77777777" w:rsidR="00A441A6" w:rsidRPr="00E47AA9" w:rsidRDefault="00A441A6"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w:t>
            </w:r>
          </w:p>
        </w:tc>
      </w:tr>
      <w:tr w:rsidR="00E47AA9" w:rsidRPr="00E47AA9" w14:paraId="2768F404" w14:textId="77777777" w:rsidTr="00353702">
        <w:trPr>
          <w:trHeight w:val="20"/>
        </w:trPr>
        <w:tc>
          <w:tcPr>
            <w:tcW w:w="3637" w:type="dxa"/>
            <w:tcBorders>
              <w:top w:val="nil"/>
              <w:left w:val="single" w:sz="4" w:space="0" w:color="auto"/>
              <w:bottom w:val="single" w:sz="4" w:space="0" w:color="auto"/>
              <w:right w:val="single" w:sz="4" w:space="0" w:color="auto"/>
            </w:tcBorders>
            <w:shd w:val="clear" w:color="auto" w:fill="auto"/>
            <w:vAlign w:val="center"/>
            <w:hideMark/>
          </w:tcPr>
          <w:p w14:paraId="42F8532A" w14:textId="77777777" w:rsidR="00A441A6" w:rsidRPr="00E47AA9" w:rsidRDefault="00A441A6" w:rsidP="007F042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ДОХОДЫ всего, в том числе</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B4D4C" w14:textId="77777777" w:rsidR="00A441A6" w:rsidRPr="00E47AA9" w:rsidRDefault="00A441A6" w:rsidP="00353702">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213 002,20</w:t>
            </w:r>
          </w:p>
        </w:tc>
        <w:tc>
          <w:tcPr>
            <w:tcW w:w="1557" w:type="dxa"/>
            <w:tcBorders>
              <w:top w:val="single" w:sz="4" w:space="0" w:color="auto"/>
              <w:left w:val="nil"/>
              <w:bottom w:val="single" w:sz="4" w:space="0" w:color="auto"/>
              <w:right w:val="single" w:sz="4" w:space="0" w:color="auto"/>
            </w:tcBorders>
            <w:shd w:val="clear" w:color="auto" w:fill="auto"/>
            <w:vAlign w:val="center"/>
            <w:hideMark/>
          </w:tcPr>
          <w:p w14:paraId="1FF12AB0" w14:textId="77777777" w:rsidR="00A441A6" w:rsidRPr="00E47AA9" w:rsidRDefault="00A441A6" w:rsidP="00353702">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224 413,24</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14:paraId="01FF5FC2" w14:textId="77777777" w:rsidR="00A441A6" w:rsidRPr="00E47AA9" w:rsidRDefault="00A441A6" w:rsidP="00353702">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11 411,04</w:t>
            </w:r>
          </w:p>
        </w:tc>
        <w:tc>
          <w:tcPr>
            <w:tcW w:w="992" w:type="dxa"/>
            <w:tcBorders>
              <w:top w:val="single" w:sz="4" w:space="0" w:color="auto"/>
              <w:left w:val="nil"/>
              <w:bottom w:val="single" w:sz="4" w:space="0" w:color="auto"/>
              <w:right w:val="single" w:sz="4" w:space="0" w:color="auto"/>
            </w:tcBorders>
            <w:shd w:val="clear" w:color="auto" w:fill="auto"/>
            <w:vAlign w:val="bottom"/>
            <w:hideMark/>
          </w:tcPr>
          <w:p w14:paraId="3D094355" w14:textId="77777777" w:rsidR="00A441A6" w:rsidRPr="00E47AA9" w:rsidRDefault="00A441A6" w:rsidP="00353702">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105,36</w:t>
            </w:r>
          </w:p>
        </w:tc>
      </w:tr>
      <w:tr w:rsidR="00E47AA9" w:rsidRPr="00E47AA9" w14:paraId="5116334A" w14:textId="77777777" w:rsidTr="00353702">
        <w:trPr>
          <w:trHeight w:val="20"/>
        </w:trPr>
        <w:tc>
          <w:tcPr>
            <w:tcW w:w="3637" w:type="dxa"/>
            <w:tcBorders>
              <w:top w:val="nil"/>
              <w:left w:val="single" w:sz="4" w:space="0" w:color="auto"/>
              <w:bottom w:val="single" w:sz="4" w:space="0" w:color="auto"/>
              <w:right w:val="single" w:sz="4" w:space="0" w:color="auto"/>
            </w:tcBorders>
            <w:shd w:val="clear" w:color="auto" w:fill="auto"/>
            <w:vAlign w:val="center"/>
            <w:hideMark/>
          </w:tcPr>
          <w:p w14:paraId="006609A9" w14:textId="77777777" w:rsidR="00A441A6" w:rsidRPr="00E47AA9" w:rsidRDefault="00A441A6" w:rsidP="00353702">
            <w:pPr>
              <w:spacing w:after="0" w:line="240" w:lineRule="auto"/>
              <w:rPr>
                <w:rFonts w:ascii="Times New Roman" w:eastAsia="Times New Roman" w:hAnsi="Times New Roman" w:cs="Times New Roman"/>
                <w:i/>
                <w:iCs/>
                <w:lang w:eastAsia="ru-RU"/>
              </w:rPr>
            </w:pPr>
            <w:r w:rsidRPr="00E47AA9">
              <w:rPr>
                <w:rFonts w:ascii="Times New Roman" w:eastAsia="Times New Roman" w:hAnsi="Times New Roman" w:cs="Times New Roman"/>
                <w:i/>
                <w:iCs/>
                <w:lang w:eastAsia="ru-RU"/>
              </w:rPr>
              <w:t>налоговые и неналоговые доходы</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8D4174" w14:textId="77777777" w:rsidR="00A441A6" w:rsidRPr="00E47AA9" w:rsidRDefault="00A441A6" w:rsidP="00353702">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176 601,23</w:t>
            </w:r>
          </w:p>
        </w:tc>
        <w:tc>
          <w:tcPr>
            <w:tcW w:w="1557" w:type="dxa"/>
            <w:tcBorders>
              <w:top w:val="single" w:sz="4" w:space="0" w:color="auto"/>
              <w:left w:val="nil"/>
              <w:bottom w:val="single" w:sz="4" w:space="0" w:color="auto"/>
              <w:right w:val="single" w:sz="4" w:space="0" w:color="auto"/>
            </w:tcBorders>
            <w:shd w:val="clear" w:color="auto" w:fill="auto"/>
            <w:vAlign w:val="center"/>
            <w:hideMark/>
          </w:tcPr>
          <w:p w14:paraId="7714EDA9" w14:textId="77777777" w:rsidR="00A441A6" w:rsidRPr="00E47AA9" w:rsidRDefault="00A441A6" w:rsidP="00353702">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186 238,62</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14:paraId="78EE518B" w14:textId="77777777" w:rsidR="00A441A6" w:rsidRPr="00E47AA9" w:rsidRDefault="00A441A6" w:rsidP="00353702">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9 637,39</w:t>
            </w:r>
          </w:p>
        </w:tc>
        <w:tc>
          <w:tcPr>
            <w:tcW w:w="992" w:type="dxa"/>
            <w:tcBorders>
              <w:top w:val="single" w:sz="4" w:space="0" w:color="auto"/>
              <w:left w:val="nil"/>
              <w:bottom w:val="single" w:sz="4" w:space="0" w:color="auto"/>
              <w:right w:val="single" w:sz="4" w:space="0" w:color="auto"/>
            </w:tcBorders>
            <w:shd w:val="clear" w:color="auto" w:fill="auto"/>
            <w:vAlign w:val="bottom"/>
            <w:hideMark/>
          </w:tcPr>
          <w:p w14:paraId="69BB4A17" w14:textId="77777777" w:rsidR="00A441A6" w:rsidRPr="00E47AA9" w:rsidRDefault="00A441A6" w:rsidP="00353702">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105,46</w:t>
            </w:r>
          </w:p>
        </w:tc>
      </w:tr>
      <w:tr w:rsidR="00E47AA9" w:rsidRPr="00E47AA9" w14:paraId="260335A2" w14:textId="77777777" w:rsidTr="00353702">
        <w:trPr>
          <w:trHeight w:val="20"/>
        </w:trPr>
        <w:tc>
          <w:tcPr>
            <w:tcW w:w="3637" w:type="dxa"/>
            <w:tcBorders>
              <w:top w:val="nil"/>
              <w:left w:val="single" w:sz="4" w:space="0" w:color="auto"/>
              <w:bottom w:val="single" w:sz="4" w:space="0" w:color="auto"/>
              <w:right w:val="single" w:sz="4" w:space="0" w:color="auto"/>
            </w:tcBorders>
            <w:shd w:val="clear" w:color="auto" w:fill="auto"/>
            <w:vAlign w:val="center"/>
            <w:hideMark/>
          </w:tcPr>
          <w:p w14:paraId="5BBA7D0A" w14:textId="77777777" w:rsidR="00A441A6" w:rsidRPr="00E47AA9" w:rsidRDefault="00A441A6" w:rsidP="00353702">
            <w:pPr>
              <w:spacing w:after="0" w:line="240" w:lineRule="auto"/>
              <w:rPr>
                <w:rFonts w:ascii="Times New Roman" w:eastAsia="Times New Roman" w:hAnsi="Times New Roman" w:cs="Times New Roman"/>
                <w:i/>
                <w:iCs/>
                <w:lang w:eastAsia="ru-RU"/>
              </w:rPr>
            </w:pPr>
            <w:r w:rsidRPr="00E47AA9">
              <w:rPr>
                <w:rFonts w:ascii="Times New Roman" w:eastAsia="Times New Roman" w:hAnsi="Times New Roman" w:cs="Times New Roman"/>
                <w:i/>
                <w:iCs/>
                <w:lang w:eastAsia="ru-RU"/>
              </w:rPr>
              <w:t>безвозмездные поступления</w:t>
            </w:r>
          </w:p>
        </w:tc>
        <w:tc>
          <w:tcPr>
            <w:tcW w:w="1706" w:type="dxa"/>
            <w:tcBorders>
              <w:top w:val="nil"/>
              <w:left w:val="single" w:sz="4" w:space="0" w:color="auto"/>
              <w:bottom w:val="single" w:sz="4" w:space="0" w:color="auto"/>
              <w:right w:val="single" w:sz="4" w:space="0" w:color="auto"/>
            </w:tcBorders>
            <w:shd w:val="clear" w:color="auto" w:fill="auto"/>
            <w:vAlign w:val="center"/>
            <w:hideMark/>
          </w:tcPr>
          <w:p w14:paraId="1C5BDCB3" w14:textId="77777777" w:rsidR="00A441A6" w:rsidRPr="00E47AA9" w:rsidRDefault="00A441A6" w:rsidP="00353702">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36 400,97</w:t>
            </w:r>
          </w:p>
        </w:tc>
        <w:tc>
          <w:tcPr>
            <w:tcW w:w="1557" w:type="dxa"/>
            <w:tcBorders>
              <w:top w:val="nil"/>
              <w:left w:val="nil"/>
              <w:bottom w:val="single" w:sz="4" w:space="0" w:color="auto"/>
              <w:right w:val="single" w:sz="4" w:space="0" w:color="auto"/>
            </w:tcBorders>
            <w:shd w:val="clear" w:color="auto" w:fill="auto"/>
            <w:vAlign w:val="center"/>
            <w:hideMark/>
          </w:tcPr>
          <w:p w14:paraId="0B2E805E" w14:textId="77777777" w:rsidR="00A441A6" w:rsidRPr="00E47AA9" w:rsidRDefault="00A441A6" w:rsidP="00353702">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38 174,62</w:t>
            </w:r>
          </w:p>
        </w:tc>
        <w:tc>
          <w:tcPr>
            <w:tcW w:w="1322" w:type="dxa"/>
            <w:tcBorders>
              <w:top w:val="nil"/>
              <w:left w:val="nil"/>
              <w:bottom w:val="single" w:sz="4" w:space="0" w:color="auto"/>
              <w:right w:val="single" w:sz="4" w:space="0" w:color="auto"/>
            </w:tcBorders>
            <w:shd w:val="clear" w:color="auto" w:fill="auto"/>
            <w:vAlign w:val="center"/>
            <w:hideMark/>
          </w:tcPr>
          <w:p w14:paraId="11FF589D" w14:textId="77777777" w:rsidR="00A441A6" w:rsidRPr="00E47AA9" w:rsidRDefault="00A441A6" w:rsidP="00353702">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1 773,65</w:t>
            </w:r>
          </w:p>
        </w:tc>
        <w:tc>
          <w:tcPr>
            <w:tcW w:w="992" w:type="dxa"/>
            <w:tcBorders>
              <w:top w:val="nil"/>
              <w:left w:val="nil"/>
              <w:bottom w:val="single" w:sz="4" w:space="0" w:color="auto"/>
              <w:right w:val="single" w:sz="4" w:space="0" w:color="auto"/>
            </w:tcBorders>
            <w:shd w:val="clear" w:color="auto" w:fill="auto"/>
            <w:vAlign w:val="bottom"/>
            <w:hideMark/>
          </w:tcPr>
          <w:p w14:paraId="0BF736EF" w14:textId="77777777" w:rsidR="00A441A6" w:rsidRPr="00E47AA9" w:rsidRDefault="00A441A6" w:rsidP="00353702">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104,87</w:t>
            </w:r>
          </w:p>
        </w:tc>
      </w:tr>
      <w:tr w:rsidR="00E47AA9" w:rsidRPr="00E47AA9" w14:paraId="26EA999E" w14:textId="77777777" w:rsidTr="00353702">
        <w:trPr>
          <w:trHeight w:val="20"/>
        </w:trPr>
        <w:tc>
          <w:tcPr>
            <w:tcW w:w="3637" w:type="dxa"/>
            <w:tcBorders>
              <w:top w:val="nil"/>
              <w:left w:val="single" w:sz="4" w:space="0" w:color="auto"/>
              <w:bottom w:val="single" w:sz="4" w:space="0" w:color="auto"/>
              <w:right w:val="single" w:sz="4" w:space="0" w:color="auto"/>
            </w:tcBorders>
            <w:shd w:val="clear" w:color="auto" w:fill="auto"/>
            <w:vAlign w:val="center"/>
            <w:hideMark/>
          </w:tcPr>
          <w:p w14:paraId="642D5447" w14:textId="77777777" w:rsidR="00A441A6" w:rsidRPr="00E47AA9" w:rsidRDefault="00A441A6"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РАСХОДЫ</w:t>
            </w:r>
          </w:p>
        </w:tc>
        <w:tc>
          <w:tcPr>
            <w:tcW w:w="1706" w:type="dxa"/>
            <w:tcBorders>
              <w:top w:val="nil"/>
              <w:left w:val="single" w:sz="4" w:space="0" w:color="auto"/>
              <w:bottom w:val="single" w:sz="4" w:space="0" w:color="auto"/>
              <w:right w:val="single" w:sz="4" w:space="0" w:color="auto"/>
            </w:tcBorders>
            <w:shd w:val="clear" w:color="auto" w:fill="auto"/>
            <w:vAlign w:val="center"/>
            <w:hideMark/>
          </w:tcPr>
          <w:p w14:paraId="3A070C1F" w14:textId="77777777" w:rsidR="00A441A6" w:rsidRPr="00E47AA9" w:rsidRDefault="00A441A6" w:rsidP="00353702">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230 070,54</w:t>
            </w:r>
          </w:p>
        </w:tc>
        <w:tc>
          <w:tcPr>
            <w:tcW w:w="1557" w:type="dxa"/>
            <w:tcBorders>
              <w:top w:val="nil"/>
              <w:left w:val="nil"/>
              <w:bottom w:val="single" w:sz="4" w:space="0" w:color="auto"/>
              <w:right w:val="single" w:sz="4" w:space="0" w:color="auto"/>
            </w:tcBorders>
            <w:shd w:val="clear" w:color="auto" w:fill="auto"/>
            <w:vAlign w:val="center"/>
            <w:hideMark/>
          </w:tcPr>
          <w:p w14:paraId="3B68E36B" w14:textId="77777777" w:rsidR="00A441A6" w:rsidRPr="00E47AA9" w:rsidRDefault="00A441A6" w:rsidP="00353702">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244 929,92</w:t>
            </w:r>
          </w:p>
        </w:tc>
        <w:tc>
          <w:tcPr>
            <w:tcW w:w="1322" w:type="dxa"/>
            <w:tcBorders>
              <w:top w:val="nil"/>
              <w:left w:val="nil"/>
              <w:bottom w:val="single" w:sz="4" w:space="0" w:color="auto"/>
              <w:right w:val="single" w:sz="4" w:space="0" w:color="auto"/>
            </w:tcBorders>
            <w:shd w:val="clear" w:color="auto" w:fill="auto"/>
            <w:vAlign w:val="center"/>
            <w:hideMark/>
          </w:tcPr>
          <w:p w14:paraId="41E957C3" w14:textId="77777777" w:rsidR="00A441A6" w:rsidRPr="00E47AA9" w:rsidRDefault="00A441A6" w:rsidP="00353702">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14 859,38</w:t>
            </w:r>
          </w:p>
        </w:tc>
        <w:tc>
          <w:tcPr>
            <w:tcW w:w="992" w:type="dxa"/>
            <w:tcBorders>
              <w:top w:val="nil"/>
              <w:left w:val="nil"/>
              <w:bottom w:val="single" w:sz="4" w:space="0" w:color="auto"/>
              <w:right w:val="single" w:sz="4" w:space="0" w:color="auto"/>
            </w:tcBorders>
            <w:shd w:val="clear" w:color="auto" w:fill="auto"/>
            <w:vAlign w:val="bottom"/>
            <w:hideMark/>
          </w:tcPr>
          <w:p w14:paraId="2FD8B027" w14:textId="77777777" w:rsidR="00A441A6" w:rsidRPr="00E47AA9" w:rsidRDefault="00A441A6" w:rsidP="00353702">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106,46</w:t>
            </w:r>
          </w:p>
        </w:tc>
      </w:tr>
      <w:tr w:rsidR="00A441A6" w:rsidRPr="00E47AA9" w14:paraId="06546925" w14:textId="77777777" w:rsidTr="00353702">
        <w:trPr>
          <w:trHeight w:val="20"/>
        </w:trPr>
        <w:tc>
          <w:tcPr>
            <w:tcW w:w="3637" w:type="dxa"/>
            <w:tcBorders>
              <w:top w:val="nil"/>
              <w:left w:val="single" w:sz="4" w:space="0" w:color="auto"/>
              <w:bottom w:val="single" w:sz="4" w:space="0" w:color="auto"/>
              <w:right w:val="single" w:sz="4" w:space="0" w:color="auto"/>
            </w:tcBorders>
            <w:shd w:val="clear" w:color="auto" w:fill="auto"/>
            <w:vAlign w:val="center"/>
            <w:hideMark/>
          </w:tcPr>
          <w:p w14:paraId="111406E3" w14:textId="77777777" w:rsidR="00A441A6" w:rsidRPr="00E47AA9" w:rsidRDefault="00A441A6"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РАЗМЕР ДЕФИЦИТА</w:t>
            </w:r>
          </w:p>
        </w:tc>
        <w:tc>
          <w:tcPr>
            <w:tcW w:w="1706" w:type="dxa"/>
            <w:tcBorders>
              <w:top w:val="nil"/>
              <w:left w:val="single" w:sz="4" w:space="0" w:color="auto"/>
              <w:bottom w:val="single" w:sz="4" w:space="0" w:color="auto"/>
              <w:right w:val="single" w:sz="4" w:space="0" w:color="auto"/>
            </w:tcBorders>
            <w:shd w:val="clear" w:color="auto" w:fill="auto"/>
            <w:vAlign w:val="center"/>
            <w:hideMark/>
          </w:tcPr>
          <w:p w14:paraId="4858E6B1" w14:textId="77777777" w:rsidR="00A441A6" w:rsidRPr="00E47AA9" w:rsidRDefault="00A441A6" w:rsidP="00353702">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17 068,34</w:t>
            </w:r>
          </w:p>
        </w:tc>
        <w:tc>
          <w:tcPr>
            <w:tcW w:w="1557" w:type="dxa"/>
            <w:tcBorders>
              <w:top w:val="nil"/>
              <w:left w:val="nil"/>
              <w:bottom w:val="single" w:sz="4" w:space="0" w:color="auto"/>
              <w:right w:val="single" w:sz="4" w:space="0" w:color="auto"/>
            </w:tcBorders>
            <w:shd w:val="clear" w:color="auto" w:fill="auto"/>
            <w:vAlign w:val="center"/>
            <w:hideMark/>
          </w:tcPr>
          <w:p w14:paraId="1596DEEF" w14:textId="77777777" w:rsidR="00A441A6" w:rsidRPr="00E47AA9" w:rsidRDefault="00A441A6" w:rsidP="00353702">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20 516,68</w:t>
            </w:r>
          </w:p>
        </w:tc>
        <w:tc>
          <w:tcPr>
            <w:tcW w:w="1322" w:type="dxa"/>
            <w:tcBorders>
              <w:top w:val="nil"/>
              <w:left w:val="nil"/>
              <w:bottom w:val="single" w:sz="4" w:space="0" w:color="auto"/>
              <w:right w:val="single" w:sz="4" w:space="0" w:color="auto"/>
            </w:tcBorders>
            <w:shd w:val="clear" w:color="auto" w:fill="auto"/>
            <w:vAlign w:val="center"/>
            <w:hideMark/>
          </w:tcPr>
          <w:p w14:paraId="57F32701" w14:textId="77777777" w:rsidR="00A441A6" w:rsidRPr="00E47AA9" w:rsidRDefault="00A441A6" w:rsidP="00353702">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3 448,34</w:t>
            </w:r>
          </w:p>
        </w:tc>
        <w:tc>
          <w:tcPr>
            <w:tcW w:w="992" w:type="dxa"/>
            <w:tcBorders>
              <w:top w:val="nil"/>
              <w:left w:val="nil"/>
              <w:bottom w:val="single" w:sz="4" w:space="0" w:color="auto"/>
              <w:right w:val="single" w:sz="4" w:space="0" w:color="auto"/>
            </w:tcBorders>
            <w:shd w:val="clear" w:color="auto" w:fill="auto"/>
            <w:vAlign w:val="bottom"/>
            <w:hideMark/>
          </w:tcPr>
          <w:p w14:paraId="262C2356" w14:textId="77777777" w:rsidR="00A441A6" w:rsidRPr="00E47AA9" w:rsidRDefault="00A441A6" w:rsidP="00353702">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120,20</w:t>
            </w:r>
          </w:p>
        </w:tc>
      </w:tr>
    </w:tbl>
    <w:p w14:paraId="6F526E2E" w14:textId="77777777" w:rsidR="00A441A6" w:rsidRPr="00E47AA9" w:rsidRDefault="00A441A6" w:rsidP="00A441A6">
      <w:pPr>
        <w:spacing w:after="0" w:line="240" w:lineRule="auto"/>
        <w:ind w:firstLine="709"/>
        <w:jc w:val="both"/>
        <w:rPr>
          <w:rFonts w:ascii="Times New Roman" w:eastAsia="Calibri" w:hAnsi="Times New Roman" w:cs="Times New Roman"/>
          <w:sz w:val="28"/>
          <w:szCs w:val="28"/>
        </w:rPr>
      </w:pPr>
    </w:p>
    <w:p w14:paraId="4859CE53" w14:textId="77777777" w:rsidR="00A441A6" w:rsidRPr="00E47AA9" w:rsidRDefault="00A441A6"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Согласно отчету и соответствующим формам годовой бюджетной отчетности ГАБС плановые назначения по расходам краевого бюджета на </w:t>
      </w:r>
      <w:r w:rsidRPr="00E47AA9">
        <w:rPr>
          <w:rFonts w:ascii="Times New Roman" w:eastAsia="Calibri" w:hAnsi="Times New Roman" w:cs="Times New Roman"/>
          <w:sz w:val="28"/>
          <w:szCs w:val="28"/>
        </w:rPr>
        <w:lastRenderedPageBreak/>
        <w:t>2024 год изменены без внесения изменений в закон о краевом бюджете (далее</w:t>
      </w:r>
      <w:r w:rsidR="007F0422"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 уточненные плановые назначения) министерством финансов Приморского края в соответствии со статьей 217 Бюджетного кодекса Российской Федерации, статьей 20 Закона № 495-КЗ, приказом департамента финансов Приморского края от 23.12.2015 № 273 "Об утверждении Порядка составления и ведения сводной бюджетной росписи краевого бюджета и бюджетных росписей главных распорядителей средств краевого бюджета".</w:t>
      </w:r>
    </w:p>
    <w:p w14:paraId="384D2A7B"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sz w:val="28"/>
          <w:szCs w:val="28"/>
        </w:rPr>
        <w:t>В результате корректировок годовые</w:t>
      </w:r>
      <w:r w:rsidRPr="00E47AA9">
        <w:rPr>
          <w:rFonts w:ascii="Times New Roman" w:eastAsia="Times New Roman" w:hAnsi="Times New Roman" w:cs="Times New Roman"/>
          <w:sz w:val="28"/>
          <w:szCs w:val="28"/>
          <w:lang w:eastAsia="ru-RU"/>
        </w:rPr>
        <w:t xml:space="preserve"> плановые назначения по расходам краевого бюджета на 2024 год составили 245684,26 млн рублей, что больше на 754,34 млн рублей.</w:t>
      </w:r>
    </w:p>
    <w:p w14:paraId="036392D8"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За отчетный период в краевой бюджет</w:t>
      </w:r>
      <w:r w:rsidRPr="00E47AA9">
        <w:rPr>
          <w:rStyle w:val="a8"/>
          <w:rFonts w:ascii="Times New Roman" w:hAnsi="Times New Roman"/>
          <w:sz w:val="28"/>
          <w:szCs w:val="28"/>
          <w:lang w:eastAsia="ru-RU"/>
        </w:rPr>
        <w:footnoteReference w:id="20"/>
      </w:r>
      <w:r w:rsidRPr="00E47AA9">
        <w:rPr>
          <w:rFonts w:ascii="Times New Roman" w:eastAsia="Times New Roman" w:hAnsi="Times New Roman" w:cs="Times New Roman"/>
          <w:sz w:val="28"/>
          <w:szCs w:val="28"/>
          <w:lang w:eastAsia="ru-RU"/>
        </w:rPr>
        <w:t xml:space="preserve"> поступило доходов в сумме 229284,55 млн рублей (102,17 % плановых назначений). Расходы краевого бюджета составили 236994,68 млн рублей (96,46 % уточненного плана). Размер дефицита краевого бюджета – 7710,13 млн рублей.</w:t>
      </w:r>
    </w:p>
    <w:p w14:paraId="1E051A00"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p>
    <w:tbl>
      <w:tblPr>
        <w:tblW w:w="9753" w:type="dxa"/>
        <w:tblInd w:w="-284" w:type="dxa"/>
        <w:tblLook w:val="04A0" w:firstRow="1" w:lastRow="0" w:firstColumn="1" w:lastColumn="0" w:noHBand="0" w:noVBand="1"/>
      </w:tblPr>
      <w:tblGrid>
        <w:gridCol w:w="1560"/>
        <w:gridCol w:w="1480"/>
        <w:gridCol w:w="1660"/>
        <w:gridCol w:w="1560"/>
        <w:gridCol w:w="1300"/>
        <w:gridCol w:w="1229"/>
        <w:gridCol w:w="964"/>
      </w:tblGrid>
      <w:tr w:rsidR="00E47AA9" w:rsidRPr="00E47AA9" w14:paraId="6DAA0025" w14:textId="77777777" w:rsidTr="00353702">
        <w:trPr>
          <w:trHeight w:val="300"/>
        </w:trPr>
        <w:tc>
          <w:tcPr>
            <w:tcW w:w="1560" w:type="dxa"/>
            <w:tcBorders>
              <w:top w:val="nil"/>
              <w:left w:val="nil"/>
              <w:bottom w:val="nil"/>
              <w:right w:val="nil"/>
            </w:tcBorders>
            <w:shd w:val="clear" w:color="auto" w:fill="auto"/>
            <w:vAlign w:val="bottom"/>
            <w:hideMark/>
          </w:tcPr>
          <w:p w14:paraId="44C327F3" w14:textId="77777777" w:rsidR="00A441A6" w:rsidRPr="00E47AA9" w:rsidRDefault="00A441A6" w:rsidP="00353702">
            <w:pPr>
              <w:spacing w:after="0" w:line="240" w:lineRule="auto"/>
              <w:rPr>
                <w:rFonts w:ascii="Times New Roman" w:eastAsia="Times New Roman" w:hAnsi="Times New Roman" w:cs="Times New Roman"/>
                <w:sz w:val="24"/>
                <w:szCs w:val="24"/>
                <w:lang w:eastAsia="ru-RU"/>
              </w:rPr>
            </w:pPr>
          </w:p>
        </w:tc>
        <w:tc>
          <w:tcPr>
            <w:tcW w:w="1480" w:type="dxa"/>
            <w:tcBorders>
              <w:top w:val="nil"/>
              <w:left w:val="nil"/>
              <w:bottom w:val="nil"/>
              <w:right w:val="nil"/>
            </w:tcBorders>
            <w:shd w:val="clear" w:color="auto" w:fill="auto"/>
            <w:vAlign w:val="bottom"/>
            <w:hideMark/>
          </w:tcPr>
          <w:p w14:paraId="0DE066BA"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p>
        </w:tc>
        <w:tc>
          <w:tcPr>
            <w:tcW w:w="1660" w:type="dxa"/>
            <w:tcBorders>
              <w:top w:val="nil"/>
              <w:left w:val="nil"/>
              <w:bottom w:val="nil"/>
              <w:right w:val="nil"/>
            </w:tcBorders>
            <w:shd w:val="clear" w:color="auto" w:fill="auto"/>
            <w:vAlign w:val="bottom"/>
            <w:hideMark/>
          </w:tcPr>
          <w:p w14:paraId="74D1B20D"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p>
        </w:tc>
        <w:tc>
          <w:tcPr>
            <w:tcW w:w="1560" w:type="dxa"/>
            <w:tcBorders>
              <w:top w:val="nil"/>
              <w:left w:val="nil"/>
              <w:bottom w:val="nil"/>
              <w:right w:val="nil"/>
            </w:tcBorders>
            <w:shd w:val="clear" w:color="auto" w:fill="auto"/>
            <w:vAlign w:val="bottom"/>
            <w:hideMark/>
          </w:tcPr>
          <w:p w14:paraId="2BA89DAD"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p>
        </w:tc>
        <w:tc>
          <w:tcPr>
            <w:tcW w:w="1300" w:type="dxa"/>
            <w:tcBorders>
              <w:top w:val="nil"/>
              <w:left w:val="nil"/>
              <w:bottom w:val="nil"/>
              <w:right w:val="nil"/>
            </w:tcBorders>
            <w:shd w:val="clear" w:color="auto" w:fill="auto"/>
            <w:vAlign w:val="bottom"/>
            <w:hideMark/>
          </w:tcPr>
          <w:p w14:paraId="7EB5C08C"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p>
        </w:tc>
        <w:tc>
          <w:tcPr>
            <w:tcW w:w="2193" w:type="dxa"/>
            <w:gridSpan w:val="2"/>
            <w:tcBorders>
              <w:top w:val="nil"/>
              <w:left w:val="nil"/>
              <w:bottom w:val="nil"/>
              <w:right w:val="nil"/>
            </w:tcBorders>
            <w:shd w:val="clear" w:color="auto" w:fill="auto"/>
            <w:vAlign w:val="center"/>
            <w:hideMark/>
          </w:tcPr>
          <w:p w14:paraId="1DA8BEBC" w14:textId="77777777" w:rsidR="00A441A6" w:rsidRPr="00E47AA9" w:rsidRDefault="00A441A6" w:rsidP="00353702">
            <w:pPr>
              <w:spacing w:after="0" w:line="240" w:lineRule="auto"/>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26226B65" w14:textId="77777777" w:rsidTr="00353702">
        <w:trPr>
          <w:trHeight w:val="810"/>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D48115"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Показатели</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68BCFF"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Уточненные плановые назначения согласно отчету на </w:t>
            </w:r>
          </w:p>
          <w:p w14:paraId="69276F95"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2024 год</w:t>
            </w:r>
          </w:p>
        </w:tc>
        <w:tc>
          <w:tcPr>
            <w:tcW w:w="3220" w:type="dxa"/>
            <w:gridSpan w:val="2"/>
            <w:tcBorders>
              <w:top w:val="single" w:sz="4" w:space="0" w:color="auto"/>
              <w:left w:val="nil"/>
              <w:bottom w:val="single" w:sz="4" w:space="0" w:color="auto"/>
              <w:right w:val="single" w:sz="4" w:space="0" w:color="auto"/>
            </w:tcBorders>
            <w:shd w:val="clear" w:color="auto" w:fill="auto"/>
            <w:vAlign w:val="center"/>
            <w:hideMark/>
          </w:tcPr>
          <w:p w14:paraId="28F08504"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Отклонение уточненных плановых назначений и утвержденных Законом № 495-КЗ</w:t>
            </w:r>
          </w:p>
        </w:tc>
        <w:tc>
          <w:tcPr>
            <w:tcW w:w="13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2BB4C9"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Исполнение за 2024 год</w:t>
            </w:r>
          </w:p>
        </w:tc>
        <w:tc>
          <w:tcPr>
            <w:tcW w:w="21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C33DB0"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Отклонение исполнения от уточненного плана </w:t>
            </w:r>
          </w:p>
        </w:tc>
      </w:tr>
      <w:tr w:rsidR="00E47AA9" w:rsidRPr="00E47AA9" w14:paraId="3D337038" w14:textId="77777777" w:rsidTr="00353702">
        <w:trPr>
          <w:trHeight w:val="765"/>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17ECF18"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14:paraId="48DB978C"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p>
        </w:tc>
        <w:tc>
          <w:tcPr>
            <w:tcW w:w="1660" w:type="dxa"/>
            <w:tcBorders>
              <w:top w:val="nil"/>
              <w:left w:val="nil"/>
              <w:bottom w:val="single" w:sz="4" w:space="0" w:color="auto"/>
              <w:right w:val="single" w:sz="4" w:space="0" w:color="auto"/>
            </w:tcBorders>
            <w:shd w:val="clear" w:color="auto" w:fill="auto"/>
            <w:vAlign w:val="center"/>
            <w:hideMark/>
          </w:tcPr>
          <w:p w14:paraId="2B51A8CE"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 первоначальной редакции</w:t>
            </w:r>
          </w:p>
        </w:tc>
        <w:tc>
          <w:tcPr>
            <w:tcW w:w="1560" w:type="dxa"/>
            <w:tcBorders>
              <w:top w:val="nil"/>
              <w:left w:val="nil"/>
              <w:bottom w:val="single" w:sz="4" w:space="0" w:color="auto"/>
              <w:right w:val="single" w:sz="4" w:space="0" w:color="auto"/>
            </w:tcBorders>
            <w:shd w:val="clear" w:color="auto" w:fill="auto"/>
            <w:vAlign w:val="center"/>
            <w:hideMark/>
          </w:tcPr>
          <w:p w14:paraId="76C5C398"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 действующей редакции</w:t>
            </w:r>
          </w:p>
        </w:tc>
        <w:tc>
          <w:tcPr>
            <w:tcW w:w="1300" w:type="dxa"/>
            <w:vMerge/>
            <w:tcBorders>
              <w:top w:val="single" w:sz="4" w:space="0" w:color="auto"/>
              <w:left w:val="single" w:sz="4" w:space="0" w:color="auto"/>
              <w:bottom w:val="single" w:sz="4" w:space="0" w:color="auto"/>
              <w:right w:val="single" w:sz="4" w:space="0" w:color="auto"/>
            </w:tcBorders>
            <w:vAlign w:val="center"/>
            <w:hideMark/>
          </w:tcPr>
          <w:p w14:paraId="1BED997A"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p>
        </w:tc>
        <w:tc>
          <w:tcPr>
            <w:tcW w:w="1229" w:type="dxa"/>
            <w:tcBorders>
              <w:top w:val="nil"/>
              <w:left w:val="nil"/>
              <w:bottom w:val="single" w:sz="4" w:space="0" w:color="auto"/>
              <w:right w:val="single" w:sz="4" w:space="0" w:color="auto"/>
            </w:tcBorders>
            <w:shd w:val="clear" w:color="auto" w:fill="auto"/>
            <w:noWrap/>
            <w:vAlign w:val="center"/>
            <w:hideMark/>
          </w:tcPr>
          <w:p w14:paraId="0525AF85"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964" w:type="dxa"/>
            <w:tcBorders>
              <w:top w:val="nil"/>
              <w:left w:val="nil"/>
              <w:bottom w:val="single" w:sz="4" w:space="0" w:color="auto"/>
              <w:right w:val="single" w:sz="4" w:space="0" w:color="auto"/>
            </w:tcBorders>
            <w:shd w:val="clear" w:color="auto" w:fill="auto"/>
            <w:noWrap/>
            <w:vAlign w:val="center"/>
            <w:hideMark/>
          </w:tcPr>
          <w:p w14:paraId="11CB3EC3"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w:t>
            </w:r>
          </w:p>
        </w:tc>
      </w:tr>
      <w:tr w:rsidR="00E47AA9" w:rsidRPr="00E47AA9" w14:paraId="7F402201" w14:textId="77777777" w:rsidTr="00353702">
        <w:trPr>
          <w:trHeight w:val="51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964E2B7"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Доходы всего, в том числе</w:t>
            </w:r>
          </w:p>
        </w:tc>
        <w:tc>
          <w:tcPr>
            <w:tcW w:w="1480"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2E5A8689"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rPr>
              <w:t>224 413,24</w:t>
            </w:r>
          </w:p>
        </w:tc>
        <w:tc>
          <w:tcPr>
            <w:tcW w:w="1660"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61E7F994"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rPr>
              <w:t>11 411,04</w:t>
            </w:r>
          </w:p>
        </w:tc>
        <w:tc>
          <w:tcPr>
            <w:tcW w:w="1560"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1B5E8B5E"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rPr>
              <w:t>0,00</w:t>
            </w:r>
          </w:p>
        </w:tc>
        <w:tc>
          <w:tcPr>
            <w:tcW w:w="1300"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15155E82"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rPr>
              <w:t>229 284,55</w:t>
            </w:r>
          </w:p>
        </w:tc>
        <w:tc>
          <w:tcPr>
            <w:tcW w:w="1229"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6FD74E08"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rPr>
              <w:t>4 871,31</w:t>
            </w:r>
          </w:p>
        </w:tc>
        <w:tc>
          <w:tcPr>
            <w:tcW w:w="964"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31D97A93"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rPr>
              <w:t>102,17</w:t>
            </w:r>
          </w:p>
        </w:tc>
      </w:tr>
      <w:tr w:rsidR="00E47AA9" w:rsidRPr="00E47AA9" w14:paraId="0443072B" w14:textId="77777777" w:rsidTr="00353702">
        <w:trPr>
          <w:trHeight w:val="51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A6580F0" w14:textId="77777777" w:rsidR="00A441A6" w:rsidRPr="00E47AA9" w:rsidRDefault="00A441A6" w:rsidP="00353702">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налоговые и неналоговые доходы</w:t>
            </w:r>
          </w:p>
        </w:tc>
        <w:tc>
          <w:tcPr>
            <w:tcW w:w="1480" w:type="dxa"/>
            <w:tcBorders>
              <w:top w:val="nil"/>
              <w:left w:val="nil"/>
              <w:bottom w:val="single" w:sz="8" w:space="0" w:color="auto"/>
              <w:right w:val="single" w:sz="8" w:space="0" w:color="auto"/>
            </w:tcBorders>
            <w:shd w:val="clear" w:color="auto" w:fill="auto"/>
            <w:vAlign w:val="center"/>
            <w:hideMark/>
          </w:tcPr>
          <w:p w14:paraId="03106BB4" w14:textId="77777777" w:rsidR="00A441A6" w:rsidRPr="00E47AA9" w:rsidRDefault="00A441A6" w:rsidP="00353702">
            <w:pPr>
              <w:spacing w:after="0" w:line="240" w:lineRule="auto"/>
              <w:jc w:val="right"/>
              <w:rPr>
                <w:rFonts w:ascii="Times New Roman" w:eastAsia="Times New Roman" w:hAnsi="Times New Roman" w:cs="Times New Roman"/>
                <w:i/>
                <w:iCs/>
                <w:sz w:val="20"/>
                <w:szCs w:val="20"/>
                <w:lang w:eastAsia="ru-RU"/>
              </w:rPr>
            </w:pPr>
            <w:r w:rsidRPr="00E47AA9">
              <w:rPr>
                <w:rFonts w:ascii="Times New Roman" w:hAnsi="Times New Roman" w:cs="Times New Roman"/>
                <w:i/>
                <w:iCs/>
              </w:rPr>
              <w:t>186 238,62</w:t>
            </w:r>
          </w:p>
        </w:tc>
        <w:tc>
          <w:tcPr>
            <w:tcW w:w="1660" w:type="dxa"/>
            <w:tcBorders>
              <w:top w:val="nil"/>
              <w:left w:val="nil"/>
              <w:bottom w:val="single" w:sz="8" w:space="0" w:color="auto"/>
              <w:right w:val="single" w:sz="8" w:space="0" w:color="auto"/>
            </w:tcBorders>
            <w:shd w:val="clear" w:color="auto" w:fill="auto"/>
            <w:vAlign w:val="center"/>
            <w:hideMark/>
          </w:tcPr>
          <w:p w14:paraId="28009D2D"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i/>
                <w:iCs/>
              </w:rPr>
              <w:t>9 637,39</w:t>
            </w:r>
          </w:p>
        </w:tc>
        <w:tc>
          <w:tcPr>
            <w:tcW w:w="1560" w:type="dxa"/>
            <w:tcBorders>
              <w:top w:val="nil"/>
              <w:left w:val="nil"/>
              <w:bottom w:val="single" w:sz="8" w:space="0" w:color="auto"/>
              <w:right w:val="single" w:sz="8" w:space="0" w:color="auto"/>
            </w:tcBorders>
            <w:shd w:val="clear" w:color="auto" w:fill="auto"/>
            <w:vAlign w:val="center"/>
            <w:hideMark/>
          </w:tcPr>
          <w:p w14:paraId="3A9A9773"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i/>
                <w:iCs/>
              </w:rPr>
              <w:t>0,00</w:t>
            </w:r>
          </w:p>
        </w:tc>
        <w:tc>
          <w:tcPr>
            <w:tcW w:w="1300" w:type="dxa"/>
            <w:tcBorders>
              <w:top w:val="nil"/>
              <w:left w:val="nil"/>
              <w:bottom w:val="single" w:sz="8" w:space="0" w:color="auto"/>
              <w:right w:val="single" w:sz="8" w:space="0" w:color="auto"/>
            </w:tcBorders>
            <w:shd w:val="clear" w:color="auto" w:fill="auto"/>
            <w:vAlign w:val="center"/>
            <w:hideMark/>
          </w:tcPr>
          <w:p w14:paraId="57B0E7EC" w14:textId="77777777" w:rsidR="00A441A6" w:rsidRPr="00E47AA9" w:rsidRDefault="00A441A6" w:rsidP="00353702">
            <w:pPr>
              <w:spacing w:after="0" w:line="240" w:lineRule="auto"/>
              <w:jc w:val="right"/>
              <w:rPr>
                <w:rFonts w:ascii="Times New Roman" w:eastAsia="Times New Roman" w:hAnsi="Times New Roman" w:cs="Times New Roman"/>
                <w:i/>
                <w:iCs/>
                <w:sz w:val="20"/>
                <w:szCs w:val="20"/>
                <w:lang w:eastAsia="ru-RU"/>
              </w:rPr>
            </w:pPr>
            <w:r w:rsidRPr="00E47AA9">
              <w:rPr>
                <w:rFonts w:ascii="Times New Roman" w:hAnsi="Times New Roman" w:cs="Times New Roman"/>
                <w:i/>
                <w:iCs/>
              </w:rPr>
              <w:t>190 686,73</w:t>
            </w:r>
          </w:p>
        </w:tc>
        <w:tc>
          <w:tcPr>
            <w:tcW w:w="1229" w:type="dxa"/>
            <w:tcBorders>
              <w:top w:val="nil"/>
              <w:left w:val="nil"/>
              <w:bottom w:val="single" w:sz="8" w:space="0" w:color="auto"/>
              <w:right w:val="single" w:sz="8" w:space="0" w:color="auto"/>
            </w:tcBorders>
            <w:shd w:val="clear" w:color="auto" w:fill="auto"/>
            <w:vAlign w:val="center"/>
            <w:hideMark/>
          </w:tcPr>
          <w:p w14:paraId="38BE3E13"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i/>
                <w:iCs/>
              </w:rPr>
              <w:t>4 448,11</w:t>
            </w:r>
          </w:p>
        </w:tc>
        <w:tc>
          <w:tcPr>
            <w:tcW w:w="964" w:type="dxa"/>
            <w:tcBorders>
              <w:top w:val="nil"/>
              <w:left w:val="nil"/>
              <w:bottom w:val="single" w:sz="8" w:space="0" w:color="auto"/>
              <w:right w:val="single" w:sz="8" w:space="0" w:color="auto"/>
            </w:tcBorders>
            <w:shd w:val="clear" w:color="auto" w:fill="auto"/>
            <w:vAlign w:val="center"/>
            <w:hideMark/>
          </w:tcPr>
          <w:p w14:paraId="7560239C"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i/>
                <w:iCs/>
              </w:rPr>
              <w:t>102,39</w:t>
            </w:r>
          </w:p>
        </w:tc>
      </w:tr>
      <w:tr w:rsidR="00E47AA9" w:rsidRPr="00E47AA9" w14:paraId="6C559B62" w14:textId="77777777" w:rsidTr="00353702">
        <w:trPr>
          <w:trHeight w:val="51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A76BAE4" w14:textId="77777777" w:rsidR="00A441A6" w:rsidRPr="00E47AA9" w:rsidRDefault="00A441A6" w:rsidP="00353702">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безвозмездные поступления</w:t>
            </w:r>
          </w:p>
        </w:tc>
        <w:tc>
          <w:tcPr>
            <w:tcW w:w="1480" w:type="dxa"/>
            <w:tcBorders>
              <w:top w:val="nil"/>
              <w:left w:val="nil"/>
              <w:bottom w:val="single" w:sz="8" w:space="0" w:color="auto"/>
              <w:right w:val="single" w:sz="8" w:space="0" w:color="auto"/>
            </w:tcBorders>
            <w:shd w:val="clear" w:color="auto" w:fill="auto"/>
            <w:vAlign w:val="center"/>
            <w:hideMark/>
          </w:tcPr>
          <w:p w14:paraId="57EC6E21" w14:textId="77777777" w:rsidR="00A441A6" w:rsidRPr="00E47AA9" w:rsidRDefault="00A441A6" w:rsidP="00353702">
            <w:pPr>
              <w:spacing w:after="0" w:line="240" w:lineRule="auto"/>
              <w:jc w:val="right"/>
              <w:rPr>
                <w:rFonts w:ascii="Times New Roman" w:eastAsia="Times New Roman" w:hAnsi="Times New Roman" w:cs="Times New Roman"/>
                <w:i/>
                <w:iCs/>
                <w:sz w:val="20"/>
                <w:szCs w:val="20"/>
                <w:lang w:eastAsia="ru-RU"/>
              </w:rPr>
            </w:pPr>
            <w:r w:rsidRPr="00E47AA9">
              <w:rPr>
                <w:rFonts w:ascii="Times New Roman" w:hAnsi="Times New Roman" w:cs="Times New Roman"/>
                <w:i/>
                <w:iCs/>
              </w:rPr>
              <w:t>38 174,62</w:t>
            </w:r>
          </w:p>
        </w:tc>
        <w:tc>
          <w:tcPr>
            <w:tcW w:w="1660" w:type="dxa"/>
            <w:tcBorders>
              <w:top w:val="nil"/>
              <w:left w:val="nil"/>
              <w:bottom w:val="single" w:sz="8" w:space="0" w:color="auto"/>
              <w:right w:val="single" w:sz="8" w:space="0" w:color="auto"/>
            </w:tcBorders>
            <w:shd w:val="clear" w:color="auto" w:fill="auto"/>
            <w:vAlign w:val="center"/>
            <w:hideMark/>
          </w:tcPr>
          <w:p w14:paraId="2449D5C3"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i/>
                <w:iCs/>
              </w:rPr>
              <w:t>1 773,65</w:t>
            </w:r>
          </w:p>
        </w:tc>
        <w:tc>
          <w:tcPr>
            <w:tcW w:w="1560" w:type="dxa"/>
            <w:tcBorders>
              <w:top w:val="nil"/>
              <w:left w:val="nil"/>
              <w:bottom w:val="single" w:sz="8" w:space="0" w:color="auto"/>
              <w:right w:val="single" w:sz="8" w:space="0" w:color="auto"/>
            </w:tcBorders>
            <w:shd w:val="clear" w:color="auto" w:fill="auto"/>
            <w:vAlign w:val="center"/>
            <w:hideMark/>
          </w:tcPr>
          <w:p w14:paraId="3F9A514A"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i/>
                <w:iCs/>
              </w:rPr>
              <w:t>0,00</w:t>
            </w:r>
          </w:p>
        </w:tc>
        <w:tc>
          <w:tcPr>
            <w:tcW w:w="1300" w:type="dxa"/>
            <w:tcBorders>
              <w:top w:val="nil"/>
              <w:left w:val="nil"/>
              <w:bottom w:val="single" w:sz="8" w:space="0" w:color="auto"/>
              <w:right w:val="single" w:sz="8" w:space="0" w:color="auto"/>
            </w:tcBorders>
            <w:shd w:val="clear" w:color="auto" w:fill="auto"/>
            <w:vAlign w:val="center"/>
            <w:hideMark/>
          </w:tcPr>
          <w:p w14:paraId="1E2D473F" w14:textId="77777777" w:rsidR="00A441A6" w:rsidRPr="00E47AA9" w:rsidRDefault="00A441A6" w:rsidP="00353702">
            <w:pPr>
              <w:spacing w:after="0" w:line="240" w:lineRule="auto"/>
              <w:jc w:val="right"/>
              <w:rPr>
                <w:rFonts w:ascii="Times New Roman" w:eastAsia="Times New Roman" w:hAnsi="Times New Roman" w:cs="Times New Roman"/>
                <w:i/>
                <w:iCs/>
                <w:sz w:val="20"/>
                <w:szCs w:val="20"/>
                <w:lang w:eastAsia="ru-RU"/>
              </w:rPr>
            </w:pPr>
            <w:r w:rsidRPr="00E47AA9">
              <w:rPr>
                <w:rFonts w:ascii="Times New Roman" w:hAnsi="Times New Roman" w:cs="Times New Roman"/>
                <w:i/>
                <w:iCs/>
              </w:rPr>
              <w:t>38 597,82</w:t>
            </w:r>
          </w:p>
        </w:tc>
        <w:tc>
          <w:tcPr>
            <w:tcW w:w="1229" w:type="dxa"/>
            <w:tcBorders>
              <w:top w:val="nil"/>
              <w:left w:val="nil"/>
              <w:bottom w:val="single" w:sz="8" w:space="0" w:color="auto"/>
              <w:right w:val="single" w:sz="8" w:space="0" w:color="auto"/>
            </w:tcBorders>
            <w:shd w:val="clear" w:color="auto" w:fill="auto"/>
            <w:vAlign w:val="center"/>
            <w:hideMark/>
          </w:tcPr>
          <w:p w14:paraId="4A12FAAD"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i/>
                <w:iCs/>
              </w:rPr>
              <w:t>423,20</w:t>
            </w:r>
          </w:p>
        </w:tc>
        <w:tc>
          <w:tcPr>
            <w:tcW w:w="964" w:type="dxa"/>
            <w:tcBorders>
              <w:top w:val="nil"/>
              <w:left w:val="nil"/>
              <w:bottom w:val="single" w:sz="8" w:space="0" w:color="auto"/>
              <w:right w:val="single" w:sz="8" w:space="0" w:color="auto"/>
            </w:tcBorders>
            <w:shd w:val="clear" w:color="auto" w:fill="auto"/>
            <w:vAlign w:val="center"/>
            <w:hideMark/>
          </w:tcPr>
          <w:p w14:paraId="5527A0EE"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i/>
                <w:iCs/>
              </w:rPr>
              <w:t>101,11</w:t>
            </w:r>
          </w:p>
        </w:tc>
      </w:tr>
      <w:tr w:rsidR="00E47AA9" w:rsidRPr="00E47AA9" w14:paraId="7974ADCC" w14:textId="77777777" w:rsidTr="00353702">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2B36DF09"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Расходы</w:t>
            </w:r>
          </w:p>
        </w:tc>
        <w:tc>
          <w:tcPr>
            <w:tcW w:w="1480" w:type="dxa"/>
            <w:tcBorders>
              <w:top w:val="nil"/>
              <w:left w:val="nil"/>
              <w:bottom w:val="single" w:sz="8" w:space="0" w:color="auto"/>
              <w:right w:val="single" w:sz="8" w:space="0" w:color="auto"/>
            </w:tcBorders>
            <w:shd w:val="clear" w:color="000000" w:fill="FFFFFF"/>
            <w:vAlign w:val="center"/>
            <w:hideMark/>
          </w:tcPr>
          <w:p w14:paraId="73172D6A"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rPr>
              <w:t>245 684,26</w:t>
            </w:r>
          </w:p>
        </w:tc>
        <w:tc>
          <w:tcPr>
            <w:tcW w:w="1660" w:type="dxa"/>
            <w:tcBorders>
              <w:top w:val="nil"/>
              <w:left w:val="nil"/>
              <w:bottom w:val="single" w:sz="8" w:space="0" w:color="auto"/>
              <w:right w:val="single" w:sz="8" w:space="0" w:color="auto"/>
            </w:tcBorders>
            <w:shd w:val="clear" w:color="auto" w:fill="auto"/>
            <w:vAlign w:val="center"/>
            <w:hideMark/>
          </w:tcPr>
          <w:p w14:paraId="5B3630D8"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rPr>
              <w:t>15 613,71</w:t>
            </w:r>
          </w:p>
        </w:tc>
        <w:tc>
          <w:tcPr>
            <w:tcW w:w="1560" w:type="dxa"/>
            <w:tcBorders>
              <w:top w:val="nil"/>
              <w:left w:val="nil"/>
              <w:bottom w:val="single" w:sz="8" w:space="0" w:color="auto"/>
              <w:right w:val="single" w:sz="8" w:space="0" w:color="auto"/>
            </w:tcBorders>
            <w:shd w:val="clear" w:color="auto" w:fill="auto"/>
            <w:vAlign w:val="center"/>
            <w:hideMark/>
          </w:tcPr>
          <w:p w14:paraId="48FCB9B1"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rPr>
              <w:t>754,34</w:t>
            </w:r>
          </w:p>
        </w:tc>
        <w:tc>
          <w:tcPr>
            <w:tcW w:w="1300" w:type="dxa"/>
            <w:tcBorders>
              <w:top w:val="nil"/>
              <w:left w:val="nil"/>
              <w:bottom w:val="single" w:sz="8" w:space="0" w:color="auto"/>
              <w:right w:val="single" w:sz="8" w:space="0" w:color="auto"/>
            </w:tcBorders>
            <w:shd w:val="clear" w:color="auto" w:fill="auto"/>
            <w:vAlign w:val="center"/>
            <w:hideMark/>
          </w:tcPr>
          <w:p w14:paraId="226C925F"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rPr>
              <w:t>236 994,68</w:t>
            </w:r>
          </w:p>
        </w:tc>
        <w:tc>
          <w:tcPr>
            <w:tcW w:w="1229" w:type="dxa"/>
            <w:tcBorders>
              <w:top w:val="nil"/>
              <w:left w:val="nil"/>
              <w:bottom w:val="single" w:sz="8" w:space="0" w:color="auto"/>
              <w:right w:val="single" w:sz="8" w:space="0" w:color="auto"/>
            </w:tcBorders>
            <w:shd w:val="clear" w:color="auto" w:fill="auto"/>
            <w:vAlign w:val="center"/>
            <w:hideMark/>
          </w:tcPr>
          <w:p w14:paraId="3A37FC89"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rPr>
              <w:t>-8 689,58</w:t>
            </w:r>
          </w:p>
        </w:tc>
        <w:tc>
          <w:tcPr>
            <w:tcW w:w="964" w:type="dxa"/>
            <w:tcBorders>
              <w:top w:val="nil"/>
              <w:left w:val="nil"/>
              <w:bottom w:val="single" w:sz="8" w:space="0" w:color="auto"/>
              <w:right w:val="single" w:sz="8" w:space="0" w:color="auto"/>
            </w:tcBorders>
            <w:shd w:val="clear" w:color="auto" w:fill="auto"/>
            <w:vAlign w:val="center"/>
            <w:hideMark/>
          </w:tcPr>
          <w:p w14:paraId="10DFEC30"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rPr>
              <w:t>96,46</w:t>
            </w:r>
          </w:p>
        </w:tc>
      </w:tr>
      <w:tr w:rsidR="00E47AA9" w:rsidRPr="00E47AA9" w14:paraId="54174D1F" w14:textId="77777777" w:rsidTr="00353702">
        <w:trPr>
          <w:trHeight w:val="51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C3C6C70"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Профицит (+), Дефицит (-)</w:t>
            </w:r>
          </w:p>
        </w:tc>
        <w:tc>
          <w:tcPr>
            <w:tcW w:w="1480" w:type="dxa"/>
            <w:tcBorders>
              <w:top w:val="nil"/>
              <w:left w:val="nil"/>
              <w:bottom w:val="single" w:sz="8" w:space="0" w:color="auto"/>
              <w:right w:val="single" w:sz="8" w:space="0" w:color="auto"/>
            </w:tcBorders>
            <w:shd w:val="clear" w:color="auto" w:fill="auto"/>
            <w:vAlign w:val="center"/>
            <w:hideMark/>
          </w:tcPr>
          <w:p w14:paraId="0518CBF3"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rPr>
              <w:t>20 516,68</w:t>
            </w:r>
          </w:p>
        </w:tc>
        <w:tc>
          <w:tcPr>
            <w:tcW w:w="1660" w:type="dxa"/>
            <w:tcBorders>
              <w:top w:val="nil"/>
              <w:left w:val="nil"/>
              <w:bottom w:val="single" w:sz="8" w:space="0" w:color="auto"/>
              <w:right w:val="single" w:sz="8" w:space="0" w:color="auto"/>
            </w:tcBorders>
            <w:shd w:val="clear" w:color="auto" w:fill="auto"/>
            <w:vAlign w:val="center"/>
            <w:hideMark/>
          </w:tcPr>
          <w:p w14:paraId="2354D2CA"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rPr>
              <w:t>3 448,34</w:t>
            </w:r>
          </w:p>
        </w:tc>
        <w:tc>
          <w:tcPr>
            <w:tcW w:w="1560" w:type="dxa"/>
            <w:tcBorders>
              <w:top w:val="nil"/>
              <w:left w:val="nil"/>
              <w:bottom w:val="single" w:sz="8" w:space="0" w:color="auto"/>
              <w:right w:val="single" w:sz="8" w:space="0" w:color="auto"/>
            </w:tcBorders>
            <w:shd w:val="clear" w:color="auto" w:fill="auto"/>
            <w:vAlign w:val="center"/>
            <w:hideMark/>
          </w:tcPr>
          <w:p w14:paraId="08275AFD"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rPr>
              <w:t>0,00</w:t>
            </w:r>
          </w:p>
        </w:tc>
        <w:tc>
          <w:tcPr>
            <w:tcW w:w="1300" w:type="dxa"/>
            <w:tcBorders>
              <w:top w:val="nil"/>
              <w:left w:val="nil"/>
              <w:bottom w:val="single" w:sz="8" w:space="0" w:color="auto"/>
              <w:right w:val="single" w:sz="8" w:space="0" w:color="auto"/>
            </w:tcBorders>
            <w:shd w:val="clear" w:color="auto" w:fill="auto"/>
            <w:vAlign w:val="center"/>
            <w:hideMark/>
          </w:tcPr>
          <w:p w14:paraId="68DA59F3"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rPr>
              <w:t>7 710,13</w:t>
            </w:r>
          </w:p>
        </w:tc>
        <w:tc>
          <w:tcPr>
            <w:tcW w:w="1229" w:type="dxa"/>
            <w:tcBorders>
              <w:top w:val="nil"/>
              <w:left w:val="nil"/>
              <w:bottom w:val="single" w:sz="8" w:space="0" w:color="auto"/>
              <w:right w:val="single" w:sz="8" w:space="0" w:color="auto"/>
            </w:tcBorders>
            <w:shd w:val="clear" w:color="auto" w:fill="auto"/>
            <w:vAlign w:val="center"/>
            <w:hideMark/>
          </w:tcPr>
          <w:p w14:paraId="1BB9A867"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hAnsi="Times New Roman" w:cs="Times New Roman"/>
              </w:rPr>
              <w:t>х</w:t>
            </w:r>
          </w:p>
        </w:tc>
        <w:tc>
          <w:tcPr>
            <w:tcW w:w="964" w:type="dxa"/>
            <w:tcBorders>
              <w:top w:val="nil"/>
              <w:left w:val="nil"/>
              <w:bottom w:val="single" w:sz="8" w:space="0" w:color="auto"/>
              <w:right w:val="single" w:sz="8" w:space="0" w:color="auto"/>
            </w:tcBorders>
            <w:shd w:val="clear" w:color="auto" w:fill="auto"/>
            <w:vAlign w:val="center"/>
            <w:hideMark/>
          </w:tcPr>
          <w:p w14:paraId="3C7E4B30"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hAnsi="Times New Roman" w:cs="Times New Roman"/>
              </w:rPr>
              <w:t>х</w:t>
            </w:r>
          </w:p>
        </w:tc>
      </w:tr>
    </w:tbl>
    <w:p w14:paraId="1CF6928E"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p>
    <w:p w14:paraId="3A610177"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2024 году российская экономика продолжает функционировать в условиях санкционного давления со стороны недружественных стран, начавшегося в 2022 году и сохраняющегося на протяжении всего предыдущего года. Несмотря на сохраняющиеся внешние вызовы и постоянную адаптацию к меняющимся геополитическим реалиям, экономика России в целом</w:t>
      </w:r>
      <w:r w:rsidR="008335CD"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как и экономика Приморского края в частности</w:t>
      </w:r>
      <w:r w:rsidR="008335CD" w:rsidRPr="00E47AA9">
        <w:rPr>
          <w:rFonts w:ascii="Times New Roman" w:eastAsia="Times New Roman" w:hAnsi="Times New Roman" w:cs="Times New Roman"/>
          <w:sz w:val="28"/>
          <w:szCs w:val="28"/>
          <w:lang w:eastAsia="ru-RU"/>
        </w:rPr>
        <w:t>,</w:t>
      </w:r>
      <w:r w:rsidR="0021363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демонстрирует устойчивость и способность к приспособлению.</w:t>
      </w:r>
    </w:p>
    <w:p w14:paraId="36820EB1"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Анализ динамики поступивших доходов краевого бюджета за 2020-2024 годы демонстрирует устойчивый рост поступлений в абсолютном выражении. Наблюдается положительная динамика на протяжении всего рассматриваемого периода: +8,06 % в 2020 году, +15,98 % в 2021 году, +13,70 % в 2022 году, +15,57 % в 2023 году. Однако в 2024 году темпы роста </w:t>
      </w:r>
      <w:r w:rsidRPr="00E47AA9">
        <w:rPr>
          <w:rFonts w:ascii="Times New Roman" w:eastAsia="Times New Roman" w:hAnsi="Times New Roman" w:cs="Times New Roman"/>
          <w:sz w:val="28"/>
          <w:szCs w:val="28"/>
          <w:lang w:eastAsia="ru-RU"/>
        </w:rPr>
        <w:lastRenderedPageBreak/>
        <w:t>замедлились до +3,88 %, что связано с продолжающейся адаптацией к действующим реалиям. При этом снижение доли безвозмездных поступлений с 22,77 % до 16,83 % указывает на повышение самостоятельности и финансовой устойчивости краевого бюджета.</w:t>
      </w:r>
    </w:p>
    <w:p w14:paraId="367A7BAF"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Структура доходов краевого бюджета характеризуется преобладанием налоговых и неналоговых поступлений. Их доля увеличилась с 77,23 % в 2023 году до 83,17</w:t>
      </w:r>
      <w:r w:rsidR="008335CD"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в 2024 году.</w:t>
      </w:r>
    </w:p>
    <w:p w14:paraId="13E7CB2F"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Рост расходов краевого бюджета в 2024 году составил 8,38 %, что незначительно ниже уровня предыдущего года (8,82</w:t>
      </w:r>
      <w:r w:rsidR="00884D6B"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 </w:t>
      </w:r>
    </w:p>
    <w:p w14:paraId="3E6A7F0D"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Несмотря на дефицит бюджета в 2024 году, его размер меньше, чем в аналогичные "дефицитные" периоды 2020 и 2022 годов. Полагаем, что это положительный сигнал, указывающий на улучшение бюджетной дисциплины и контроля над бюджетным процессом.</w:t>
      </w:r>
    </w:p>
    <w:p w14:paraId="1698D950"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Сравнительный анализ исполнения краевого бюджета за 2020-2024 годы представлен в таблице.</w:t>
      </w:r>
    </w:p>
    <w:p w14:paraId="00D57F66" w14:textId="77777777" w:rsidR="00A441A6" w:rsidRPr="00E47AA9" w:rsidRDefault="00884D6B" w:rsidP="00690A1A">
      <w:pPr>
        <w:spacing w:after="0" w:line="240" w:lineRule="auto"/>
        <w:ind w:left="-709"/>
        <w:jc w:val="center"/>
        <w:rPr>
          <w:rFonts w:ascii="Times New Roman" w:eastAsia="Times New Roman" w:hAnsi="Times New Roman" w:cs="Times New Roman"/>
          <w:sz w:val="28"/>
          <w:szCs w:val="28"/>
          <w:lang w:eastAsia="ru-RU"/>
        </w:rPr>
      </w:pPr>
      <w:r w:rsidRPr="00E47AA9">
        <w:rPr>
          <w:rFonts w:ascii="Times New Roman" w:hAnsi="Times New Roman" w:cs="Times New Roman"/>
          <w:noProof/>
          <w:lang w:eastAsia="ru-RU"/>
        </w:rPr>
        <w:drawing>
          <wp:inline distT="0" distB="0" distL="0" distR="0" wp14:anchorId="1F123610" wp14:editId="18B0BD36">
            <wp:extent cx="6662834" cy="2353945"/>
            <wp:effectExtent l="0" t="0" r="5080" b="825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785703" cy="2397354"/>
                    </a:xfrm>
                    <a:prstGeom prst="rect">
                      <a:avLst/>
                    </a:prstGeom>
                    <a:noFill/>
                    <a:ln>
                      <a:noFill/>
                    </a:ln>
                  </pic:spPr>
                </pic:pic>
              </a:graphicData>
            </a:graphic>
          </wp:inline>
        </w:drawing>
      </w:r>
    </w:p>
    <w:p w14:paraId="19851B69" w14:textId="77777777" w:rsidR="00A441A6" w:rsidRPr="00E47AA9" w:rsidRDefault="00A441A6" w:rsidP="00A441A6">
      <w:pPr>
        <w:spacing w:after="0" w:line="240" w:lineRule="auto"/>
        <w:jc w:val="center"/>
        <w:rPr>
          <w:rFonts w:ascii="Times New Roman" w:eastAsia="Times New Roman" w:hAnsi="Times New Roman" w:cs="Times New Roman"/>
          <w:sz w:val="28"/>
          <w:szCs w:val="28"/>
          <w:lang w:eastAsia="ru-RU"/>
        </w:rPr>
      </w:pPr>
    </w:p>
    <w:p w14:paraId="22795D32"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4. ДОХОДЫ КРАЕВОГО БЮДЖЕТА</w:t>
      </w:r>
    </w:p>
    <w:p w14:paraId="24F9022C" w14:textId="77777777" w:rsidR="00A441A6" w:rsidRPr="00E47AA9" w:rsidRDefault="00A441A6"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В ходе исполнения краевого бюджета первоначальный объем бюджетных назначений на 2024 год по доходам в результате корректировок в Закон № 495-КЗ увеличен на 11411,03 млн рублей, или на 5,36 %, и составил 224413,24 млн рублей</w:t>
      </w:r>
      <w:r w:rsidR="00884D6B"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в том числе:</w:t>
      </w:r>
    </w:p>
    <w:p w14:paraId="7FD51A40" w14:textId="77777777" w:rsidR="00A441A6" w:rsidRPr="00E47AA9" w:rsidRDefault="00A441A6"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по налоговым и неналоговым доходам – на 5,46 %, или на 9637,39 млн рублей, в результате внесения трех изменений (с 176601,23 млн рублей до 186238,62 млн рублей);</w:t>
      </w:r>
    </w:p>
    <w:p w14:paraId="2D5CFDA7" w14:textId="77777777" w:rsidR="00A441A6" w:rsidRPr="00E47AA9" w:rsidRDefault="00884D6B"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по безвозмездным поступлениям –</w:t>
      </w:r>
      <w:r w:rsidR="00A441A6" w:rsidRPr="00E47AA9">
        <w:rPr>
          <w:rFonts w:ascii="Times New Roman" w:eastAsia="Calibri" w:hAnsi="Times New Roman" w:cs="Times New Roman"/>
          <w:sz w:val="28"/>
          <w:szCs w:val="28"/>
        </w:rPr>
        <w:t xml:space="preserve"> на 4,87 %, или на </w:t>
      </w:r>
      <w:r w:rsidR="00A441A6" w:rsidRPr="00E47AA9">
        <w:rPr>
          <w:rFonts w:ascii="Times New Roman" w:eastAsia="Calibri" w:hAnsi="Times New Roman" w:cs="Times New Roman"/>
          <w:sz w:val="28"/>
          <w:szCs w:val="28"/>
        </w:rPr>
        <w:br/>
        <w:t xml:space="preserve">1773,65 млн рублей, за счет шести изменений (с 36400,98 млн рублей до </w:t>
      </w:r>
      <w:r w:rsidR="00A441A6" w:rsidRPr="00E47AA9">
        <w:rPr>
          <w:rFonts w:ascii="Times New Roman" w:eastAsia="Calibri" w:hAnsi="Times New Roman" w:cs="Times New Roman"/>
          <w:sz w:val="28"/>
          <w:szCs w:val="28"/>
        </w:rPr>
        <w:br/>
        <w:t>38174,62 млн рублей).</w:t>
      </w:r>
    </w:p>
    <w:p w14:paraId="637BBD38" w14:textId="77777777" w:rsidR="00A441A6" w:rsidRPr="00E47AA9" w:rsidRDefault="00A441A6"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В отчетном году доходы поступили в общей сумме 229284,55 млн рублей, или 102,17 % от законодательно утвержденных плановых назначений (224413,24 млн рублей), в том числе налоговые и неналоговые доходы – 190686,73 млн рублей, или 102,39 % от плана, безвозмездные поступления – 38597,82 млн рублей, или 101,11 %.</w:t>
      </w:r>
    </w:p>
    <w:p w14:paraId="1D16E71C" w14:textId="77777777" w:rsidR="00A441A6" w:rsidRPr="00E47AA9" w:rsidRDefault="00A441A6"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lastRenderedPageBreak/>
        <w:t>В 2024 году по сравнению с предыдущим годом доходная часть краевого бюджета в абсолютном значении увеличилась на 3,88 %, или на 8571,04 млн рублей (за 2023 год поступило 220713,51 млн рублей), в том числе налоговые и неналоговые доходы увеличились на 20232,77 млн рублей, безвозмездные поступления снизились на 11661,73 млн рублей.</w:t>
      </w:r>
    </w:p>
    <w:p w14:paraId="12ACE7E1"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Сравнительный анализ исполнения доходов краевого бюджета за </w:t>
      </w:r>
      <w:r w:rsidRPr="00E47AA9">
        <w:rPr>
          <w:rFonts w:ascii="Times New Roman" w:eastAsia="Times New Roman" w:hAnsi="Times New Roman" w:cs="Times New Roman"/>
          <w:sz w:val="28"/>
          <w:szCs w:val="28"/>
          <w:lang w:eastAsia="ru-RU"/>
        </w:rPr>
        <w:br/>
        <w:t>2021</w:t>
      </w:r>
      <w:r w:rsidR="00884D6B"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w:t>
      </w:r>
      <w:r w:rsidR="00884D6B"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2024 годы, а также утвержденные плановые бюджетные назначения на 2025 год</w:t>
      </w:r>
      <w:r w:rsidRPr="00E47AA9">
        <w:rPr>
          <w:rFonts w:ascii="Times New Roman" w:eastAsia="Times New Roman" w:hAnsi="Times New Roman" w:cs="Times New Roman"/>
          <w:sz w:val="28"/>
          <w:szCs w:val="28"/>
          <w:vertAlign w:val="superscript"/>
          <w:lang w:eastAsia="ru-RU"/>
        </w:rPr>
        <w:footnoteReference w:id="21"/>
      </w:r>
      <w:r w:rsidRPr="00E47AA9">
        <w:rPr>
          <w:rFonts w:ascii="Times New Roman" w:eastAsia="Times New Roman" w:hAnsi="Times New Roman" w:cs="Times New Roman"/>
          <w:sz w:val="28"/>
          <w:szCs w:val="28"/>
          <w:lang w:eastAsia="ru-RU"/>
        </w:rPr>
        <w:t xml:space="preserve"> представлены на диаграмме.</w:t>
      </w:r>
    </w:p>
    <w:p w14:paraId="08AD2752" w14:textId="77777777" w:rsidR="00A441A6" w:rsidRPr="00E47AA9" w:rsidRDefault="00A441A6" w:rsidP="00A441A6">
      <w:pPr>
        <w:spacing w:after="0" w:line="240" w:lineRule="auto"/>
        <w:ind w:firstLine="142"/>
        <w:rPr>
          <w:rFonts w:ascii="Times New Roman" w:eastAsia="Calibri" w:hAnsi="Times New Roman" w:cs="Times New Roman"/>
          <w:sz w:val="28"/>
          <w:szCs w:val="28"/>
        </w:rPr>
      </w:pPr>
      <w:r w:rsidRPr="00E47AA9">
        <w:rPr>
          <w:rFonts w:ascii="Times New Roman" w:hAnsi="Times New Roman" w:cs="Times New Roman"/>
          <w:noProof/>
          <w:lang w:eastAsia="ru-RU"/>
          <w14:ligatures w14:val="standardContextual"/>
        </w:rPr>
        <w:drawing>
          <wp:inline distT="0" distB="0" distL="0" distR="0" wp14:anchorId="4F579057" wp14:editId="6D493DA2">
            <wp:extent cx="5600700" cy="2695575"/>
            <wp:effectExtent l="0" t="0" r="0" b="0"/>
            <wp:docPr id="886296680"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5CA1DB2" w14:textId="77777777" w:rsidR="00A441A6" w:rsidRPr="00E47AA9" w:rsidRDefault="00A441A6" w:rsidP="00A441A6">
      <w:pPr>
        <w:spacing w:after="0" w:line="240" w:lineRule="auto"/>
        <w:ind w:firstLine="709"/>
        <w:jc w:val="center"/>
        <w:rPr>
          <w:rFonts w:ascii="Times New Roman" w:eastAsia="Times New Roman" w:hAnsi="Times New Roman" w:cs="Times New Roman"/>
          <w:b/>
          <w:sz w:val="28"/>
          <w:szCs w:val="28"/>
          <w:lang w:eastAsia="ru-RU"/>
        </w:rPr>
      </w:pPr>
    </w:p>
    <w:p w14:paraId="65E23C9C" w14:textId="77777777" w:rsidR="00A441A6" w:rsidRPr="00E47AA9" w:rsidRDefault="00A441A6" w:rsidP="00081AC1">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4.1. Налоговые и неналоговые доходы</w:t>
      </w:r>
    </w:p>
    <w:p w14:paraId="333C0BC2" w14:textId="77048CBE" w:rsidR="00A441A6" w:rsidRPr="00E47AA9" w:rsidRDefault="00A441A6"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Исполнение налоговых и неналоговых доходов за 2024 год составило 190686,73 млн рублей, или 102,39 %. Доля таковых в общем объеме поступивших доходов увеличилась до 83,17 % (в 2023 году 77,23 %).</w:t>
      </w:r>
    </w:p>
    <w:p w14:paraId="219BD836" w14:textId="77777777" w:rsidR="00A441A6" w:rsidRPr="00E47AA9" w:rsidRDefault="00A441A6"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В 2024 году </w:t>
      </w:r>
      <w:r w:rsidRPr="00E47AA9">
        <w:rPr>
          <w:rFonts w:ascii="Times New Roman" w:eastAsia="Calibri" w:hAnsi="Times New Roman" w:cs="Times New Roman"/>
          <w:i/>
          <w:sz w:val="28"/>
          <w:szCs w:val="28"/>
        </w:rPr>
        <w:t>перевыполнение</w:t>
      </w:r>
      <w:r w:rsidRPr="00E47AA9">
        <w:rPr>
          <w:rFonts w:ascii="Times New Roman" w:eastAsia="Calibri" w:hAnsi="Times New Roman" w:cs="Times New Roman"/>
          <w:sz w:val="28"/>
          <w:szCs w:val="28"/>
        </w:rPr>
        <w:t xml:space="preserve"> налоговых и неналоговых доходов сложилось в общем объеме 4536,56 млн рублей, из них по: </w:t>
      </w:r>
    </w:p>
    <w:p w14:paraId="72C25513" w14:textId="77777777" w:rsidR="00A441A6" w:rsidRPr="00E47AA9" w:rsidRDefault="00A441A6"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налогу на прибыль организаций – на 1275,21 млн рублей (поступило 49956,67 млн рублей, или 102,62 % от плана 48681,46 млн рублей);</w:t>
      </w:r>
    </w:p>
    <w:p w14:paraId="2446A25B" w14:textId="77777777" w:rsidR="00A441A6" w:rsidRPr="00E47AA9" w:rsidRDefault="00A441A6"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налогу на доходы физических лиц – на 1790,58 млн рублей (при плане 71173,51 млн рублей поступило 72964,09 млн рублей, или 102,52 %);</w:t>
      </w:r>
    </w:p>
    <w:p w14:paraId="44CF38A0" w14:textId="77777777" w:rsidR="00A441A6" w:rsidRPr="00E47AA9" w:rsidRDefault="00A441A6"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налогу на имущество организаций – на 233,57 млн рублей (при плане 14831,41 млн рублей поступило 15064,98 млн рублей, или 101,57 %);</w:t>
      </w:r>
    </w:p>
    <w:p w14:paraId="5CBC3B79" w14:textId="77777777" w:rsidR="00A441A6" w:rsidRPr="00E47AA9" w:rsidRDefault="00A441A6"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транспортному налогу – на 129,09 млн рублей (при плане 2342,24 млн рублей поступило 2471,33 млн рублей, или 129,09 %);</w:t>
      </w:r>
    </w:p>
    <w:p w14:paraId="3C4279A2" w14:textId="10AE154C"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сборам за пользование объектами животного мира и за пользование объектами водных биологических ресурсов – на 427,09 млн рублей, или на 16,40 % больше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2604,65 млн рублей, поступило 3031,74 млн рублей);</w:t>
      </w:r>
    </w:p>
    <w:p w14:paraId="5D410C2C" w14:textId="530D4BC3" w:rsidR="00A441A6" w:rsidRPr="00E47AA9" w:rsidRDefault="00A441A6"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доходам от компенсации затрат государства – на 395,37 млн рублей, или на 73,43 % (план </w:t>
      </w:r>
      <w:r w:rsidR="001D6C53"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538,43 млн рублей, поступило 933,80 млн рублей);</w:t>
      </w:r>
    </w:p>
    <w:p w14:paraId="237CE966" w14:textId="33F89131" w:rsidR="00A441A6" w:rsidRPr="00E47AA9" w:rsidRDefault="00A441A6"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lastRenderedPageBreak/>
        <w:t xml:space="preserve">штрафам, санкциям, возмещению ущерба – на 202,37 млн рублей, или на 7,99 % (план </w:t>
      </w:r>
      <w:r w:rsidR="001D6C53"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2531,65 </w:t>
      </w:r>
      <w:r w:rsidR="006351CF" w:rsidRPr="00E47AA9">
        <w:rPr>
          <w:rFonts w:ascii="Times New Roman" w:eastAsia="Calibri" w:hAnsi="Times New Roman" w:cs="Times New Roman"/>
          <w:sz w:val="28"/>
          <w:szCs w:val="28"/>
        </w:rPr>
        <w:t>млн</w:t>
      </w:r>
      <w:r w:rsidRPr="00E47AA9">
        <w:rPr>
          <w:rFonts w:ascii="Times New Roman" w:eastAsia="Calibri" w:hAnsi="Times New Roman" w:cs="Times New Roman"/>
          <w:sz w:val="28"/>
          <w:szCs w:val="28"/>
        </w:rPr>
        <w:t xml:space="preserve"> рублей, поступило 2734,01</w:t>
      </w:r>
      <w:r w:rsidR="006351CF" w:rsidRPr="00E47AA9">
        <w:rPr>
          <w:rFonts w:ascii="Times New Roman" w:eastAsia="Calibri" w:hAnsi="Times New Roman" w:cs="Times New Roman"/>
          <w:sz w:val="28"/>
          <w:szCs w:val="28"/>
        </w:rPr>
        <w:t xml:space="preserve"> млн</w:t>
      </w:r>
      <w:r w:rsidRPr="00E47AA9">
        <w:rPr>
          <w:rFonts w:ascii="Times New Roman" w:eastAsia="Calibri" w:hAnsi="Times New Roman" w:cs="Times New Roman"/>
          <w:sz w:val="28"/>
          <w:szCs w:val="28"/>
        </w:rPr>
        <w:t xml:space="preserve"> рублей);</w:t>
      </w:r>
    </w:p>
    <w:p w14:paraId="0A12B9BC" w14:textId="77777777" w:rsidR="00A441A6" w:rsidRPr="00E47AA9" w:rsidRDefault="00A441A6"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i/>
          <w:sz w:val="28"/>
          <w:szCs w:val="28"/>
        </w:rPr>
        <w:t>Не исполнены</w:t>
      </w:r>
      <w:r w:rsidRPr="00E47AA9">
        <w:rPr>
          <w:rFonts w:ascii="Times New Roman" w:eastAsia="Calibri" w:hAnsi="Times New Roman" w:cs="Times New Roman"/>
          <w:sz w:val="28"/>
          <w:szCs w:val="28"/>
        </w:rPr>
        <w:t xml:space="preserve"> налоговые и неналоговые доходы в общем объеме 88,45 млн рублей, из них по:</w:t>
      </w:r>
    </w:p>
    <w:p w14:paraId="0B6C264F" w14:textId="6F238054"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акцизам по подакцизным товарам (продукции) – на 23,51 млн рублей, или на 0,14 % меньше, чем запланировано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17219,47 млн рублей, поступило 17195,96 млн рублей);</w:t>
      </w:r>
    </w:p>
    <w:p w14:paraId="4F066357" w14:textId="77777777" w:rsidR="00A441A6" w:rsidRPr="00E47AA9" w:rsidRDefault="00A441A6"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налогу, взимаемому в связи с применением упрощенной системы налогообложения, – на 42,59 млн рублей, или на 0,21 % меньше, чем планировалось (план 20428,60 млн рублей, исполнено 20386,01 млн рублей);</w:t>
      </w:r>
    </w:p>
    <w:p w14:paraId="431DD4C0"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государственной пошлине – на 18,74 млн рублей, или на 4,42 % меньше плана (план – 424,01 млн рублей, поступило 405,27 млн рублей). </w:t>
      </w:r>
    </w:p>
    <w:p w14:paraId="6A77A2EA" w14:textId="3534A3E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плате за пользование лесов – на 3,29 млн рублей, или на 0,48 % меньше плана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689,57 млн рублей, поступило 686,28 млн рублей).</w:t>
      </w:r>
    </w:p>
    <w:p w14:paraId="0AB1CAB2" w14:textId="77777777" w:rsidR="00A441A6" w:rsidRPr="00E47AA9" w:rsidRDefault="00A441A6" w:rsidP="00A441A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Структура и исполнение плановых назначений по налоговым и неналоговым доходам краевого бюджета за 2024 год приведены в таблице. </w:t>
      </w:r>
    </w:p>
    <w:p w14:paraId="61B9C06A" w14:textId="77777777" w:rsidR="00A441A6" w:rsidRPr="00E47AA9" w:rsidRDefault="00A441A6" w:rsidP="00A441A6">
      <w:pPr>
        <w:spacing w:after="0" w:line="240" w:lineRule="auto"/>
        <w:ind w:firstLine="709"/>
        <w:jc w:val="both"/>
        <w:rPr>
          <w:rFonts w:ascii="Times New Roman" w:eastAsia="Calibri" w:hAnsi="Times New Roman" w:cs="Times New Roman"/>
          <w:sz w:val="28"/>
          <w:szCs w:val="28"/>
        </w:rPr>
      </w:pPr>
    </w:p>
    <w:tbl>
      <w:tblPr>
        <w:tblW w:w="9944"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8"/>
        <w:gridCol w:w="1165"/>
        <w:gridCol w:w="1240"/>
        <w:gridCol w:w="1139"/>
        <w:gridCol w:w="1089"/>
        <w:gridCol w:w="1089"/>
        <w:gridCol w:w="814"/>
      </w:tblGrid>
      <w:tr w:rsidR="00E47AA9" w:rsidRPr="00E47AA9" w14:paraId="48ADAD21" w14:textId="77777777" w:rsidTr="00BB056E">
        <w:trPr>
          <w:trHeight w:val="57"/>
          <w:tblHeader/>
        </w:trPr>
        <w:tc>
          <w:tcPr>
            <w:tcW w:w="3408" w:type="dxa"/>
            <w:tcBorders>
              <w:top w:val="nil"/>
              <w:left w:val="nil"/>
              <w:bottom w:val="single" w:sz="4" w:space="0" w:color="auto"/>
              <w:right w:val="nil"/>
            </w:tcBorders>
            <w:shd w:val="clear" w:color="auto" w:fill="auto"/>
            <w:noWrap/>
            <w:vAlign w:val="bottom"/>
          </w:tcPr>
          <w:p w14:paraId="2E1793BA" w14:textId="77777777" w:rsidR="00A441A6" w:rsidRPr="00E47AA9" w:rsidRDefault="00A441A6" w:rsidP="00353702">
            <w:pPr>
              <w:spacing w:after="0" w:line="240" w:lineRule="auto"/>
              <w:rPr>
                <w:rFonts w:ascii="Times New Roman" w:eastAsia="Times New Roman" w:hAnsi="Times New Roman" w:cs="Times New Roman"/>
                <w:lang w:eastAsia="ru-RU"/>
              </w:rPr>
            </w:pPr>
          </w:p>
        </w:tc>
        <w:tc>
          <w:tcPr>
            <w:tcW w:w="1165" w:type="dxa"/>
            <w:tcBorders>
              <w:top w:val="nil"/>
              <w:left w:val="nil"/>
              <w:bottom w:val="single" w:sz="4" w:space="0" w:color="auto"/>
              <w:right w:val="nil"/>
            </w:tcBorders>
            <w:shd w:val="clear" w:color="000000" w:fill="FFFFFF"/>
            <w:noWrap/>
            <w:vAlign w:val="center"/>
          </w:tcPr>
          <w:p w14:paraId="598B0BA7" w14:textId="77777777" w:rsidR="00A441A6" w:rsidRPr="00E47AA9" w:rsidRDefault="00A441A6" w:rsidP="00353702">
            <w:pPr>
              <w:spacing w:after="0" w:line="240" w:lineRule="auto"/>
              <w:ind w:left="-120"/>
              <w:jc w:val="center"/>
              <w:rPr>
                <w:rFonts w:ascii="Times New Roman" w:eastAsia="Times New Roman" w:hAnsi="Times New Roman" w:cs="Times New Roman"/>
                <w:sz w:val="20"/>
                <w:szCs w:val="20"/>
                <w:lang w:eastAsia="ru-RU"/>
              </w:rPr>
            </w:pPr>
          </w:p>
        </w:tc>
        <w:tc>
          <w:tcPr>
            <w:tcW w:w="1240" w:type="dxa"/>
            <w:tcBorders>
              <w:top w:val="nil"/>
              <w:left w:val="nil"/>
              <w:bottom w:val="single" w:sz="4" w:space="0" w:color="auto"/>
              <w:right w:val="nil"/>
            </w:tcBorders>
            <w:shd w:val="clear" w:color="000000" w:fill="FFFFFF"/>
            <w:noWrap/>
            <w:vAlign w:val="center"/>
          </w:tcPr>
          <w:p w14:paraId="464AF1A4" w14:textId="77777777" w:rsidR="00A441A6" w:rsidRPr="00E47AA9" w:rsidRDefault="00A441A6" w:rsidP="00353702">
            <w:pPr>
              <w:spacing w:after="0" w:line="240" w:lineRule="auto"/>
              <w:ind w:left="-120"/>
              <w:jc w:val="center"/>
              <w:rPr>
                <w:rFonts w:ascii="Times New Roman" w:eastAsia="Times New Roman" w:hAnsi="Times New Roman" w:cs="Times New Roman"/>
                <w:sz w:val="18"/>
                <w:szCs w:val="18"/>
                <w:lang w:eastAsia="ru-RU"/>
              </w:rPr>
            </w:pPr>
          </w:p>
        </w:tc>
        <w:tc>
          <w:tcPr>
            <w:tcW w:w="1139" w:type="dxa"/>
            <w:tcBorders>
              <w:top w:val="nil"/>
              <w:left w:val="nil"/>
              <w:bottom w:val="single" w:sz="4" w:space="0" w:color="auto"/>
              <w:right w:val="nil"/>
            </w:tcBorders>
            <w:shd w:val="clear" w:color="000000" w:fill="FFFFFF"/>
            <w:noWrap/>
            <w:vAlign w:val="center"/>
          </w:tcPr>
          <w:p w14:paraId="4424F09A" w14:textId="77777777" w:rsidR="00A441A6" w:rsidRPr="00E47AA9" w:rsidRDefault="00A441A6" w:rsidP="00353702">
            <w:pPr>
              <w:spacing w:after="0" w:line="240" w:lineRule="auto"/>
              <w:ind w:left="-120"/>
              <w:jc w:val="center"/>
              <w:rPr>
                <w:rFonts w:ascii="Times New Roman" w:eastAsia="Times New Roman" w:hAnsi="Times New Roman" w:cs="Times New Roman"/>
                <w:sz w:val="20"/>
                <w:szCs w:val="20"/>
                <w:lang w:eastAsia="ru-RU"/>
              </w:rPr>
            </w:pPr>
          </w:p>
        </w:tc>
        <w:tc>
          <w:tcPr>
            <w:tcW w:w="1089" w:type="dxa"/>
            <w:tcBorders>
              <w:top w:val="nil"/>
              <w:left w:val="nil"/>
              <w:bottom w:val="single" w:sz="4" w:space="0" w:color="auto"/>
              <w:right w:val="nil"/>
            </w:tcBorders>
            <w:shd w:val="clear" w:color="000000" w:fill="FFFFFF"/>
            <w:noWrap/>
            <w:vAlign w:val="center"/>
          </w:tcPr>
          <w:p w14:paraId="582F1D7C" w14:textId="77777777" w:rsidR="00A441A6" w:rsidRPr="00E47AA9" w:rsidRDefault="00A441A6" w:rsidP="00353702">
            <w:pPr>
              <w:spacing w:after="0" w:line="240" w:lineRule="auto"/>
              <w:ind w:left="-120" w:right="-103"/>
              <w:jc w:val="center"/>
              <w:rPr>
                <w:rFonts w:ascii="Times New Roman" w:eastAsia="Times New Roman" w:hAnsi="Times New Roman" w:cs="Times New Roman"/>
                <w:sz w:val="18"/>
                <w:szCs w:val="18"/>
                <w:lang w:eastAsia="ru-RU"/>
              </w:rPr>
            </w:pPr>
          </w:p>
        </w:tc>
        <w:tc>
          <w:tcPr>
            <w:tcW w:w="1903" w:type="dxa"/>
            <w:gridSpan w:val="2"/>
            <w:tcBorders>
              <w:top w:val="nil"/>
              <w:left w:val="nil"/>
              <w:bottom w:val="single" w:sz="4" w:space="0" w:color="auto"/>
              <w:right w:val="nil"/>
            </w:tcBorders>
            <w:shd w:val="clear" w:color="000000" w:fill="FFFFFF"/>
            <w:noWrap/>
            <w:vAlign w:val="bottom"/>
          </w:tcPr>
          <w:p w14:paraId="228AFA36"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214C694E" w14:textId="77777777" w:rsidTr="00BB056E">
        <w:trPr>
          <w:trHeight w:val="57"/>
          <w:tblHeader/>
        </w:trPr>
        <w:tc>
          <w:tcPr>
            <w:tcW w:w="3408" w:type="dxa"/>
            <w:tcBorders>
              <w:top w:val="single" w:sz="4" w:space="0" w:color="auto"/>
            </w:tcBorders>
            <w:shd w:val="clear" w:color="auto" w:fill="auto"/>
            <w:noWrap/>
            <w:vAlign w:val="center"/>
          </w:tcPr>
          <w:p w14:paraId="49D797B7" w14:textId="77777777" w:rsidR="00A441A6" w:rsidRPr="00E47AA9" w:rsidRDefault="00A441A6" w:rsidP="00353702">
            <w:pPr>
              <w:spacing w:after="0" w:line="240" w:lineRule="auto"/>
              <w:jc w:val="center"/>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lang w:eastAsia="ru-RU"/>
              </w:rPr>
              <w:t>Наименование показателя</w:t>
            </w:r>
          </w:p>
        </w:tc>
        <w:tc>
          <w:tcPr>
            <w:tcW w:w="1165" w:type="dxa"/>
            <w:tcBorders>
              <w:top w:val="single" w:sz="4" w:space="0" w:color="auto"/>
            </w:tcBorders>
            <w:shd w:val="clear" w:color="000000" w:fill="FFFFFF"/>
            <w:noWrap/>
            <w:vAlign w:val="center"/>
          </w:tcPr>
          <w:p w14:paraId="6EE42151" w14:textId="77777777" w:rsidR="00A441A6" w:rsidRPr="00E47AA9" w:rsidRDefault="00A441A6" w:rsidP="00353702">
            <w:pPr>
              <w:spacing w:after="0" w:line="240" w:lineRule="auto"/>
              <w:ind w:left="-120"/>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Утверждено</w:t>
            </w:r>
          </w:p>
          <w:p w14:paraId="40DF1876" w14:textId="77777777" w:rsidR="00A441A6" w:rsidRPr="00E47AA9" w:rsidRDefault="00A441A6" w:rsidP="00353702">
            <w:pPr>
              <w:spacing w:after="0" w:line="240" w:lineRule="auto"/>
              <w:ind w:left="-120"/>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 на 2024 </w:t>
            </w:r>
          </w:p>
          <w:p w14:paraId="49BA4068" w14:textId="77777777" w:rsidR="00A441A6" w:rsidRPr="00E47AA9" w:rsidRDefault="00A441A6" w:rsidP="00353702">
            <w:pPr>
              <w:spacing w:after="0" w:line="240" w:lineRule="auto"/>
              <w:ind w:left="-120"/>
              <w:jc w:val="center"/>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sz w:val="20"/>
                <w:szCs w:val="20"/>
                <w:lang w:eastAsia="ru-RU"/>
              </w:rPr>
              <w:t>год</w:t>
            </w:r>
          </w:p>
        </w:tc>
        <w:tc>
          <w:tcPr>
            <w:tcW w:w="1240" w:type="dxa"/>
            <w:tcBorders>
              <w:top w:val="single" w:sz="4" w:space="0" w:color="auto"/>
            </w:tcBorders>
            <w:shd w:val="clear" w:color="000000" w:fill="FFFFFF"/>
            <w:noWrap/>
            <w:vAlign w:val="center"/>
          </w:tcPr>
          <w:p w14:paraId="0945B1F2" w14:textId="77777777" w:rsidR="00A441A6" w:rsidRPr="00E47AA9" w:rsidRDefault="00A441A6" w:rsidP="00353702">
            <w:pPr>
              <w:spacing w:after="0" w:line="240" w:lineRule="auto"/>
              <w:ind w:left="-120"/>
              <w:jc w:val="center"/>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sz w:val="18"/>
                <w:szCs w:val="18"/>
                <w:lang w:eastAsia="ru-RU"/>
              </w:rPr>
              <w:t>Доля в общей сумме налоговых и неналоговых доходов (план)</w:t>
            </w:r>
          </w:p>
        </w:tc>
        <w:tc>
          <w:tcPr>
            <w:tcW w:w="1139" w:type="dxa"/>
            <w:tcBorders>
              <w:top w:val="single" w:sz="4" w:space="0" w:color="auto"/>
            </w:tcBorders>
            <w:shd w:val="clear" w:color="000000" w:fill="FFFFFF"/>
            <w:noWrap/>
            <w:vAlign w:val="center"/>
          </w:tcPr>
          <w:p w14:paraId="51C8546C" w14:textId="77777777" w:rsidR="00A441A6" w:rsidRPr="00E47AA9" w:rsidRDefault="00A441A6" w:rsidP="00353702">
            <w:pPr>
              <w:spacing w:after="0" w:line="240" w:lineRule="auto"/>
              <w:ind w:left="-120"/>
              <w:jc w:val="center"/>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sz w:val="20"/>
                <w:szCs w:val="20"/>
                <w:lang w:eastAsia="ru-RU"/>
              </w:rPr>
              <w:t>Исполнено 2024 год</w:t>
            </w:r>
          </w:p>
        </w:tc>
        <w:tc>
          <w:tcPr>
            <w:tcW w:w="1089" w:type="dxa"/>
            <w:tcBorders>
              <w:top w:val="single" w:sz="4" w:space="0" w:color="auto"/>
            </w:tcBorders>
            <w:shd w:val="clear" w:color="000000" w:fill="FFFFFF"/>
            <w:noWrap/>
            <w:vAlign w:val="center"/>
          </w:tcPr>
          <w:p w14:paraId="0D5BA654" w14:textId="77777777" w:rsidR="00A441A6" w:rsidRPr="00E47AA9" w:rsidRDefault="00A441A6" w:rsidP="00353702">
            <w:pPr>
              <w:spacing w:after="0" w:line="240" w:lineRule="auto"/>
              <w:ind w:left="-120" w:right="-103"/>
              <w:jc w:val="center"/>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sz w:val="18"/>
                <w:szCs w:val="18"/>
                <w:lang w:eastAsia="ru-RU"/>
              </w:rPr>
              <w:t>Доля в общей сумме налоговых и неналоговых доходов (факт)</w:t>
            </w:r>
          </w:p>
        </w:tc>
        <w:tc>
          <w:tcPr>
            <w:tcW w:w="1089" w:type="dxa"/>
            <w:tcBorders>
              <w:top w:val="single" w:sz="4" w:space="0" w:color="auto"/>
            </w:tcBorders>
            <w:shd w:val="clear" w:color="000000" w:fill="FFFFFF"/>
            <w:noWrap/>
            <w:vAlign w:val="center"/>
          </w:tcPr>
          <w:p w14:paraId="100897FF" w14:textId="77777777" w:rsidR="00A441A6" w:rsidRPr="00E47AA9" w:rsidRDefault="00A441A6" w:rsidP="00353702">
            <w:pPr>
              <w:spacing w:after="0" w:line="240" w:lineRule="auto"/>
              <w:ind w:left="-120"/>
              <w:jc w:val="center"/>
              <w:rPr>
                <w:rFonts w:ascii="Times New Roman" w:eastAsia="Times New Roman" w:hAnsi="Times New Roman" w:cs="Times New Roman"/>
                <w:b/>
                <w:bCs/>
                <w:sz w:val="20"/>
                <w:szCs w:val="20"/>
                <w:lang w:eastAsia="ru-RU"/>
              </w:rPr>
            </w:pPr>
            <w:proofErr w:type="spellStart"/>
            <w:proofErr w:type="gramStart"/>
            <w:r w:rsidRPr="00E47AA9">
              <w:rPr>
                <w:rFonts w:ascii="Times New Roman" w:eastAsia="Times New Roman" w:hAnsi="Times New Roman" w:cs="Times New Roman"/>
                <w:sz w:val="20"/>
                <w:szCs w:val="20"/>
                <w:lang w:eastAsia="ru-RU"/>
              </w:rPr>
              <w:t>Откло-нение</w:t>
            </w:r>
            <w:proofErr w:type="spellEnd"/>
            <w:proofErr w:type="gramEnd"/>
            <w:r w:rsidRPr="00E47AA9">
              <w:rPr>
                <w:rFonts w:ascii="Times New Roman" w:eastAsia="Times New Roman" w:hAnsi="Times New Roman" w:cs="Times New Roman"/>
                <w:sz w:val="20"/>
                <w:szCs w:val="20"/>
                <w:lang w:eastAsia="ru-RU"/>
              </w:rPr>
              <w:t xml:space="preserve"> </w:t>
            </w:r>
          </w:p>
        </w:tc>
        <w:tc>
          <w:tcPr>
            <w:tcW w:w="814" w:type="dxa"/>
            <w:tcBorders>
              <w:top w:val="single" w:sz="4" w:space="0" w:color="auto"/>
            </w:tcBorders>
            <w:shd w:val="clear" w:color="000000" w:fill="FFFFFF"/>
            <w:noWrap/>
            <w:vAlign w:val="center"/>
          </w:tcPr>
          <w:p w14:paraId="34BBBCF2" w14:textId="77777777" w:rsidR="00A441A6" w:rsidRPr="00E47AA9" w:rsidRDefault="00A441A6" w:rsidP="00353702">
            <w:pPr>
              <w:spacing w:after="0" w:line="240" w:lineRule="auto"/>
              <w:ind w:left="-120"/>
              <w:jc w:val="center"/>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sz w:val="20"/>
                <w:szCs w:val="20"/>
                <w:lang w:eastAsia="ru-RU"/>
              </w:rPr>
              <w:t xml:space="preserve">% </w:t>
            </w:r>
            <w:proofErr w:type="spellStart"/>
            <w:proofErr w:type="gramStart"/>
            <w:r w:rsidRPr="00E47AA9">
              <w:rPr>
                <w:rFonts w:ascii="Times New Roman" w:eastAsia="Times New Roman" w:hAnsi="Times New Roman" w:cs="Times New Roman"/>
                <w:sz w:val="20"/>
                <w:szCs w:val="20"/>
                <w:lang w:eastAsia="ru-RU"/>
              </w:rPr>
              <w:t>испол</w:t>
            </w:r>
            <w:proofErr w:type="spellEnd"/>
            <w:r w:rsidRPr="00E47AA9">
              <w:rPr>
                <w:rFonts w:ascii="Times New Roman" w:eastAsia="Times New Roman" w:hAnsi="Times New Roman" w:cs="Times New Roman"/>
                <w:sz w:val="20"/>
                <w:szCs w:val="20"/>
                <w:lang w:eastAsia="ru-RU"/>
              </w:rPr>
              <w:t>-нения</w:t>
            </w:r>
            <w:proofErr w:type="gramEnd"/>
          </w:p>
        </w:tc>
      </w:tr>
      <w:tr w:rsidR="00E47AA9" w:rsidRPr="00E47AA9" w14:paraId="76844A9F" w14:textId="77777777" w:rsidTr="00BB056E">
        <w:trPr>
          <w:trHeight w:val="57"/>
        </w:trPr>
        <w:tc>
          <w:tcPr>
            <w:tcW w:w="3408" w:type="dxa"/>
            <w:shd w:val="clear" w:color="auto" w:fill="E2EFD9" w:themeFill="accent6" w:themeFillTint="33"/>
            <w:noWrap/>
            <w:vAlign w:val="bottom"/>
            <w:hideMark/>
          </w:tcPr>
          <w:p w14:paraId="0B70A391" w14:textId="77777777" w:rsidR="00A441A6" w:rsidRPr="00E47AA9" w:rsidRDefault="00A441A6" w:rsidP="00353702">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НАЛОГОВЫЕ И НЕНАЛОГОВЫЕ ДОХОДЫ</w:t>
            </w:r>
          </w:p>
        </w:tc>
        <w:tc>
          <w:tcPr>
            <w:tcW w:w="1165" w:type="dxa"/>
            <w:shd w:val="clear" w:color="auto" w:fill="E2EFD9" w:themeFill="accent6" w:themeFillTint="33"/>
            <w:noWrap/>
            <w:vAlign w:val="bottom"/>
            <w:hideMark/>
          </w:tcPr>
          <w:p w14:paraId="7B3F9710"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186 238,62</w:t>
            </w:r>
          </w:p>
        </w:tc>
        <w:tc>
          <w:tcPr>
            <w:tcW w:w="1240" w:type="dxa"/>
            <w:shd w:val="clear" w:color="auto" w:fill="E2EFD9" w:themeFill="accent6" w:themeFillTint="33"/>
            <w:noWrap/>
            <w:vAlign w:val="bottom"/>
            <w:hideMark/>
          </w:tcPr>
          <w:p w14:paraId="51933327"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c>
          <w:tcPr>
            <w:tcW w:w="1139" w:type="dxa"/>
            <w:shd w:val="clear" w:color="auto" w:fill="E2EFD9" w:themeFill="accent6" w:themeFillTint="33"/>
            <w:noWrap/>
            <w:vAlign w:val="bottom"/>
            <w:hideMark/>
          </w:tcPr>
          <w:p w14:paraId="171E4034"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190 686,73</w:t>
            </w:r>
          </w:p>
        </w:tc>
        <w:tc>
          <w:tcPr>
            <w:tcW w:w="1089" w:type="dxa"/>
            <w:shd w:val="clear" w:color="auto" w:fill="E2EFD9" w:themeFill="accent6" w:themeFillTint="33"/>
            <w:noWrap/>
            <w:vAlign w:val="bottom"/>
            <w:hideMark/>
          </w:tcPr>
          <w:p w14:paraId="7E91C6FB"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c>
          <w:tcPr>
            <w:tcW w:w="1089" w:type="dxa"/>
            <w:shd w:val="clear" w:color="auto" w:fill="E2EFD9" w:themeFill="accent6" w:themeFillTint="33"/>
            <w:noWrap/>
            <w:vAlign w:val="bottom"/>
            <w:hideMark/>
          </w:tcPr>
          <w:p w14:paraId="398B7EF3"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4 448,11</w:t>
            </w:r>
          </w:p>
        </w:tc>
        <w:tc>
          <w:tcPr>
            <w:tcW w:w="814" w:type="dxa"/>
            <w:shd w:val="clear" w:color="auto" w:fill="E2EFD9" w:themeFill="accent6" w:themeFillTint="33"/>
            <w:noWrap/>
            <w:vAlign w:val="bottom"/>
            <w:hideMark/>
          </w:tcPr>
          <w:p w14:paraId="3791FC2E"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102,39</w:t>
            </w:r>
          </w:p>
        </w:tc>
      </w:tr>
      <w:tr w:rsidR="00E47AA9" w:rsidRPr="00E47AA9" w14:paraId="279B5085" w14:textId="77777777" w:rsidTr="00BB056E">
        <w:trPr>
          <w:trHeight w:val="57"/>
        </w:trPr>
        <w:tc>
          <w:tcPr>
            <w:tcW w:w="3408" w:type="dxa"/>
            <w:shd w:val="clear" w:color="auto" w:fill="E2EFD9" w:themeFill="accent6" w:themeFillTint="33"/>
            <w:noWrap/>
            <w:vAlign w:val="bottom"/>
            <w:hideMark/>
          </w:tcPr>
          <w:p w14:paraId="4C2FB4C4" w14:textId="77777777" w:rsidR="00A441A6" w:rsidRPr="00E47AA9" w:rsidRDefault="00A441A6" w:rsidP="00572CD1">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Налоговые доходы</w:t>
            </w:r>
            <w:r w:rsidR="00572CD1" w:rsidRPr="00E47AA9">
              <w:rPr>
                <w:rFonts w:ascii="Times New Roman" w:eastAsia="Times New Roman" w:hAnsi="Times New Roman" w:cs="Times New Roman"/>
                <w:b/>
                <w:bCs/>
                <w:sz w:val="20"/>
                <w:szCs w:val="20"/>
                <w:lang w:eastAsia="ru-RU"/>
              </w:rPr>
              <w:t>,</w:t>
            </w:r>
            <w:r w:rsidRPr="00E47AA9">
              <w:rPr>
                <w:rFonts w:ascii="Times New Roman" w:eastAsia="Times New Roman" w:hAnsi="Times New Roman" w:cs="Times New Roman"/>
                <w:b/>
                <w:bCs/>
                <w:sz w:val="20"/>
                <w:szCs w:val="20"/>
                <w:lang w:eastAsia="ru-RU"/>
              </w:rPr>
              <w:t xml:space="preserve"> всего</w:t>
            </w:r>
          </w:p>
        </w:tc>
        <w:tc>
          <w:tcPr>
            <w:tcW w:w="1165" w:type="dxa"/>
            <w:shd w:val="clear" w:color="auto" w:fill="E2EFD9" w:themeFill="accent6" w:themeFillTint="33"/>
            <w:noWrap/>
            <w:vAlign w:val="bottom"/>
            <w:hideMark/>
          </w:tcPr>
          <w:p w14:paraId="5D36988C"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178 990,77</w:t>
            </w:r>
          </w:p>
        </w:tc>
        <w:tc>
          <w:tcPr>
            <w:tcW w:w="1240" w:type="dxa"/>
            <w:shd w:val="clear" w:color="auto" w:fill="E2EFD9" w:themeFill="accent6" w:themeFillTint="33"/>
            <w:noWrap/>
            <w:vAlign w:val="bottom"/>
            <w:hideMark/>
          </w:tcPr>
          <w:p w14:paraId="1287086E"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96,11</w:t>
            </w:r>
          </w:p>
        </w:tc>
        <w:tc>
          <w:tcPr>
            <w:tcW w:w="1139" w:type="dxa"/>
            <w:shd w:val="clear" w:color="auto" w:fill="E2EFD9" w:themeFill="accent6" w:themeFillTint="33"/>
            <w:noWrap/>
            <w:vAlign w:val="bottom"/>
            <w:hideMark/>
          </w:tcPr>
          <w:p w14:paraId="615B2812"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182 801,20</w:t>
            </w:r>
          </w:p>
        </w:tc>
        <w:tc>
          <w:tcPr>
            <w:tcW w:w="1089" w:type="dxa"/>
            <w:shd w:val="clear" w:color="auto" w:fill="E2EFD9" w:themeFill="accent6" w:themeFillTint="33"/>
            <w:noWrap/>
            <w:vAlign w:val="bottom"/>
            <w:hideMark/>
          </w:tcPr>
          <w:p w14:paraId="011D18A7"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95,86</w:t>
            </w:r>
          </w:p>
        </w:tc>
        <w:tc>
          <w:tcPr>
            <w:tcW w:w="1089" w:type="dxa"/>
            <w:shd w:val="clear" w:color="auto" w:fill="E2EFD9" w:themeFill="accent6" w:themeFillTint="33"/>
            <w:noWrap/>
            <w:vAlign w:val="bottom"/>
            <w:hideMark/>
          </w:tcPr>
          <w:p w14:paraId="5447778A"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3 810,43</w:t>
            </w:r>
          </w:p>
        </w:tc>
        <w:tc>
          <w:tcPr>
            <w:tcW w:w="814" w:type="dxa"/>
            <w:shd w:val="clear" w:color="auto" w:fill="E2EFD9" w:themeFill="accent6" w:themeFillTint="33"/>
            <w:noWrap/>
            <w:vAlign w:val="bottom"/>
            <w:hideMark/>
          </w:tcPr>
          <w:p w14:paraId="54C1BDCD"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102,13</w:t>
            </w:r>
          </w:p>
        </w:tc>
      </w:tr>
      <w:tr w:rsidR="00E47AA9" w:rsidRPr="00E47AA9" w14:paraId="0E389A87" w14:textId="77777777" w:rsidTr="00BB056E">
        <w:trPr>
          <w:trHeight w:val="57"/>
        </w:trPr>
        <w:tc>
          <w:tcPr>
            <w:tcW w:w="3408" w:type="dxa"/>
            <w:shd w:val="clear" w:color="auto" w:fill="auto"/>
            <w:noWrap/>
            <w:vAlign w:val="bottom"/>
            <w:hideMark/>
          </w:tcPr>
          <w:p w14:paraId="0C6CB923"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Налог на прибыль организаций</w:t>
            </w:r>
          </w:p>
        </w:tc>
        <w:tc>
          <w:tcPr>
            <w:tcW w:w="1165" w:type="dxa"/>
            <w:shd w:val="clear" w:color="auto" w:fill="auto"/>
            <w:noWrap/>
            <w:vAlign w:val="bottom"/>
            <w:hideMark/>
          </w:tcPr>
          <w:p w14:paraId="42073DBF"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48 681,46</w:t>
            </w:r>
          </w:p>
        </w:tc>
        <w:tc>
          <w:tcPr>
            <w:tcW w:w="1240" w:type="dxa"/>
            <w:shd w:val="clear" w:color="auto" w:fill="auto"/>
            <w:noWrap/>
            <w:vAlign w:val="bottom"/>
            <w:hideMark/>
          </w:tcPr>
          <w:p w14:paraId="2AD88D8C"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26,14</w:t>
            </w:r>
          </w:p>
        </w:tc>
        <w:tc>
          <w:tcPr>
            <w:tcW w:w="1139" w:type="dxa"/>
            <w:shd w:val="clear" w:color="auto" w:fill="auto"/>
            <w:noWrap/>
            <w:vAlign w:val="bottom"/>
            <w:hideMark/>
          </w:tcPr>
          <w:p w14:paraId="50BB006F"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49 956,67</w:t>
            </w:r>
          </w:p>
        </w:tc>
        <w:tc>
          <w:tcPr>
            <w:tcW w:w="1089" w:type="dxa"/>
            <w:shd w:val="clear" w:color="auto" w:fill="auto"/>
            <w:noWrap/>
            <w:vAlign w:val="bottom"/>
            <w:hideMark/>
          </w:tcPr>
          <w:p w14:paraId="310C9497"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26,20</w:t>
            </w:r>
          </w:p>
        </w:tc>
        <w:tc>
          <w:tcPr>
            <w:tcW w:w="1089" w:type="dxa"/>
            <w:shd w:val="clear" w:color="auto" w:fill="auto"/>
            <w:noWrap/>
            <w:vAlign w:val="bottom"/>
            <w:hideMark/>
          </w:tcPr>
          <w:p w14:paraId="4AAD3EC5"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1 275,21</w:t>
            </w:r>
          </w:p>
        </w:tc>
        <w:tc>
          <w:tcPr>
            <w:tcW w:w="814" w:type="dxa"/>
            <w:shd w:val="clear" w:color="auto" w:fill="auto"/>
            <w:noWrap/>
            <w:vAlign w:val="bottom"/>
            <w:hideMark/>
          </w:tcPr>
          <w:p w14:paraId="734DE434"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102,62</w:t>
            </w:r>
          </w:p>
        </w:tc>
      </w:tr>
      <w:tr w:rsidR="00E47AA9" w:rsidRPr="00E47AA9" w14:paraId="2537AAB3" w14:textId="77777777" w:rsidTr="00BB056E">
        <w:trPr>
          <w:trHeight w:val="57"/>
        </w:trPr>
        <w:tc>
          <w:tcPr>
            <w:tcW w:w="3408" w:type="dxa"/>
            <w:shd w:val="clear" w:color="auto" w:fill="auto"/>
            <w:noWrap/>
            <w:vAlign w:val="bottom"/>
            <w:hideMark/>
          </w:tcPr>
          <w:p w14:paraId="2C8CD56E"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Налог на доходы физических лиц</w:t>
            </w:r>
          </w:p>
        </w:tc>
        <w:tc>
          <w:tcPr>
            <w:tcW w:w="1165" w:type="dxa"/>
            <w:shd w:val="clear" w:color="auto" w:fill="auto"/>
            <w:noWrap/>
            <w:vAlign w:val="bottom"/>
            <w:hideMark/>
          </w:tcPr>
          <w:p w14:paraId="31E4B321"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71 173,51</w:t>
            </w:r>
          </w:p>
        </w:tc>
        <w:tc>
          <w:tcPr>
            <w:tcW w:w="1240" w:type="dxa"/>
            <w:shd w:val="clear" w:color="auto" w:fill="auto"/>
            <w:noWrap/>
            <w:vAlign w:val="bottom"/>
            <w:hideMark/>
          </w:tcPr>
          <w:p w14:paraId="2DB8CE7C"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38,22</w:t>
            </w:r>
          </w:p>
        </w:tc>
        <w:tc>
          <w:tcPr>
            <w:tcW w:w="1139" w:type="dxa"/>
            <w:shd w:val="clear" w:color="auto" w:fill="auto"/>
            <w:noWrap/>
            <w:vAlign w:val="bottom"/>
            <w:hideMark/>
          </w:tcPr>
          <w:p w14:paraId="25D62831"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72 964,09</w:t>
            </w:r>
          </w:p>
        </w:tc>
        <w:tc>
          <w:tcPr>
            <w:tcW w:w="1089" w:type="dxa"/>
            <w:shd w:val="clear" w:color="auto" w:fill="auto"/>
            <w:noWrap/>
            <w:vAlign w:val="bottom"/>
            <w:hideMark/>
          </w:tcPr>
          <w:p w14:paraId="23D09BAC"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38,26</w:t>
            </w:r>
          </w:p>
        </w:tc>
        <w:tc>
          <w:tcPr>
            <w:tcW w:w="1089" w:type="dxa"/>
            <w:shd w:val="clear" w:color="auto" w:fill="auto"/>
            <w:noWrap/>
            <w:vAlign w:val="bottom"/>
            <w:hideMark/>
          </w:tcPr>
          <w:p w14:paraId="14F0CDFC"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1 790,58</w:t>
            </w:r>
          </w:p>
        </w:tc>
        <w:tc>
          <w:tcPr>
            <w:tcW w:w="814" w:type="dxa"/>
            <w:shd w:val="clear" w:color="auto" w:fill="auto"/>
            <w:noWrap/>
            <w:vAlign w:val="bottom"/>
            <w:hideMark/>
          </w:tcPr>
          <w:p w14:paraId="751AEE5F"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102,52</w:t>
            </w:r>
          </w:p>
        </w:tc>
      </w:tr>
      <w:tr w:rsidR="00E47AA9" w:rsidRPr="00E47AA9" w14:paraId="790028BA" w14:textId="77777777" w:rsidTr="00BB056E">
        <w:trPr>
          <w:trHeight w:val="57"/>
        </w:trPr>
        <w:tc>
          <w:tcPr>
            <w:tcW w:w="3408" w:type="dxa"/>
            <w:shd w:val="clear" w:color="auto" w:fill="auto"/>
            <w:noWrap/>
            <w:vAlign w:val="bottom"/>
            <w:hideMark/>
          </w:tcPr>
          <w:p w14:paraId="639C55FD"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Акцизы по подакцизным товарам (продукции), производимым на территории Российской Федерации</w:t>
            </w:r>
          </w:p>
        </w:tc>
        <w:tc>
          <w:tcPr>
            <w:tcW w:w="1165" w:type="dxa"/>
            <w:shd w:val="clear" w:color="auto" w:fill="auto"/>
            <w:noWrap/>
            <w:vAlign w:val="bottom"/>
            <w:hideMark/>
          </w:tcPr>
          <w:p w14:paraId="7F9BB741"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17 219,47</w:t>
            </w:r>
          </w:p>
        </w:tc>
        <w:tc>
          <w:tcPr>
            <w:tcW w:w="1240" w:type="dxa"/>
            <w:shd w:val="clear" w:color="auto" w:fill="auto"/>
            <w:noWrap/>
            <w:vAlign w:val="bottom"/>
            <w:hideMark/>
          </w:tcPr>
          <w:p w14:paraId="13D22B7B"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9,25</w:t>
            </w:r>
          </w:p>
        </w:tc>
        <w:tc>
          <w:tcPr>
            <w:tcW w:w="1139" w:type="dxa"/>
            <w:shd w:val="clear" w:color="auto" w:fill="auto"/>
            <w:noWrap/>
            <w:vAlign w:val="bottom"/>
            <w:hideMark/>
          </w:tcPr>
          <w:p w14:paraId="00DAD2B2"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17 195,96</w:t>
            </w:r>
          </w:p>
        </w:tc>
        <w:tc>
          <w:tcPr>
            <w:tcW w:w="1089" w:type="dxa"/>
            <w:shd w:val="clear" w:color="auto" w:fill="auto"/>
            <w:noWrap/>
            <w:vAlign w:val="bottom"/>
            <w:hideMark/>
          </w:tcPr>
          <w:p w14:paraId="65D1B54D"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9,02</w:t>
            </w:r>
          </w:p>
        </w:tc>
        <w:tc>
          <w:tcPr>
            <w:tcW w:w="1089" w:type="dxa"/>
            <w:shd w:val="clear" w:color="auto" w:fill="auto"/>
            <w:noWrap/>
            <w:vAlign w:val="bottom"/>
            <w:hideMark/>
          </w:tcPr>
          <w:p w14:paraId="3925457B"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-23,51</w:t>
            </w:r>
          </w:p>
        </w:tc>
        <w:tc>
          <w:tcPr>
            <w:tcW w:w="814" w:type="dxa"/>
            <w:shd w:val="clear" w:color="auto" w:fill="auto"/>
            <w:noWrap/>
            <w:vAlign w:val="bottom"/>
            <w:hideMark/>
          </w:tcPr>
          <w:p w14:paraId="65E7644F"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99,86</w:t>
            </w:r>
          </w:p>
        </w:tc>
      </w:tr>
      <w:tr w:rsidR="00E47AA9" w:rsidRPr="00E47AA9" w14:paraId="47365FB8" w14:textId="77777777" w:rsidTr="00BB056E">
        <w:trPr>
          <w:trHeight w:val="57"/>
        </w:trPr>
        <w:tc>
          <w:tcPr>
            <w:tcW w:w="3408" w:type="dxa"/>
            <w:shd w:val="clear" w:color="auto" w:fill="auto"/>
            <w:noWrap/>
            <w:vAlign w:val="bottom"/>
            <w:hideMark/>
          </w:tcPr>
          <w:p w14:paraId="16275558"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Налог, взимаемый в связи с применением упрощенной системы налогообложения</w:t>
            </w:r>
          </w:p>
        </w:tc>
        <w:tc>
          <w:tcPr>
            <w:tcW w:w="1165" w:type="dxa"/>
            <w:shd w:val="clear" w:color="auto" w:fill="auto"/>
            <w:noWrap/>
            <w:vAlign w:val="bottom"/>
            <w:hideMark/>
          </w:tcPr>
          <w:p w14:paraId="7E01C87D"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20 428,60</w:t>
            </w:r>
          </w:p>
        </w:tc>
        <w:tc>
          <w:tcPr>
            <w:tcW w:w="1240" w:type="dxa"/>
            <w:shd w:val="clear" w:color="auto" w:fill="auto"/>
            <w:noWrap/>
            <w:vAlign w:val="bottom"/>
            <w:hideMark/>
          </w:tcPr>
          <w:p w14:paraId="2575541B"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10,97</w:t>
            </w:r>
          </w:p>
        </w:tc>
        <w:tc>
          <w:tcPr>
            <w:tcW w:w="1139" w:type="dxa"/>
            <w:shd w:val="clear" w:color="auto" w:fill="auto"/>
            <w:noWrap/>
            <w:vAlign w:val="bottom"/>
            <w:hideMark/>
          </w:tcPr>
          <w:p w14:paraId="21284A7B"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20 386,01</w:t>
            </w:r>
          </w:p>
        </w:tc>
        <w:tc>
          <w:tcPr>
            <w:tcW w:w="1089" w:type="dxa"/>
            <w:shd w:val="clear" w:color="auto" w:fill="auto"/>
            <w:noWrap/>
            <w:vAlign w:val="bottom"/>
            <w:hideMark/>
          </w:tcPr>
          <w:p w14:paraId="21BE0CC7"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10,69</w:t>
            </w:r>
          </w:p>
        </w:tc>
        <w:tc>
          <w:tcPr>
            <w:tcW w:w="1089" w:type="dxa"/>
            <w:shd w:val="clear" w:color="auto" w:fill="auto"/>
            <w:noWrap/>
            <w:vAlign w:val="bottom"/>
            <w:hideMark/>
          </w:tcPr>
          <w:p w14:paraId="12FCFBB2"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-42,59</w:t>
            </w:r>
          </w:p>
        </w:tc>
        <w:tc>
          <w:tcPr>
            <w:tcW w:w="814" w:type="dxa"/>
            <w:shd w:val="clear" w:color="auto" w:fill="auto"/>
            <w:noWrap/>
            <w:vAlign w:val="bottom"/>
            <w:hideMark/>
          </w:tcPr>
          <w:p w14:paraId="0E50A77F"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99,79</w:t>
            </w:r>
          </w:p>
        </w:tc>
      </w:tr>
      <w:tr w:rsidR="00E47AA9" w:rsidRPr="00E47AA9" w14:paraId="0F547FF8" w14:textId="77777777" w:rsidTr="00BB056E">
        <w:trPr>
          <w:trHeight w:val="57"/>
        </w:trPr>
        <w:tc>
          <w:tcPr>
            <w:tcW w:w="3408" w:type="dxa"/>
            <w:shd w:val="clear" w:color="auto" w:fill="auto"/>
            <w:noWrap/>
            <w:vAlign w:val="bottom"/>
            <w:hideMark/>
          </w:tcPr>
          <w:p w14:paraId="0C02F29C"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Налог на профессиональный доход</w:t>
            </w:r>
          </w:p>
        </w:tc>
        <w:tc>
          <w:tcPr>
            <w:tcW w:w="1165" w:type="dxa"/>
            <w:shd w:val="clear" w:color="auto" w:fill="auto"/>
            <w:noWrap/>
            <w:vAlign w:val="bottom"/>
            <w:hideMark/>
          </w:tcPr>
          <w:p w14:paraId="6821F933"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501,45</w:t>
            </w:r>
          </w:p>
        </w:tc>
        <w:tc>
          <w:tcPr>
            <w:tcW w:w="1240" w:type="dxa"/>
            <w:shd w:val="clear" w:color="auto" w:fill="auto"/>
            <w:noWrap/>
            <w:vAlign w:val="bottom"/>
            <w:hideMark/>
          </w:tcPr>
          <w:p w14:paraId="7A621202"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0,27</w:t>
            </w:r>
          </w:p>
        </w:tc>
        <w:tc>
          <w:tcPr>
            <w:tcW w:w="1139" w:type="dxa"/>
            <w:shd w:val="clear" w:color="auto" w:fill="auto"/>
            <w:noWrap/>
            <w:vAlign w:val="bottom"/>
            <w:hideMark/>
          </w:tcPr>
          <w:p w14:paraId="1F59D9EE"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522,53</w:t>
            </w:r>
          </w:p>
        </w:tc>
        <w:tc>
          <w:tcPr>
            <w:tcW w:w="1089" w:type="dxa"/>
            <w:shd w:val="clear" w:color="auto" w:fill="auto"/>
            <w:noWrap/>
            <w:vAlign w:val="bottom"/>
            <w:hideMark/>
          </w:tcPr>
          <w:p w14:paraId="550A3509"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0,27</w:t>
            </w:r>
          </w:p>
        </w:tc>
        <w:tc>
          <w:tcPr>
            <w:tcW w:w="1089" w:type="dxa"/>
            <w:shd w:val="clear" w:color="auto" w:fill="auto"/>
            <w:noWrap/>
            <w:vAlign w:val="bottom"/>
            <w:hideMark/>
          </w:tcPr>
          <w:p w14:paraId="03A16F3E"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21,08</w:t>
            </w:r>
          </w:p>
        </w:tc>
        <w:tc>
          <w:tcPr>
            <w:tcW w:w="814" w:type="dxa"/>
            <w:shd w:val="clear" w:color="auto" w:fill="auto"/>
            <w:noWrap/>
            <w:vAlign w:val="bottom"/>
            <w:hideMark/>
          </w:tcPr>
          <w:p w14:paraId="63355040"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104,20</w:t>
            </w:r>
          </w:p>
        </w:tc>
      </w:tr>
      <w:tr w:rsidR="00E47AA9" w:rsidRPr="00E47AA9" w14:paraId="1BAEA4AB" w14:textId="77777777" w:rsidTr="00BB056E">
        <w:trPr>
          <w:trHeight w:val="57"/>
        </w:trPr>
        <w:tc>
          <w:tcPr>
            <w:tcW w:w="3408" w:type="dxa"/>
            <w:shd w:val="clear" w:color="auto" w:fill="auto"/>
            <w:noWrap/>
            <w:vAlign w:val="bottom"/>
            <w:hideMark/>
          </w:tcPr>
          <w:p w14:paraId="37BE02F8"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Налог на имущество организаций</w:t>
            </w:r>
          </w:p>
        </w:tc>
        <w:tc>
          <w:tcPr>
            <w:tcW w:w="1165" w:type="dxa"/>
            <w:shd w:val="clear" w:color="auto" w:fill="auto"/>
            <w:noWrap/>
            <w:vAlign w:val="bottom"/>
            <w:hideMark/>
          </w:tcPr>
          <w:p w14:paraId="0F84AE93"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14 831,41</w:t>
            </w:r>
          </w:p>
        </w:tc>
        <w:tc>
          <w:tcPr>
            <w:tcW w:w="1240" w:type="dxa"/>
            <w:shd w:val="clear" w:color="auto" w:fill="auto"/>
            <w:noWrap/>
            <w:vAlign w:val="bottom"/>
            <w:hideMark/>
          </w:tcPr>
          <w:p w14:paraId="702A0601"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7,96</w:t>
            </w:r>
          </w:p>
        </w:tc>
        <w:tc>
          <w:tcPr>
            <w:tcW w:w="1139" w:type="dxa"/>
            <w:shd w:val="clear" w:color="auto" w:fill="auto"/>
            <w:noWrap/>
            <w:vAlign w:val="bottom"/>
            <w:hideMark/>
          </w:tcPr>
          <w:p w14:paraId="173554F1"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15 064,98</w:t>
            </w:r>
          </w:p>
        </w:tc>
        <w:tc>
          <w:tcPr>
            <w:tcW w:w="1089" w:type="dxa"/>
            <w:shd w:val="clear" w:color="auto" w:fill="auto"/>
            <w:noWrap/>
            <w:vAlign w:val="bottom"/>
            <w:hideMark/>
          </w:tcPr>
          <w:p w14:paraId="74086FB3"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7,90</w:t>
            </w:r>
          </w:p>
        </w:tc>
        <w:tc>
          <w:tcPr>
            <w:tcW w:w="1089" w:type="dxa"/>
            <w:shd w:val="clear" w:color="auto" w:fill="auto"/>
            <w:noWrap/>
            <w:vAlign w:val="bottom"/>
            <w:hideMark/>
          </w:tcPr>
          <w:p w14:paraId="02B2112E"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233,57</w:t>
            </w:r>
          </w:p>
        </w:tc>
        <w:tc>
          <w:tcPr>
            <w:tcW w:w="814" w:type="dxa"/>
            <w:shd w:val="clear" w:color="auto" w:fill="auto"/>
            <w:noWrap/>
            <w:vAlign w:val="bottom"/>
            <w:hideMark/>
          </w:tcPr>
          <w:p w14:paraId="0449BB9A"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101,57</w:t>
            </w:r>
          </w:p>
        </w:tc>
      </w:tr>
      <w:tr w:rsidR="00E47AA9" w:rsidRPr="00E47AA9" w14:paraId="4DD50A29" w14:textId="77777777" w:rsidTr="00BB056E">
        <w:trPr>
          <w:trHeight w:val="57"/>
        </w:trPr>
        <w:tc>
          <w:tcPr>
            <w:tcW w:w="3408" w:type="dxa"/>
            <w:shd w:val="clear" w:color="auto" w:fill="auto"/>
            <w:noWrap/>
            <w:vAlign w:val="bottom"/>
            <w:hideMark/>
          </w:tcPr>
          <w:p w14:paraId="15EFF48E"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Транспортный налог</w:t>
            </w:r>
          </w:p>
        </w:tc>
        <w:tc>
          <w:tcPr>
            <w:tcW w:w="1165" w:type="dxa"/>
            <w:shd w:val="clear" w:color="auto" w:fill="auto"/>
            <w:noWrap/>
            <w:vAlign w:val="bottom"/>
            <w:hideMark/>
          </w:tcPr>
          <w:p w14:paraId="318597E8"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2 342,24</w:t>
            </w:r>
          </w:p>
        </w:tc>
        <w:tc>
          <w:tcPr>
            <w:tcW w:w="1240" w:type="dxa"/>
            <w:shd w:val="clear" w:color="auto" w:fill="auto"/>
            <w:noWrap/>
            <w:vAlign w:val="bottom"/>
            <w:hideMark/>
          </w:tcPr>
          <w:p w14:paraId="6D2176D5"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1,26</w:t>
            </w:r>
          </w:p>
        </w:tc>
        <w:tc>
          <w:tcPr>
            <w:tcW w:w="1139" w:type="dxa"/>
            <w:shd w:val="clear" w:color="auto" w:fill="auto"/>
            <w:noWrap/>
            <w:vAlign w:val="bottom"/>
            <w:hideMark/>
          </w:tcPr>
          <w:p w14:paraId="37D8BFE1"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2 471,33</w:t>
            </w:r>
          </w:p>
        </w:tc>
        <w:tc>
          <w:tcPr>
            <w:tcW w:w="1089" w:type="dxa"/>
            <w:shd w:val="clear" w:color="auto" w:fill="auto"/>
            <w:noWrap/>
            <w:vAlign w:val="bottom"/>
            <w:hideMark/>
          </w:tcPr>
          <w:p w14:paraId="1145EB97"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1,30</w:t>
            </w:r>
          </w:p>
        </w:tc>
        <w:tc>
          <w:tcPr>
            <w:tcW w:w="1089" w:type="dxa"/>
            <w:shd w:val="clear" w:color="auto" w:fill="auto"/>
            <w:noWrap/>
            <w:vAlign w:val="bottom"/>
            <w:hideMark/>
          </w:tcPr>
          <w:p w14:paraId="426BB2F5"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129,09</w:t>
            </w:r>
          </w:p>
        </w:tc>
        <w:tc>
          <w:tcPr>
            <w:tcW w:w="814" w:type="dxa"/>
            <w:shd w:val="clear" w:color="auto" w:fill="auto"/>
            <w:noWrap/>
            <w:vAlign w:val="bottom"/>
            <w:hideMark/>
          </w:tcPr>
          <w:p w14:paraId="38BD3633"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105,51</w:t>
            </w:r>
          </w:p>
        </w:tc>
      </w:tr>
      <w:tr w:rsidR="00E47AA9" w:rsidRPr="00E47AA9" w14:paraId="682A6C06" w14:textId="77777777" w:rsidTr="00BB056E">
        <w:trPr>
          <w:trHeight w:val="57"/>
        </w:trPr>
        <w:tc>
          <w:tcPr>
            <w:tcW w:w="3408" w:type="dxa"/>
            <w:shd w:val="clear" w:color="auto" w:fill="auto"/>
            <w:noWrap/>
            <w:vAlign w:val="bottom"/>
            <w:hideMark/>
          </w:tcPr>
          <w:p w14:paraId="00F39340"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Налог на игорный бизнес</w:t>
            </w:r>
          </w:p>
        </w:tc>
        <w:tc>
          <w:tcPr>
            <w:tcW w:w="1165" w:type="dxa"/>
            <w:shd w:val="clear" w:color="auto" w:fill="FFFFFF" w:themeFill="background1"/>
            <w:noWrap/>
            <w:vAlign w:val="bottom"/>
            <w:hideMark/>
          </w:tcPr>
          <w:p w14:paraId="1B64B540"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167,14</w:t>
            </w:r>
          </w:p>
        </w:tc>
        <w:tc>
          <w:tcPr>
            <w:tcW w:w="1240" w:type="dxa"/>
            <w:shd w:val="clear" w:color="auto" w:fill="FFFFFF" w:themeFill="background1"/>
            <w:noWrap/>
            <w:vAlign w:val="bottom"/>
            <w:hideMark/>
          </w:tcPr>
          <w:p w14:paraId="018A182B"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0,09</w:t>
            </w:r>
          </w:p>
        </w:tc>
        <w:tc>
          <w:tcPr>
            <w:tcW w:w="1139" w:type="dxa"/>
            <w:shd w:val="clear" w:color="auto" w:fill="auto"/>
            <w:noWrap/>
            <w:vAlign w:val="bottom"/>
            <w:hideMark/>
          </w:tcPr>
          <w:p w14:paraId="29CDE647"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168,29</w:t>
            </w:r>
          </w:p>
        </w:tc>
        <w:tc>
          <w:tcPr>
            <w:tcW w:w="1089" w:type="dxa"/>
            <w:shd w:val="clear" w:color="auto" w:fill="auto"/>
            <w:noWrap/>
            <w:vAlign w:val="bottom"/>
            <w:hideMark/>
          </w:tcPr>
          <w:p w14:paraId="5B07F9E9"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0,09</w:t>
            </w:r>
          </w:p>
        </w:tc>
        <w:tc>
          <w:tcPr>
            <w:tcW w:w="1089" w:type="dxa"/>
            <w:shd w:val="clear" w:color="auto" w:fill="auto"/>
            <w:noWrap/>
            <w:vAlign w:val="bottom"/>
            <w:hideMark/>
          </w:tcPr>
          <w:p w14:paraId="5C0B519C"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1,15</w:t>
            </w:r>
          </w:p>
        </w:tc>
        <w:tc>
          <w:tcPr>
            <w:tcW w:w="814" w:type="dxa"/>
            <w:shd w:val="clear" w:color="auto" w:fill="auto"/>
            <w:noWrap/>
            <w:vAlign w:val="bottom"/>
            <w:hideMark/>
          </w:tcPr>
          <w:p w14:paraId="3946B214"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100,69</w:t>
            </w:r>
          </w:p>
        </w:tc>
      </w:tr>
      <w:tr w:rsidR="00E47AA9" w:rsidRPr="00E47AA9" w14:paraId="5C50D6F3" w14:textId="77777777" w:rsidTr="00BB056E">
        <w:trPr>
          <w:trHeight w:val="57"/>
        </w:trPr>
        <w:tc>
          <w:tcPr>
            <w:tcW w:w="3408" w:type="dxa"/>
            <w:shd w:val="clear" w:color="auto" w:fill="auto"/>
            <w:noWrap/>
            <w:vAlign w:val="bottom"/>
            <w:hideMark/>
          </w:tcPr>
          <w:p w14:paraId="3E7F1C50"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Налог на добычу полезных ископаемых</w:t>
            </w:r>
          </w:p>
        </w:tc>
        <w:tc>
          <w:tcPr>
            <w:tcW w:w="1165" w:type="dxa"/>
            <w:shd w:val="clear" w:color="auto" w:fill="auto"/>
            <w:noWrap/>
            <w:vAlign w:val="bottom"/>
            <w:hideMark/>
          </w:tcPr>
          <w:p w14:paraId="2D6E05C0"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616,83</w:t>
            </w:r>
          </w:p>
        </w:tc>
        <w:tc>
          <w:tcPr>
            <w:tcW w:w="1240" w:type="dxa"/>
            <w:shd w:val="clear" w:color="auto" w:fill="auto"/>
            <w:noWrap/>
            <w:vAlign w:val="bottom"/>
            <w:hideMark/>
          </w:tcPr>
          <w:p w14:paraId="70DF64AC"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0,33</w:t>
            </w:r>
          </w:p>
        </w:tc>
        <w:tc>
          <w:tcPr>
            <w:tcW w:w="1139" w:type="dxa"/>
            <w:shd w:val="clear" w:color="auto" w:fill="auto"/>
            <w:noWrap/>
            <w:vAlign w:val="bottom"/>
            <w:hideMark/>
          </w:tcPr>
          <w:p w14:paraId="45261717"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634,32</w:t>
            </w:r>
          </w:p>
        </w:tc>
        <w:tc>
          <w:tcPr>
            <w:tcW w:w="1089" w:type="dxa"/>
            <w:shd w:val="clear" w:color="auto" w:fill="auto"/>
            <w:noWrap/>
            <w:vAlign w:val="bottom"/>
            <w:hideMark/>
          </w:tcPr>
          <w:p w14:paraId="6150A9E4"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0,33</w:t>
            </w:r>
          </w:p>
        </w:tc>
        <w:tc>
          <w:tcPr>
            <w:tcW w:w="1089" w:type="dxa"/>
            <w:shd w:val="clear" w:color="auto" w:fill="auto"/>
            <w:noWrap/>
            <w:vAlign w:val="bottom"/>
            <w:hideMark/>
          </w:tcPr>
          <w:p w14:paraId="6E92762D"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17,49</w:t>
            </w:r>
          </w:p>
        </w:tc>
        <w:tc>
          <w:tcPr>
            <w:tcW w:w="814" w:type="dxa"/>
            <w:shd w:val="clear" w:color="auto" w:fill="auto"/>
            <w:noWrap/>
            <w:vAlign w:val="bottom"/>
            <w:hideMark/>
          </w:tcPr>
          <w:p w14:paraId="03CCA133"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102,84</w:t>
            </w:r>
          </w:p>
        </w:tc>
      </w:tr>
      <w:tr w:rsidR="00E47AA9" w:rsidRPr="00E47AA9" w14:paraId="5661E8CC" w14:textId="77777777" w:rsidTr="00BB056E">
        <w:trPr>
          <w:trHeight w:val="57"/>
        </w:trPr>
        <w:tc>
          <w:tcPr>
            <w:tcW w:w="3408" w:type="dxa"/>
            <w:shd w:val="clear" w:color="auto" w:fill="auto"/>
            <w:noWrap/>
            <w:vAlign w:val="bottom"/>
            <w:hideMark/>
          </w:tcPr>
          <w:p w14:paraId="245315AD"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Сборы за пользование объектами животного мира и за пользование объектами водных биологических ресурсов</w:t>
            </w:r>
          </w:p>
        </w:tc>
        <w:tc>
          <w:tcPr>
            <w:tcW w:w="1165" w:type="dxa"/>
            <w:shd w:val="clear" w:color="auto" w:fill="auto"/>
            <w:noWrap/>
            <w:vAlign w:val="bottom"/>
            <w:hideMark/>
          </w:tcPr>
          <w:p w14:paraId="227348D1"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2 604,65</w:t>
            </w:r>
          </w:p>
        </w:tc>
        <w:tc>
          <w:tcPr>
            <w:tcW w:w="1240" w:type="dxa"/>
            <w:shd w:val="clear" w:color="auto" w:fill="auto"/>
            <w:noWrap/>
            <w:vAlign w:val="bottom"/>
            <w:hideMark/>
          </w:tcPr>
          <w:p w14:paraId="3BBD51E4"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1,40</w:t>
            </w:r>
          </w:p>
        </w:tc>
        <w:tc>
          <w:tcPr>
            <w:tcW w:w="1139" w:type="dxa"/>
            <w:shd w:val="clear" w:color="auto" w:fill="auto"/>
            <w:noWrap/>
            <w:vAlign w:val="bottom"/>
            <w:hideMark/>
          </w:tcPr>
          <w:p w14:paraId="68FB7B1B"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3 031,74</w:t>
            </w:r>
          </w:p>
        </w:tc>
        <w:tc>
          <w:tcPr>
            <w:tcW w:w="1089" w:type="dxa"/>
            <w:shd w:val="clear" w:color="auto" w:fill="auto"/>
            <w:noWrap/>
            <w:vAlign w:val="bottom"/>
            <w:hideMark/>
          </w:tcPr>
          <w:p w14:paraId="12AEAE80"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1,59</w:t>
            </w:r>
          </w:p>
        </w:tc>
        <w:tc>
          <w:tcPr>
            <w:tcW w:w="1089" w:type="dxa"/>
            <w:shd w:val="clear" w:color="auto" w:fill="auto"/>
            <w:noWrap/>
            <w:vAlign w:val="bottom"/>
            <w:hideMark/>
          </w:tcPr>
          <w:p w14:paraId="5269295C"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427,09</w:t>
            </w:r>
          </w:p>
        </w:tc>
        <w:tc>
          <w:tcPr>
            <w:tcW w:w="814" w:type="dxa"/>
            <w:shd w:val="clear" w:color="auto" w:fill="auto"/>
            <w:noWrap/>
            <w:vAlign w:val="bottom"/>
            <w:hideMark/>
          </w:tcPr>
          <w:p w14:paraId="2764857E"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116,40</w:t>
            </w:r>
          </w:p>
        </w:tc>
      </w:tr>
      <w:tr w:rsidR="00E47AA9" w:rsidRPr="00E47AA9" w14:paraId="647917CC" w14:textId="77777777" w:rsidTr="00BB056E">
        <w:trPr>
          <w:trHeight w:val="57"/>
        </w:trPr>
        <w:tc>
          <w:tcPr>
            <w:tcW w:w="3408" w:type="dxa"/>
            <w:shd w:val="clear" w:color="auto" w:fill="auto"/>
            <w:noWrap/>
            <w:vAlign w:val="bottom"/>
            <w:hideMark/>
          </w:tcPr>
          <w:p w14:paraId="052CB287"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Государственная пошлина</w:t>
            </w:r>
          </w:p>
        </w:tc>
        <w:tc>
          <w:tcPr>
            <w:tcW w:w="1165" w:type="dxa"/>
            <w:shd w:val="clear" w:color="auto" w:fill="auto"/>
            <w:noWrap/>
            <w:vAlign w:val="bottom"/>
            <w:hideMark/>
          </w:tcPr>
          <w:p w14:paraId="1EC9A569"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424,01</w:t>
            </w:r>
          </w:p>
        </w:tc>
        <w:tc>
          <w:tcPr>
            <w:tcW w:w="1240" w:type="dxa"/>
            <w:shd w:val="clear" w:color="auto" w:fill="auto"/>
            <w:noWrap/>
            <w:vAlign w:val="bottom"/>
            <w:hideMark/>
          </w:tcPr>
          <w:p w14:paraId="38DB61BF"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0,23</w:t>
            </w:r>
          </w:p>
        </w:tc>
        <w:tc>
          <w:tcPr>
            <w:tcW w:w="1139" w:type="dxa"/>
            <w:shd w:val="clear" w:color="auto" w:fill="auto"/>
            <w:noWrap/>
            <w:vAlign w:val="bottom"/>
            <w:hideMark/>
          </w:tcPr>
          <w:p w14:paraId="5341A37E"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405,27</w:t>
            </w:r>
          </w:p>
        </w:tc>
        <w:tc>
          <w:tcPr>
            <w:tcW w:w="1089" w:type="dxa"/>
            <w:shd w:val="clear" w:color="auto" w:fill="auto"/>
            <w:noWrap/>
            <w:vAlign w:val="bottom"/>
            <w:hideMark/>
          </w:tcPr>
          <w:p w14:paraId="182A0114"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0,21</w:t>
            </w:r>
          </w:p>
        </w:tc>
        <w:tc>
          <w:tcPr>
            <w:tcW w:w="1089" w:type="dxa"/>
            <w:shd w:val="clear" w:color="auto" w:fill="auto"/>
            <w:noWrap/>
            <w:vAlign w:val="bottom"/>
            <w:hideMark/>
          </w:tcPr>
          <w:p w14:paraId="1E7809C0"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-18,74</w:t>
            </w:r>
          </w:p>
        </w:tc>
        <w:tc>
          <w:tcPr>
            <w:tcW w:w="814" w:type="dxa"/>
            <w:shd w:val="clear" w:color="auto" w:fill="auto"/>
            <w:noWrap/>
            <w:vAlign w:val="bottom"/>
            <w:hideMark/>
          </w:tcPr>
          <w:p w14:paraId="7E1AC80A"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95,58</w:t>
            </w:r>
          </w:p>
        </w:tc>
      </w:tr>
      <w:tr w:rsidR="00E47AA9" w:rsidRPr="00E47AA9" w14:paraId="0F3F969B" w14:textId="77777777" w:rsidTr="00BB056E">
        <w:trPr>
          <w:trHeight w:val="57"/>
        </w:trPr>
        <w:tc>
          <w:tcPr>
            <w:tcW w:w="3408" w:type="dxa"/>
            <w:shd w:val="clear" w:color="auto" w:fill="auto"/>
            <w:noWrap/>
            <w:vAlign w:val="bottom"/>
            <w:hideMark/>
          </w:tcPr>
          <w:p w14:paraId="1492EA2B"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Задолженность и перерасчеты по отмененным налогам, сборам и иным обязательным платежам</w:t>
            </w:r>
          </w:p>
        </w:tc>
        <w:tc>
          <w:tcPr>
            <w:tcW w:w="1165" w:type="dxa"/>
            <w:shd w:val="clear" w:color="auto" w:fill="auto"/>
            <w:noWrap/>
            <w:vAlign w:val="bottom"/>
            <w:hideMark/>
          </w:tcPr>
          <w:p w14:paraId="632E2D2A"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w:t>
            </w:r>
          </w:p>
        </w:tc>
        <w:tc>
          <w:tcPr>
            <w:tcW w:w="1240" w:type="dxa"/>
            <w:shd w:val="clear" w:color="auto" w:fill="auto"/>
            <w:noWrap/>
            <w:vAlign w:val="bottom"/>
            <w:hideMark/>
          </w:tcPr>
          <w:p w14:paraId="7D879146"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1139" w:type="dxa"/>
            <w:shd w:val="clear" w:color="auto" w:fill="auto"/>
            <w:noWrap/>
            <w:vAlign w:val="bottom"/>
            <w:hideMark/>
          </w:tcPr>
          <w:p w14:paraId="54DD35A5"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0,01</w:t>
            </w:r>
          </w:p>
        </w:tc>
        <w:tc>
          <w:tcPr>
            <w:tcW w:w="1089" w:type="dxa"/>
            <w:shd w:val="clear" w:color="auto" w:fill="auto"/>
            <w:noWrap/>
            <w:vAlign w:val="bottom"/>
            <w:hideMark/>
          </w:tcPr>
          <w:p w14:paraId="455FE7AA"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1089" w:type="dxa"/>
            <w:shd w:val="clear" w:color="auto" w:fill="auto"/>
            <w:noWrap/>
            <w:vAlign w:val="bottom"/>
            <w:hideMark/>
          </w:tcPr>
          <w:p w14:paraId="0B472DBE"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0,01</w:t>
            </w:r>
          </w:p>
        </w:tc>
        <w:tc>
          <w:tcPr>
            <w:tcW w:w="814" w:type="dxa"/>
            <w:shd w:val="clear" w:color="auto" w:fill="auto"/>
            <w:noWrap/>
            <w:vAlign w:val="bottom"/>
            <w:hideMark/>
          </w:tcPr>
          <w:p w14:paraId="44B2825A"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w:t>
            </w:r>
          </w:p>
        </w:tc>
      </w:tr>
      <w:tr w:rsidR="00E47AA9" w:rsidRPr="00E47AA9" w14:paraId="2144621B" w14:textId="77777777" w:rsidTr="00BB056E">
        <w:trPr>
          <w:trHeight w:val="57"/>
        </w:trPr>
        <w:tc>
          <w:tcPr>
            <w:tcW w:w="3408" w:type="dxa"/>
            <w:shd w:val="clear" w:color="auto" w:fill="E2EFD9" w:themeFill="accent6" w:themeFillTint="33"/>
            <w:noWrap/>
            <w:vAlign w:val="bottom"/>
            <w:hideMark/>
          </w:tcPr>
          <w:p w14:paraId="15817EF8" w14:textId="77777777" w:rsidR="00A441A6" w:rsidRPr="00E47AA9" w:rsidRDefault="00A441A6" w:rsidP="00572CD1">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Неналоговые доходы</w:t>
            </w:r>
            <w:r w:rsidR="00572CD1" w:rsidRPr="00E47AA9">
              <w:rPr>
                <w:rFonts w:ascii="Times New Roman" w:eastAsia="Times New Roman" w:hAnsi="Times New Roman" w:cs="Times New Roman"/>
                <w:b/>
                <w:bCs/>
                <w:sz w:val="20"/>
                <w:szCs w:val="20"/>
                <w:lang w:eastAsia="ru-RU"/>
              </w:rPr>
              <w:t>,</w:t>
            </w:r>
            <w:r w:rsidRPr="00E47AA9">
              <w:rPr>
                <w:rFonts w:ascii="Times New Roman" w:eastAsia="Times New Roman" w:hAnsi="Times New Roman" w:cs="Times New Roman"/>
                <w:b/>
                <w:bCs/>
                <w:sz w:val="20"/>
                <w:szCs w:val="20"/>
                <w:lang w:eastAsia="ru-RU"/>
              </w:rPr>
              <w:t xml:space="preserve"> всего</w:t>
            </w:r>
          </w:p>
        </w:tc>
        <w:tc>
          <w:tcPr>
            <w:tcW w:w="1165" w:type="dxa"/>
            <w:shd w:val="clear" w:color="auto" w:fill="E2EFD9" w:themeFill="accent6" w:themeFillTint="33"/>
            <w:noWrap/>
            <w:vAlign w:val="bottom"/>
            <w:hideMark/>
          </w:tcPr>
          <w:p w14:paraId="23F0AE96"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7 247,85</w:t>
            </w:r>
          </w:p>
        </w:tc>
        <w:tc>
          <w:tcPr>
            <w:tcW w:w="1240" w:type="dxa"/>
            <w:shd w:val="clear" w:color="auto" w:fill="E2EFD9" w:themeFill="accent6" w:themeFillTint="33"/>
            <w:noWrap/>
            <w:vAlign w:val="bottom"/>
            <w:hideMark/>
          </w:tcPr>
          <w:p w14:paraId="636676B3"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3,89</w:t>
            </w:r>
          </w:p>
        </w:tc>
        <w:tc>
          <w:tcPr>
            <w:tcW w:w="1139" w:type="dxa"/>
            <w:shd w:val="clear" w:color="auto" w:fill="E2EFD9" w:themeFill="accent6" w:themeFillTint="33"/>
            <w:noWrap/>
            <w:vAlign w:val="bottom"/>
            <w:hideMark/>
          </w:tcPr>
          <w:p w14:paraId="6CE4926F"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7 885,53</w:t>
            </w:r>
          </w:p>
        </w:tc>
        <w:tc>
          <w:tcPr>
            <w:tcW w:w="1089" w:type="dxa"/>
            <w:shd w:val="clear" w:color="auto" w:fill="E2EFD9" w:themeFill="accent6" w:themeFillTint="33"/>
            <w:noWrap/>
            <w:vAlign w:val="bottom"/>
            <w:hideMark/>
          </w:tcPr>
          <w:p w14:paraId="17D28B43"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4,14</w:t>
            </w:r>
          </w:p>
        </w:tc>
        <w:tc>
          <w:tcPr>
            <w:tcW w:w="1089" w:type="dxa"/>
            <w:shd w:val="clear" w:color="auto" w:fill="E2EFD9" w:themeFill="accent6" w:themeFillTint="33"/>
            <w:noWrap/>
            <w:vAlign w:val="bottom"/>
            <w:hideMark/>
          </w:tcPr>
          <w:p w14:paraId="03354237"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637,68</w:t>
            </w:r>
          </w:p>
        </w:tc>
        <w:tc>
          <w:tcPr>
            <w:tcW w:w="814" w:type="dxa"/>
            <w:shd w:val="clear" w:color="auto" w:fill="E2EFD9" w:themeFill="accent6" w:themeFillTint="33"/>
            <w:noWrap/>
            <w:vAlign w:val="bottom"/>
            <w:hideMark/>
          </w:tcPr>
          <w:p w14:paraId="2D39E64A" w14:textId="77777777" w:rsidR="00A441A6" w:rsidRPr="00E47AA9" w:rsidRDefault="00A441A6" w:rsidP="00353702">
            <w:pPr>
              <w:spacing w:after="0" w:line="240" w:lineRule="auto"/>
              <w:ind w:left="-120"/>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108,80</w:t>
            </w:r>
          </w:p>
        </w:tc>
      </w:tr>
      <w:tr w:rsidR="00E47AA9" w:rsidRPr="00E47AA9" w14:paraId="31D2513B" w14:textId="77777777" w:rsidTr="00BB056E">
        <w:trPr>
          <w:trHeight w:val="57"/>
        </w:trPr>
        <w:tc>
          <w:tcPr>
            <w:tcW w:w="3408" w:type="dxa"/>
            <w:shd w:val="clear" w:color="auto" w:fill="auto"/>
            <w:noWrap/>
            <w:vAlign w:val="bottom"/>
            <w:hideMark/>
          </w:tcPr>
          <w:p w14:paraId="57745949"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Доходы от использования имущества, находящегося в государственной и муниципальной собственности</w:t>
            </w:r>
          </w:p>
        </w:tc>
        <w:tc>
          <w:tcPr>
            <w:tcW w:w="1165" w:type="dxa"/>
            <w:shd w:val="clear" w:color="auto" w:fill="auto"/>
            <w:noWrap/>
            <w:vAlign w:val="bottom"/>
            <w:hideMark/>
          </w:tcPr>
          <w:p w14:paraId="25921731"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3 007,07</w:t>
            </w:r>
          </w:p>
        </w:tc>
        <w:tc>
          <w:tcPr>
            <w:tcW w:w="1240" w:type="dxa"/>
            <w:shd w:val="clear" w:color="auto" w:fill="auto"/>
            <w:noWrap/>
            <w:vAlign w:val="bottom"/>
            <w:hideMark/>
          </w:tcPr>
          <w:p w14:paraId="70908C30"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1,61</w:t>
            </w:r>
          </w:p>
        </w:tc>
        <w:tc>
          <w:tcPr>
            <w:tcW w:w="1139" w:type="dxa"/>
            <w:shd w:val="clear" w:color="auto" w:fill="auto"/>
            <w:noWrap/>
            <w:vAlign w:val="bottom"/>
            <w:hideMark/>
          </w:tcPr>
          <w:p w14:paraId="745F0206"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3 014,18</w:t>
            </w:r>
          </w:p>
        </w:tc>
        <w:tc>
          <w:tcPr>
            <w:tcW w:w="1089" w:type="dxa"/>
            <w:shd w:val="clear" w:color="auto" w:fill="auto"/>
            <w:noWrap/>
            <w:vAlign w:val="bottom"/>
            <w:hideMark/>
          </w:tcPr>
          <w:p w14:paraId="7BDD924B"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1,58</w:t>
            </w:r>
          </w:p>
        </w:tc>
        <w:tc>
          <w:tcPr>
            <w:tcW w:w="1089" w:type="dxa"/>
            <w:shd w:val="clear" w:color="auto" w:fill="auto"/>
            <w:noWrap/>
            <w:vAlign w:val="bottom"/>
            <w:hideMark/>
          </w:tcPr>
          <w:p w14:paraId="7E4239A8"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7,11</w:t>
            </w:r>
          </w:p>
        </w:tc>
        <w:tc>
          <w:tcPr>
            <w:tcW w:w="814" w:type="dxa"/>
            <w:shd w:val="clear" w:color="auto" w:fill="auto"/>
            <w:noWrap/>
            <w:vAlign w:val="bottom"/>
            <w:hideMark/>
          </w:tcPr>
          <w:p w14:paraId="4DAAF052"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100,24</w:t>
            </w:r>
          </w:p>
        </w:tc>
      </w:tr>
      <w:tr w:rsidR="00E47AA9" w:rsidRPr="00E47AA9" w14:paraId="0F44956D" w14:textId="77777777" w:rsidTr="00BB056E">
        <w:trPr>
          <w:trHeight w:val="57"/>
        </w:trPr>
        <w:tc>
          <w:tcPr>
            <w:tcW w:w="3408" w:type="dxa"/>
            <w:shd w:val="clear" w:color="auto" w:fill="auto"/>
            <w:noWrap/>
            <w:vAlign w:val="bottom"/>
            <w:hideMark/>
          </w:tcPr>
          <w:p w14:paraId="6C831D4C"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lastRenderedPageBreak/>
              <w:t>Платежи при пользовании природными ресурсами</w:t>
            </w:r>
          </w:p>
        </w:tc>
        <w:tc>
          <w:tcPr>
            <w:tcW w:w="1165" w:type="dxa"/>
            <w:shd w:val="clear" w:color="auto" w:fill="auto"/>
            <w:noWrap/>
            <w:vAlign w:val="bottom"/>
            <w:hideMark/>
          </w:tcPr>
          <w:p w14:paraId="7D07D6C8"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899,36</w:t>
            </w:r>
          </w:p>
        </w:tc>
        <w:tc>
          <w:tcPr>
            <w:tcW w:w="1240" w:type="dxa"/>
            <w:shd w:val="clear" w:color="auto" w:fill="auto"/>
            <w:noWrap/>
            <w:vAlign w:val="bottom"/>
            <w:hideMark/>
          </w:tcPr>
          <w:p w14:paraId="30C79F55"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0,48</w:t>
            </w:r>
          </w:p>
        </w:tc>
        <w:tc>
          <w:tcPr>
            <w:tcW w:w="1139" w:type="dxa"/>
            <w:shd w:val="clear" w:color="auto" w:fill="auto"/>
            <w:noWrap/>
            <w:vAlign w:val="bottom"/>
            <w:hideMark/>
          </w:tcPr>
          <w:p w14:paraId="75385046"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929,07</w:t>
            </w:r>
          </w:p>
        </w:tc>
        <w:tc>
          <w:tcPr>
            <w:tcW w:w="1089" w:type="dxa"/>
            <w:shd w:val="clear" w:color="auto" w:fill="auto"/>
            <w:noWrap/>
            <w:vAlign w:val="bottom"/>
            <w:hideMark/>
          </w:tcPr>
          <w:p w14:paraId="0C6C89D0"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0,49</w:t>
            </w:r>
          </w:p>
        </w:tc>
        <w:tc>
          <w:tcPr>
            <w:tcW w:w="1089" w:type="dxa"/>
            <w:shd w:val="clear" w:color="auto" w:fill="auto"/>
            <w:noWrap/>
            <w:vAlign w:val="bottom"/>
            <w:hideMark/>
          </w:tcPr>
          <w:p w14:paraId="3AEFB81F"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29,71</w:t>
            </w:r>
          </w:p>
        </w:tc>
        <w:tc>
          <w:tcPr>
            <w:tcW w:w="814" w:type="dxa"/>
            <w:shd w:val="clear" w:color="auto" w:fill="auto"/>
            <w:noWrap/>
            <w:vAlign w:val="bottom"/>
            <w:hideMark/>
          </w:tcPr>
          <w:p w14:paraId="197742A6"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103,30</w:t>
            </w:r>
          </w:p>
        </w:tc>
      </w:tr>
      <w:tr w:rsidR="00E47AA9" w:rsidRPr="00E47AA9" w14:paraId="17543EBD" w14:textId="77777777" w:rsidTr="00BB056E">
        <w:trPr>
          <w:trHeight w:val="57"/>
        </w:trPr>
        <w:tc>
          <w:tcPr>
            <w:tcW w:w="3408" w:type="dxa"/>
            <w:shd w:val="clear" w:color="auto" w:fill="auto"/>
            <w:noWrap/>
            <w:vAlign w:val="bottom"/>
            <w:hideMark/>
          </w:tcPr>
          <w:p w14:paraId="55253623"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Доходы от оказания платных услуг и компенсации затрат государства</w:t>
            </w:r>
          </w:p>
        </w:tc>
        <w:tc>
          <w:tcPr>
            <w:tcW w:w="1165" w:type="dxa"/>
            <w:shd w:val="clear" w:color="auto" w:fill="auto"/>
            <w:noWrap/>
            <w:vAlign w:val="bottom"/>
            <w:hideMark/>
          </w:tcPr>
          <w:p w14:paraId="0F9AB7C2"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557,86</w:t>
            </w:r>
          </w:p>
        </w:tc>
        <w:tc>
          <w:tcPr>
            <w:tcW w:w="1240" w:type="dxa"/>
            <w:shd w:val="clear" w:color="auto" w:fill="auto"/>
            <w:noWrap/>
            <w:vAlign w:val="bottom"/>
            <w:hideMark/>
          </w:tcPr>
          <w:p w14:paraId="3D883530"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0,30</w:t>
            </w:r>
          </w:p>
        </w:tc>
        <w:tc>
          <w:tcPr>
            <w:tcW w:w="1139" w:type="dxa"/>
            <w:shd w:val="clear" w:color="auto" w:fill="auto"/>
            <w:noWrap/>
            <w:vAlign w:val="bottom"/>
            <w:hideMark/>
          </w:tcPr>
          <w:p w14:paraId="2D6D569E"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955,91</w:t>
            </w:r>
          </w:p>
        </w:tc>
        <w:tc>
          <w:tcPr>
            <w:tcW w:w="1089" w:type="dxa"/>
            <w:shd w:val="clear" w:color="auto" w:fill="auto"/>
            <w:noWrap/>
            <w:vAlign w:val="bottom"/>
            <w:hideMark/>
          </w:tcPr>
          <w:p w14:paraId="56A0BF9E"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0,50</w:t>
            </w:r>
          </w:p>
        </w:tc>
        <w:tc>
          <w:tcPr>
            <w:tcW w:w="1089" w:type="dxa"/>
            <w:shd w:val="clear" w:color="auto" w:fill="auto"/>
            <w:noWrap/>
            <w:vAlign w:val="bottom"/>
            <w:hideMark/>
          </w:tcPr>
          <w:p w14:paraId="6FE3F087"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398,05</w:t>
            </w:r>
          </w:p>
        </w:tc>
        <w:tc>
          <w:tcPr>
            <w:tcW w:w="814" w:type="dxa"/>
            <w:shd w:val="clear" w:color="auto" w:fill="auto"/>
            <w:noWrap/>
            <w:vAlign w:val="bottom"/>
            <w:hideMark/>
          </w:tcPr>
          <w:p w14:paraId="168F6CF9"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171,35</w:t>
            </w:r>
          </w:p>
        </w:tc>
      </w:tr>
      <w:tr w:rsidR="00E47AA9" w:rsidRPr="00E47AA9" w14:paraId="554424D6" w14:textId="77777777" w:rsidTr="00BB056E">
        <w:trPr>
          <w:trHeight w:val="57"/>
        </w:trPr>
        <w:tc>
          <w:tcPr>
            <w:tcW w:w="3408" w:type="dxa"/>
            <w:shd w:val="clear" w:color="auto" w:fill="auto"/>
            <w:noWrap/>
            <w:vAlign w:val="bottom"/>
            <w:hideMark/>
          </w:tcPr>
          <w:p w14:paraId="15F78791"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Доходы от продажи материальных и нематериальных активов</w:t>
            </w:r>
          </w:p>
        </w:tc>
        <w:tc>
          <w:tcPr>
            <w:tcW w:w="1165" w:type="dxa"/>
            <w:shd w:val="clear" w:color="auto" w:fill="auto"/>
            <w:noWrap/>
            <w:vAlign w:val="bottom"/>
            <w:hideMark/>
          </w:tcPr>
          <w:p w14:paraId="54189446"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212,97</w:t>
            </w:r>
          </w:p>
        </w:tc>
        <w:tc>
          <w:tcPr>
            <w:tcW w:w="1240" w:type="dxa"/>
            <w:shd w:val="clear" w:color="auto" w:fill="auto"/>
            <w:noWrap/>
            <w:vAlign w:val="bottom"/>
            <w:hideMark/>
          </w:tcPr>
          <w:p w14:paraId="4DFD3006"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0,11</w:t>
            </w:r>
          </w:p>
        </w:tc>
        <w:tc>
          <w:tcPr>
            <w:tcW w:w="1139" w:type="dxa"/>
            <w:shd w:val="clear" w:color="auto" w:fill="auto"/>
            <w:noWrap/>
            <w:vAlign w:val="bottom"/>
            <w:hideMark/>
          </w:tcPr>
          <w:p w14:paraId="052833EB"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212,97</w:t>
            </w:r>
          </w:p>
        </w:tc>
        <w:tc>
          <w:tcPr>
            <w:tcW w:w="1089" w:type="dxa"/>
            <w:shd w:val="clear" w:color="auto" w:fill="auto"/>
            <w:noWrap/>
            <w:vAlign w:val="bottom"/>
            <w:hideMark/>
          </w:tcPr>
          <w:p w14:paraId="725C7AC3"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0,11</w:t>
            </w:r>
          </w:p>
        </w:tc>
        <w:tc>
          <w:tcPr>
            <w:tcW w:w="1089" w:type="dxa"/>
            <w:shd w:val="clear" w:color="auto" w:fill="auto"/>
            <w:noWrap/>
            <w:vAlign w:val="bottom"/>
            <w:hideMark/>
          </w:tcPr>
          <w:p w14:paraId="60DE741D"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814" w:type="dxa"/>
            <w:shd w:val="clear" w:color="auto" w:fill="auto"/>
            <w:noWrap/>
            <w:vAlign w:val="bottom"/>
            <w:hideMark/>
          </w:tcPr>
          <w:p w14:paraId="51195E51"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r>
      <w:tr w:rsidR="00E47AA9" w:rsidRPr="00E47AA9" w14:paraId="09E92C06" w14:textId="77777777" w:rsidTr="00BB056E">
        <w:trPr>
          <w:trHeight w:val="57"/>
        </w:trPr>
        <w:tc>
          <w:tcPr>
            <w:tcW w:w="3408" w:type="dxa"/>
            <w:shd w:val="clear" w:color="auto" w:fill="auto"/>
            <w:noWrap/>
            <w:vAlign w:val="bottom"/>
            <w:hideMark/>
          </w:tcPr>
          <w:p w14:paraId="324616A9"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Административные платежи и сборы</w:t>
            </w:r>
          </w:p>
        </w:tc>
        <w:tc>
          <w:tcPr>
            <w:tcW w:w="1165" w:type="dxa"/>
            <w:shd w:val="clear" w:color="auto" w:fill="auto"/>
            <w:noWrap/>
            <w:vAlign w:val="bottom"/>
            <w:hideMark/>
          </w:tcPr>
          <w:p w14:paraId="45E020F8"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0,21</w:t>
            </w:r>
          </w:p>
        </w:tc>
        <w:tc>
          <w:tcPr>
            <w:tcW w:w="1240" w:type="dxa"/>
            <w:shd w:val="clear" w:color="auto" w:fill="auto"/>
            <w:noWrap/>
            <w:vAlign w:val="bottom"/>
            <w:hideMark/>
          </w:tcPr>
          <w:p w14:paraId="425DA030"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1139" w:type="dxa"/>
            <w:shd w:val="clear" w:color="auto" w:fill="auto"/>
            <w:noWrap/>
            <w:vAlign w:val="bottom"/>
            <w:hideMark/>
          </w:tcPr>
          <w:p w14:paraId="1CD71FF7"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0,22</w:t>
            </w:r>
          </w:p>
        </w:tc>
        <w:tc>
          <w:tcPr>
            <w:tcW w:w="1089" w:type="dxa"/>
            <w:shd w:val="clear" w:color="auto" w:fill="auto"/>
            <w:noWrap/>
            <w:vAlign w:val="bottom"/>
            <w:hideMark/>
          </w:tcPr>
          <w:p w14:paraId="03F207FF"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1089" w:type="dxa"/>
            <w:shd w:val="clear" w:color="auto" w:fill="auto"/>
            <w:noWrap/>
            <w:vAlign w:val="bottom"/>
            <w:hideMark/>
          </w:tcPr>
          <w:p w14:paraId="77297D20"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0,01</w:t>
            </w:r>
          </w:p>
        </w:tc>
        <w:tc>
          <w:tcPr>
            <w:tcW w:w="814" w:type="dxa"/>
            <w:shd w:val="clear" w:color="auto" w:fill="auto"/>
            <w:noWrap/>
            <w:vAlign w:val="bottom"/>
            <w:hideMark/>
          </w:tcPr>
          <w:p w14:paraId="0DB23D5F"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104,84</w:t>
            </w:r>
          </w:p>
        </w:tc>
      </w:tr>
      <w:tr w:rsidR="00E47AA9" w:rsidRPr="00E47AA9" w14:paraId="55D9F42F" w14:textId="77777777" w:rsidTr="00BB056E">
        <w:trPr>
          <w:trHeight w:val="57"/>
        </w:trPr>
        <w:tc>
          <w:tcPr>
            <w:tcW w:w="3408" w:type="dxa"/>
            <w:shd w:val="clear" w:color="auto" w:fill="auto"/>
            <w:noWrap/>
            <w:vAlign w:val="bottom"/>
            <w:hideMark/>
          </w:tcPr>
          <w:p w14:paraId="514A92BC"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Штрафы, санкции, возмещение ущерба</w:t>
            </w:r>
          </w:p>
        </w:tc>
        <w:tc>
          <w:tcPr>
            <w:tcW w:w="1165" w:type="dxa"/>
            <w:shd w:val="clear" w:color="auto" w:fill="auto"/>
            <w:noWrap/>
            <w:vAlign w:val="bottom"/>
            <w:hideMark/>
          </w:tcPr>
          <w:p w14:paraId="34EC04BF"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2 531,64</w:t>
            </w:r>
          </w:p>
        </w:tc>
        <w:tc>
          <w:tcPr>
            <w:tcW w:w="1240" w:type="dxa"/>
            <w:shd w:val="clear" w:color="auto" w:fill="auto"/>
            <w:noWrap/>
            <w:vAlign w:val="bottom"/>
            <w:hideMark/>
          </w:tcPr>
          <w:p w14:paraId="5D7EF40B"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1,36</w:t>
            </w:r>
          </w:p>
        </w:tc>
        <w:tc>
          <w:tcPr>
            <w:tcW w:w="1139" w:type="dxa"/>
            <w:shd w:val="clear" w:color="auto" w:fill="auto"/>
            <w:noWrap/>
            <w:vAlign w:val="bottom"/>
            <w:hideMark/>
          </w:tcPr>
          <w:p w14:paraId="6A652FF9"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2 734,01</w:t>
            </w:r>
          </w:p>
        </w:tc>
        <w:tc>
          <w:tcPr>
            <w:tcW w:w="1089" w:type="dxa"/>
            <w:shd w:val="clear" w:color="auto" w:fill="auto"/>
            <w:noWrap/>
            <w:vAlign w:val="bottom"/>
            <w:hideMark/>
          </w:tcPr>
          <w:p w14:paraId="46EE4577"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1,43</w:t>
            </w:r>
          </w:p>
        </w:tc>
        <w:tc>
          <w:tcPr>
            <w:tcW w:w="1089" w:type="dxa"/>
            <w:shd w:val="clear" w:color="auto" w:fill="auto"/>
            <w:noWrap/>
            <w:vAlign w:val="bottom"/>
            <w:hideMark/>
          </w:tcPr>
          <w:p w14:paraId="3DEBB02F"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202,37</w:t>
            </w:r>
          </w:p>
        </w:tc>
        <w:tc>
          <w:tcPr>
            <w:tcW w:w="814" w:type="dxa"/>
            <w:shd w:val="clear" w:color="auto" w:fill="auto"/>
            <w:noWrap/>
            <w:vAlign w:val="bottom"/>
            <w:hideMark/>
          </w:tcPr>
          <w:p w14:paraId="15D2DFA2"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107,99</w:t>
            </w:r>
          </w:p>
        </w:tc>
      </w:tr>
      <w:tr w:rsidR="00E47AA9" w:rsidRPr="00E47AA9" w14:paraId="6D660CE1" w14:textId="77777777" w:rsidTr="00BB056E">
        <w:trPr>
          <w:trHeight w:val="57"/>
        </w:trPr>
        <w:tc>
          <w:tcPr>
            <w:tcW w:w="3408" w:type="dxa"/>
            <w:shd w:val="clear" w:color="auto" w:fill="auto"/>
            <w:noWrap/>
            <w:vAlign w:val="bottom"/>
            <w:hideMark/>
          </w:tcPr>
          <w:p w14:paraId="2579A0F8"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Прочие неналоговые доходы</w:t>
            </w:r>
          </w:p>
        </w:tc>
        <w:tc>
          <w:tcPr>
            <w:tcW w:w="1165" w:type="dxa"/>
            <w:shd w:val="clear" w:color="auto" w:fill="auto"/>
            <w:noWrap/>
            <w:vAlign w:val="bottom"/>
            <w:hideMark/>
          </w:tcPr>
          <w:p w14:paraId="4621012A"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38,74</w:t>
            </w:r>
          </w:p>
        </w:tc>
        <w:tc>
          <w:tcPr>
            <w:tcW w:w="1240" w:type="dxa"/>
            <w:shd w:val="clear" w:color="auto" w:fill="auto"/>
            <w:noWrap/>
            <w:vAlign w:val="bottom"/>
            <w:hideMark/>
          </w:tcPr>
          <w:p w14:paraId="7B369580"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0,02</w:t>
            </w:r>
          </w:p>
        </w:tc>
        <w:tc>
          <w:tcPr>
            <w:tcW w:w="1139" w:type="dxa"/>
            <w:shd w:val="clear" w:color="auto" w:fill="auto"/>
            <w:noWrap/>
            <w:vAlign w:val="bottom"/>
            <w:hideMark/>
          </w:tcPr>
          <w:p w14:paraId="78124941"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39,17</w:t>
            </w:r>
          </w:p>
        </w:tc>
        <w:tc>
          <w:tcPr>
            <w:tcW w:w="1089" w:type="dxa"/>
            <w:shd w:val="clear" w:color="auto" w:fill="auto"/>
            <w:noWrap/>
            <w:vAlign w:val="bottom"/>
            <w:hideMark/>
          </w:tcPr>
          <w:p w14:paraId="70914942"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0,02</w:t>
            </w:r>
          </w:p>
        </w:tc>
        <w:tc>
          <w:tcPr>
            <w:tcW w:w="1089" w:type="dxa"/>
            <w:shd w:val="clear" w:color="auto" w:fill="auto"/>
            <w:noWrap/>
            <w:vAlign w:val="bottom"/>
            <w:hideMark/>
          </w:tcPr>
          <w:p w14:paraId="10B4528E"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0,43</w:t>
            </w:r>
          </w:p>
        </w:tc>
        <w:tc>
          <w:tcPr>
            <w:tcW w:w="814" w:type="dxa"/>
            <w:shd w:val="clear" w:color="auto" w:fill="auto"/>
            <w:noWrap/>
            <w:vAlign w:val="bottom"/>
            <w:hideMark/>
          </w:tcPr>
          <w:p w14:paraId="70CFC283" w14:textId="77777777" w:rsidR="00A441A6" w:rsidRPr="00E47AA9" w:rsidRDefault="00A441A6" w:rsidP="00353702">
            <w:pPr>
              <w:spacing w:after="0" w:line="240" w:lineRule="auto"/>
              <w:ind w:left="-120"/>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101,13</w:t>
            </w:r>
          </w:p>
        </w:tc>
      </w:tr>
    </w:tbl>
    <w:p w14:paraId="7F090626"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p>
    <w:p w14:paraId="183DEE19"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Значительную долю доходов краевого бюджета на 2024 год (95,86 % от общего объема налоговых и неналоговых поступлений) составляют налоговые доходы, что подчеркивает их ключевую роль в формировании финансовых ресурсов региона.</w:t>
      </w:r>
    </w:p>
    <w:p w14:paraId="1AE3E62A"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Основными налогами, формирующими налоговую базу краевого бюджета в 2024 году, являются налог на доходы физических лиц (38,26 %), налог на прибыль организаций (26,20 %), налог, взимаемый в связи с применением упрощенной системы налогообложения (10,69 %), акцизы (9,02 %) и налог на имущество организаций (7,90 %).</w:t>
      </w:r>
    </w:p>
    <w:p w14:paraId="34018BC3" w14:textId="77777777" w:rsidR="00A441A6" w:rsidRPr="00E47AA9" w:rsidRDefault="00A441A6" w:rsidP="00A441A6">
      <w:pPr>
        <w:spacing w:after="0" w:line="240" w:lineRule="auto"/>
        <w:ind w:firstLine="709"/>
        <w:jc w:val="both"/>
        <w:rPr>
          <w:rFonts w:ascii="Times New Roman" w:eastAsia="Times New Roman" w:hAnsi="Times New Roman" w:cs="Times New Roman"/>
          <w:b/>
          <w:sz w:val="28"/>
          <w:szCs w:val="28"/>
          <w:lang w:eastAsia="ru-RU"/>
        </w:rPr>
      </w:pPr>
    </w:p>
    <w:p w14:paraId="3A5B7BA7" w14:textId="77777777" w:rsidR="00A441A6" w:rsidRPr="00E47AA9" w:rsidRDefault="00A441A6" w:rsidP="00A441A6">
      <w:pPr>
        <w:spacing w:after="0" w:line="240" w:lineRule="auto"/>
        <w:ind w:firstLine="720"/>
        <w:jc w:val="center"/>
        <w:rPr>
          <w:rFonts w:ascii="Times New Roman" w:eastAsia="Times New Roman" w:hAnsi="Times New Roman" w:cs="Times New Roman"/>
          <w:b/>
          <w:sz w:val="24"/>
          <w:szCs w:val="24"/>
          <w:lang w:val="x-none" w:eastAsia="x-none"/>
        </w:rPr>
      </w:pPr>
      <w:r w:rsidRPr="00E47AA9">
        <w:rPr>
          <w:rFonts w:ascii="Times New Roman" w:eastAsia="Times New Roman" w:hAnsi="Times New Roman" w:cs="Times New Roman"/>
          <w:b/>
          <w:sz w:val="24"/>
          <w:szCs w:val="24"/>
          <w:lang w:val="x-none" w:eastAsia="x-none"/>
        </w:rPr>
        <w:t>Структура поступлений налоговых и неналоговых доходов</w:t>
      </w:r>
    </w:p>
    <w:p w14:paraId="62A377E7" w14:textId="77777777" w:rsidR="00A441A6" w:rsidRPr="00E47AA9" w:rsidRDefault="00A441A6" w:rsidP="00A441A6">
      <w:pPr>
        <w:spacing w:after="0" w:line="240" w:lineRule="auto"/>
        <w:ind w:firstLine="720"/>
        <w:jc w:val="center"/>
        <w:rPr>
          <w:rFonts w:ascii="Times New Roman" w:eastAsia="Times New Roman" w:hAnsi="Times New Roman" w:cs="Times New Roman"/>
          <w:b/>
          <w:sz w:val="24"/>
          <w:szCs w:val="24"/>
          <w:lang w:eastAsia="x-none"/>
        </w:rPr>
      </w:pPr>
      <w:r w:rsidRPr="00E47AA9">
        <w:rPr>
          <w:rFonts w:ascii="Times New Roman" w:eastAsia="Times New Roman" w:hAnsi="Times New Roman" w:cs="Times New Roman"/>
          <w:b/>
          <w:sz w:val="24"/>
          <w:szCs w:val="24"/>
          <w:lang w:val="x-none" w:eastAsia="x-none"/>
        </w:rPr>
        <w:t xml:space="preserve"> краевого бюджета за 2023</w:t>
      </w:r>
      <w:r w:rsidRPr="00E47AA9">
        <w:rPr>
          <w:rFonts w:ascii="Times New Roman" w:eastAsia="Times New Roman" w:hAnsi="Times New Roman" w:cs="Times New Roman"/>
          <w:b/>
          <w:sz w:val="24"/>
          <w:szCs w:val="24"/>
          <w:lang w:eastAsia="x-none"/>
        </w:rPr>
        <w:t>-2024</w:t>
      </w:r>
      <w:r w:rsidRPr="00E47AA9">
        <w:rPr>
          <w:rFonts w:ascii="Times New Roman" w:eastAsia="Times New Roman" w:hAnsi="Times New Roman" w:cs="Times New Roman"/>
          <w:b/>
          <w:sz w:val="24"/>
          <w:szCs w:val="24"/>
          <w:lang w:val="x-none" w:eastAsia="x-none"/>
        </w:rPr>
        <w:t xml:space="preserve"> год</w:t>
      </w:r>
      <w:r w:rsidRPr="00E47AA9">
        <w:rPr>
          <w:rFonts w:ascii="Times New Roman" w:eastAsia="Times New Roman" w:hAnsi="Times New Roman" w:cs="Times New Roman"/>
          <w:b/>
          <w:sz w:val="24"/>
          <w:szCs w:val="24"/>
          <w:lang w:eastAsia="x-none"/>
        </w:rPr>
        <w:t>ы</w:t>
      </w:r>
    </w:p>
    <w:p w14:paraId="343BC8A3"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x-none"/>
        </w:rPr>
      </w:pPr>
      <w:r w:rsidRPr="00E47AA9">
        <w:rPr>
          <w:rFonts w:ascii="Times New Roman" w:hAnsi="Times New Roman" w:cs="Times New Roman"/>
          <w:noProof/>
          <w:lang w:eastAsia="ru-RU"/>
          <w14:ligatures w14:val="standardContextual"/>
        </w:rPr>
        <w:drawing>
          <wp:inline distT="0" distB="0" distL="0" distR="0" wp14:anchorId="2DCE5C80" wp14:editId="60BF5CA9">
            <wp:extent cx="5334000" cy="3893905"/>
            <wp:effectExtent l="0" t="0" r="0" b="0"/>
            <wp:docPr id="149719657"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1F246AD0-0AF6-A311-D34E-B73B27CB45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48CE862" w14:textId="77777777" w:rsidR="00A441A6" w:rsidRPr="00E47AA9" w:rsidRDefault="00A441A6" w:rsidP="00A441A6">
      <w:pPr>
        <w:spacing w:after="0" w:line="240" w:lineRule="auto"/>
        <w:jc w:val="center"/>
        <w:rPr>
          <w:rFonts w:ascii="Times New Roman" w:eastAsia="Times New Roman" w:hAnsi="Times New Roman" w:cs="Times New Roman"/>
          <w:b/>
          <w:sz w:val="28"/>
          <w:szCs w:val="28"/>
          <w:lang w:eastAsia="x-none"/>
        </w:rPr>
      </w:pPr>
    </w:p>
    <w:p w14:paraId="5CBBE944" w14:textId="77777777" w:rsidR="00A441A6" w:rsidRPr="00E47AA9" w:rsidRDefault="00A441A6" w:rsidP="00081AC1">
      <w:pPr>
        <w:spacing w:after="0" w:line="240" w:lineRule="auto"/>
        <w:jc w:val="center"/>
        <w:rPr>
          <w:rFonts w:ascii="Times New Roman" w:eastAsia="Times New Roman" w:hAnsi="Times New Roman" w:cs="Times New Roman"/>
          <w:b/>
          <w:sz w:val="28"/>
          <w:szCs w:val="28"/>
          <w:lang w:eastAsia="x-none"/>
        </w:rPr>
      </w:pPr>
      <w:r w:rsidRPr="00E47AA9">
        <w:rPr>
          <w:rFonts w:ascii="Times New Roman" w:eastAsia="Times New Roman" w:hAnsi="Times New Roman" w:cs="Times New Roman"/>
          <w:b/>
          <w:sz w:val="28"/>
          <w:szCs w:val="28"/>
          <w:lang w:eastAsia="x-none"/>
        </w:rPr>
        <w:t>4.1.1. </w:t>
      </w:r>
      <w:r w:rsidRPr="00E47AA9">
        <w:rPr>
          <w:rFonts w:ascii="Times New Roman" w:eastAsia="Times New Roman" w:hAnsi="Times New Roman" w:cs="Times New Roman"/>
          <w:b/>
          <w:sz w:val="28"/>
          <w:szCs w:val="28"/>
          <w:lang w:val="x-none" w:eastAsia="x-none"/>
        </w:rPr>
        <w:t>Налоговые доходы</w:t>
      </w:r>
    </w:p>
    <w:p w14:paraId="2FF0C4AC"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val="x-none" w:eastAsia="x-none"/>
        </w:rPr>
        <w:t>За 2024</w:t>
      </w:r>
      <w:r w:rsidRPr="00E47AA9">
        <w:rPr>
          <w:rFonts w:ascii="Times New Roman" w:eastAsia="Times New Roman" w:hAnsi="Times New Roman" w:cs="Times New Roman"/>
          <w:sz w:val="28"/>
          <w:szCs w:val="28"/>
          <w:lang w:eastAsia="x-none"/>
        </w:rPr>
        <w:t xml:space="preserve"> </w:t>
      </w:r>
      <w:r w:rsidRPr="00E47AA9">
        <w:rPr>
          <w:rFonts w:ascii="Times New Roman" w:eastAsia="Times New Roman" w:hAnsi="Times New Roman" w:cs="Times New Roman"/>
          <w:sz w:val="28"/>
          <w:szCs w:val="28"/>
          <w:lang w:val="x-none" w:eastAsia="x-none"/>
        </w:rPr>
        <w:t xml:space="preserve">год налоговые доходы поступили в сумме </w:t>
      </w:r>
      <w:r w:rsidRPr="00E47AA9">
        <w:rPr>
          <w:rFonts w:ascii="Times New Roman" w:eastAsia="Times New Roman" w:hAnsi="Times New Roman" w:cs="Times New Roman"/>
          <w:sz w:val="28"/>
          <w:szCs w:val="28"/>
          <w:lang w:eastAsia="x-none"/>
        </w:rPr>
        <w:t>182801,20 млн рублей</w:t>
      </w:r>
      <w:r w:rsidRPr="00E47AA9">
        <w:rPr>
          <w:rFonts w:ascii="Times New Roman" w:eastAsia="Times New Roman" w:hAnsi="Times New Roman" w:cs="Times New Roman"/>
          <w:sz w:val="28"/>
          <w:szCs w:val="28"/>
          <w:lang w:val="x-none" w:eastAsia="x-none"/>
        </w:rPr>
        <w:t xml:space="preserve">, </w:t>
      </w:r>
      <w:r w:rsidRPr="00E47AA9">
        <w:rPr>
          <w:rFonts w:ascii="Times New Roman" w:eastAsia="Times New Roman" w:hAnsi="Times New Roman" w:cs="Times New Roman"/>
          <w:sz w:val="28"/>
          <w:szCs w:val="28"/>
          <w:lang w:eastAsia="x-none"/>
        </w:rPr>
        <w:t>или</w:t>
      </w:r>
      <w:r w:rsidRPr="00E47AA9">
        <w:rPr>
          <w:rFonts w:ascii="Times New Roman" w:eastAsia="Times New Roman" w:hAnsi="Times New Roman" w:cs="Times New Roman"/>
          <w:sz w:val="28"/>
          <w:szCs w:val="28"/>
          <w:lang w:val="x-none" w:eastAsia="x-none"/>
        </w:rPr>
        <w:t xml:space="preserve"> </w:t>
      </w:r>
      <w:r w:rsidRPr="00E47AA9">
        <w:rPr>
          <w:rFonts w:ascii="Times New Roman" w:eastAsia="Times New Roman" w:hAnsi="Times New Roman" w:cs="Times New Roman"/>
          <w:sz w:val="28"/>
          <w:szCs w:val="28"/>
          <w:lang w:eastAsia="x-none"/>
        </w:rPr>
        <w:t>102,13</w:t>
      </w:r>
      <w:r w:rsidRPr="00E47AA9">
        <w:rPr>
          <w:rFonts w:ascii="Times New Roman" w:eastAsia="Times New Roman" w:hAnsi="Times New Roman" w:cs="Times New Roman"/>
          <w:sz w:val="28"/>
          <w:szCs w:val="28"/>
          <w:lang w:val="x-none" w:eastAsia="x-none"/>
        </w:rPr>
        <w:t xml:space="preserve"> % бюджетных назначений. </w:t>
      </w:r>
      <w:r w:rsidRPr="00E47AA9">
        <w:rPr>
          <w:rFonts w:ascii="Times New Roman" w:eastAsia="Times New Roman" w:hAnsi="Times New Roman" w:cs="Times New Roman"/>
          <w:sz w:val="28"/>
          <w:szCs w:val="28"/>
          <w:lang w:eastAsia="x-none"/>
        </w:rPr>
        <w:t>Годовой план (178990,77 млн рублей) перевыполнен на 3810,43</w:t>
      </w:r>
      <w:r w:rsidRPr="00E47AA9">
        <w:rPr>
          <w:rFonts w:ascii="Times New Roman" w:eastAsia="Times New Roman" w:hAnsi="Times New Roman" w:cs="Times New Roman"/>
          <w:sz w:val="28"/>
          <w:szCs w:val="28"/>
          <w:lang w:val="x-none" w:eastAsia="x-none"/>
        </w:rPr>
        <w:t> млн рублей.</w:t>
      </w:r>
      <w:r w:rsidRPr="00E47AA9">
        <w:rPr>
          <w:rFonts w:ascii="Times New Roman" w:eastAsia="Times New Roman" w:hAnsi="Times New Roman" w:cs="Times New Roman"/>
          <w:sz w:val="28"/>
          <w:szCs w:val="28"/>
          <w:lang w:eastAsia="x-none"/>
        </w:rPr>
        <w:t xml:space="preserve"> </w:t>
      </w:r>
      <w:r w:rsidRPr="00E47AA9">
        <w:rPr>
          <w:rFonts w:ascii="Times New Roman" w:eastAsia="Times New Roman" w:hAnsi="Times New Roman" w:cs="Times New Roman"/>
          <w:sz w:val="28"/>
          <w:szCs w:val="28"/>
          <w:lang w:eastAsia="ru-RU"/>
        </w:rPr>
        <w:t xml:space="preserve">По сравнению с предыдущим годом налоговых доходов поступило больше на 11,08 %, или на 18235,08 млн рублей. </w:t>
      </w:r>
    </w:p>
    <w:p w14:paraId="42B5D4B3"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Сравнительный анализ поступлений налоговых доходов в </w:t>
      </w:r>
      <w:r w:rsidRPr="00E47AA9">
        <w:rPr>
          <w:rFonts w:ascii="Times New Roman" w:eastAsia="Times New Roman" w:hAnsi="Times New Roman" w:cs="Times New Roman"/>
          <w:sz w:val="28"/>
          <w:szCs w:val="28"/>
          <w:lang w:eastAsia="ru-RU"/>
        </w:rPr>
        <w:br/>
        <w:t xml:space="preserve">2023 </w:t>
      </w:r>
      <w:r w:rsidR="00572CD1"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2024 годах, а также утвержденные плановые назначения на 2025 год приведены в таблице.</w:t>
      </w:r>
    </w:p>
    <w:tbl>
      <w:tblPr>
        <w:tblW w:w="9945" w:type="dxa"/>
        <w:tblInd w:w="-567" w:type="dxa"/>
        <w:tblLook w:val="04A0" w:firstRow="1" w:lastRow="0" w:firstColumn="1" w:lastColumn="0" w:noHBand="0" w:noVBand="1"/>
      </w:tblPr>
      <w:tblGrid>
        <w:gridCol w:w="2269"/>
        <w:gridCol w:w="1223"/>
        <w:gridCol w:w="1122"/>
        <w:gridCol w:w="1223"/>
        <w:gridCol w:w="1122"/>
        <w:gridCol w:w="1223"/>
        <w:gridCol w:w="995"/>
        <w:gridCol w:w="768"/>
      </w:tblGrid>
      <w:tr w:rsidR="00E47AA9" w:rsidRPr="00E47AA9" w14:paraId="469EF520" w14:textId="77777777" w:rsidTr="00353702">
        <w:trPr>
          <w:trHeight w:val="20"/>
          <w:tblHeader/>
        </w:trPr>
        <w:tc>
          <w:tcPr>
            <w:tcW w:w="2269" w:type="dxa"/>
            <w:tcBorders>
              <w:bottom w:val="single" w:sz="4" w:space="0" w:color="auto"/>
            </w:tcBorders>
            <w:shd w:val="clear" w:color="auto" w:fill="auto"/>
            <w:vAlign w:val="center"/>
          </w:tcPr>
          <w:p w14:paraId="54ADA52D" w14:textId="77777777" w:rsidR="00A441A6" w:rsidRPr="00E47AA9" w:rsidRDefault="00A441A6" w:rsidP="00353702">
            <w:pPr>
              <w:spacing w:after="0" w:line="240" w:lineRule="auto"/>
              <w:jc w:val="center"/>
              <w:rPr>
                <w:rFonts w:ascii="Times New Roman" w:eastAsia="Times New Roman" w:hAnsi="Times New Roman" w:cs="Times New Roman"/>
                <w:sz w:val="21"/>
                <w:szCs w:val="21"/>
                <w:lang w:eastAsia="ru-RU"/>
              </w:rPr>
            </w:pPr>
          </w:p>
        </w:tc>
        <w:tc>
          <w:tcPr>
            <w:tcW w:w="2345" w:type="dxa"/>
            <w:gridSpan w:val="2"/>
            <w:tcBorders>
              <w:bottom w:val="single" w:sz="4" w:space="0" w:color="auto"/>
            </w:tcBorders>
            <w:shd w:val="clear" w:color="000000" w:fill="FFFFFF"/>
            <w:vAlign w:val="center"/>
          </w:tcPr>
          <w:p w14:paraId="24A69A7F" w14:textId="77777777" w:rsidR="00A441A6" w:rsidRPr="00E47AA9" w:rsidRDefault="00A441A6" w:rsidP="00353702">
            <w:pPr>
              <w:spacing w:after="0" w:line="240" w:lineRule="auto"/>
              <w:jc w:val="center"/>
              <w:rPr>
                <w:rFonts w:ascii="Times New Roman" w:eastAsia="Times New Roman" w:hAnsi="Times New Roman" w:cs="Times New Roman"/>
                <w:sz w:val="21"/>
                <w:szCs w:val="21"/>
                <w:lang w:eastAsia="ru-RU"/>
              </w:rPr>
            </w:pPr>
          </w:p>
        </w:tc>
        <w:tc>
          <w:tcPr>
            <w:tcW w:w="2345" w:type="dxa"/>
            <w:gridSpan w:val="2"/>
            <w:tcBorders>
              <w:bottom w:val="single" w:sz="4" w:space="0" w:color="auto"/>
            </w:tcBorders>
            <w:shd w:val="clear" w:color="000000" w:fill="FFFFFF"/>
            <w:vAlign w:val="center"/>
          </w:tcPr>
          <w:p w14:paraId="2681CA3D" w14:textId="77777777" w:rsidR="00A441A6" w:rsidRPr="00E47AA9" w:rsidRDefault="00A441A6" w:rsidP="00353702">
            <w:pPr>
              <w:spacing w:after="0" w:line="240" w:lineRule="auto"/>
              <w:jc w:val="center"/>
              <w:rPr>
                <w:rFonts w:ascii="Times New Roman" w:eastAsia="Times New Roman" w:hAnsi="Times New Roman" w:cs="Times New Roman"/>
                <w:sz w:val="21"/>
                <w:szCs w:val="21"/>
                <w:lang w:eastAsia="ru-RU"/>
              </w:rPr>
            </w:pPr>
          </w:p>
        </w:tc>
        <w:tc>
          <w:tcPr>
            <w:tcW w:w="1223" w:type="dxa"/>
            <w:tcBorders>
              <w:bottom w:val="single" w:sz="4" w:space="0" w:color="auto"/>
            </w:tcBorders>
            <w:shd w:val="clear" w:color="000000" w:fill="FFFFFF"/>
            <w:vAlign w:val="center"/>
          </w:tcPr>
          <w:p w14:paraId="5C38404E" w14:textId="77777777" w:rsidR="00A441A6" w:rsidRPr="00E47AA9" w:rsidRDefault="00A441A6" w:rsidP="00353702">
            <w:pPr>
              <w:spacing w:after="0" w:line="240" w:lineRule="auto"/>
              <w:jc w:val="center"/>
              <w:rPr>
                <w:rFonts w:ascii="Times New Roman" w:eastAsia="Times New Roman" w:hAnsi="Times New Roman" w:cs="Times New Roman"/>
                <w:sz w:val="21"/>
                <w:szCs w:val="21"/>
                <w:lang w:eastAsia="ru-RU"/>
              </w:rPr>
            </w:pPr>
          </w:p>
        </w:tc>
        <w:tc>
          <w:tcPr>
            <w:tcW w:w="1763" w:type="dxa"/>
            <w:gridSpan w:val="2"/>
            <w:tcBorders>
              <w:bottom w:val="single" w:sz="4" w:space="0" w:color="auto"/>
            </w:tcBorders>
            <w:shd w:val="clear" w:color="auto" w:fill="auto"/>
            <w:vAlign w:val="center"/>
          </w:tcPr>
          <w:p w14:paraId="7507C860"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2DCBF5C2" w14:textId="77777777" w:rsidTr="00353702">
        <w:trPr>
          <w:trHeight w:val="20"/>
          <w:tblHeader/>
        </w:trPr>
        <w:tc>
          <w:tcPr>
            <w:tcW w:w="22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2E95FA" w14:textId="77777777" w:rsidR="00A441A6" w:rsidRPr="00E47AA9" w:rsidRDefault="00A441A6" w:rsidP="00353702">
            <w:pPr>
              <w:spacing w:after="0" w:line="240" w:lineRule="auto"/>
              <w:jc w:val="center"/>
              <w:rPr>
                <w:rFonts w:ascii="Times New Roman" w:eastAsia="Times New Roman" w:hAnsi="Times New Roman" w:cs="Times New Roman"/>
                <w:sz w:val="21"/>
                <w:szCs w:val="21"/>
                <w:lang w:eastAsia="ru-RU"/>
              </w:rPr>
            </w:pPr>
            <w:r w:rsidRPr="00E47AA9">
              <w:rPr>
                <w:rFonts w:ascii="Times New Roman" w:eastAsia="Times New Roman" w:hAnsi="Times New Roman" w:cs="Times New Roman"/>
                <w:sz w:val="21"/>
                <w:szCs w:val="21"/>
                <w:lang w:eastAsia="ru-RU"/>
              </w:rPr>
              <w:t>Наименование</w:t>
            </w:r>
          </w:p>
        </w:tc>
        <w:tc>
          <w:tcPr>
            <w:tcW w:w="234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253C915B" w14:textId="77777777" w:rsidR="00A441A6" w:rsidRPr="00E47AA9" w:rsidRDefault="00A441A6" w:rsidP="00353702">
            <w:pPr>
              <w:spacing w:after="0" w:line="240" w:lineRule="auto"/>
              <w:jc w:val="center"/>
              <w:rPr>
                <w:rFonts w:ascii="Times New Roman" w:eastAsia="Times New Roman" w:hAnsi="Times New Roman" w:cs="Times New Roman"/>
                <w:sz w:val="21"/>
                <w:szCs w:val="21"/>
                <w:lang w:eastAsia="ru-RU"/>
              </w:rPr>
            </w:pPr>
            <w:r w:rsidRPr="00E47AA9">
              <w:rPr>
                <w:rFonts w:ascii="Times New Roman" w:eastAsia="Times New Roman" w:hAnsi="Times New Roman" w:cs="Times New Roman"/>
                <w:sz w:val="21"/>
                <w:szCs w:val="21"/>
                <w:lang w:eastAsia="ru-RU"/>
              </w:rPr>
              <w:t>2023 год</w:t>
            </w:r>
          </w:p>
        </w:tc>
        <w:tc>
          <w:tcPr>
            <w:tcW w:w="234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1FA11B5D" w14:textId="77777777" w:rsidR="00A441A6" w:rsidRPr="00E47AA9" w:rsidRDefault="00A441A6" w:rsidP="00353702">
            <w:pPr>
              <w:spacing w:after="0" w:line="240" w:lineRule="auto"/>
              <w:jc w:val="center"/>
              <w:rPr>
                <w:rFonts w:ascii="Times New Roman" w:eastAsia="Times New Roman" w:hAnsi="Times New Roman" w:cs="Times New Roman"/>
                <w:sz w:val="21"/>
                <w:szCs w:val="21"/>
                <w:lang w:eastAsia="ru-RU"/>
              </w:rPr>
            </w:pPr>
            <w:r w:rsidRPr="00E47AA9">
              <w:rPr>
                <w:rFonts w:ascii="Times New Roman" w:eastAsia="Times New Roman" w:hAnsi="Times New Roman" w:cs="Times New Roman"/>
                <w:sz w:val="21"/>
                <w:szCs w:val="21"/>
                <w:lang w:eastAsia="ru-RU"/>
              </w:rPr>
              <w:t>2024 год</w:t>
            </w:r>
          </w:p>
        </w:tc>
        <w:tc>
          <w:tcPr>
            <w:tcW w:w="1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2A38752" w14:textId="77777777" w:rsidR="00A441A6" w:rsidRPr="00E47AA9" w:rsidRDefault="00A441A6" w:rsidP="00353702">
            <w:pPr>
              <w:spacing w:after="0" w:line="240" w:lineRule="auto"/>
              <w:jc w:val="center"/>
              <w:rPr>
                <w:rFonts w:ascii="Times New Roman" w:eastAsia="Times New Roman" w:hAnsi="Times New Roman" w:cs="Times New Roman"/>
                <w:sz w:val="21"/>
                <w:szCs w:val="21"/>
                <w:lang w:eastAsia="ru-RU"/>
              </w:rPr>
            </w:pPr>
            <w:r w:rsidRPr="00E47AA9">
              <w:rPr>
                <w:rFonts w:ascii="Times New Roman" w:eastAsia="Times New Roman" w:hAnsi="Times New Roman" w:cs="Times New Roman"/>
                <w:sz w:val="21"/>
                <w:szCs w:val="21"/>
                <w:lang w:eastAsia="ru-RU"/>
              </w:rPr>
              <w:t xml:space="preserve">2025 год </w:t>
            </w:r>
          </w:p>
        </w:tc>
        <w:tc>
          <w:tcPr>
            <w:tcW w:w="17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8B01AC"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Отклонение исполнения 2024 года от 2023 года</w:t>
            </w:r>
          </w:p>
        </w:tc>
      </w:tr>
      <w:tr w:rsidR="00E47AA9" w:rsidRPr="00E47AA9" w14:paraId="16A33620" w14:textId="77777777" w:rsidTr="00353702">
        <w:trPr>
          <w:trHeight w:val="20"/>
        </w:trPr>
        <w:tc>
          <w:tcPr>
            <w:tcW w:w="2269" w:type="dxa"/>
            <w:vMerge/>
            <w:tcBorders>
              <w:top w:val="single" w:sz="4" w:space="0" w:color="auto"/>
              <w:left w:val="single" w:sz="4" w:space="0" w:color="auto"/>
              <w:bottom w:val="single" w:sz="4" w:space="0" w:color="auto"/>
              <w:right w:val="single" w:sz="4" w:space="0" w:color="auto"/>
            </w:tcBorders>
            <w:vAlign w:val="center"/>
            <w:hideMark/>
          </w:tcPr>
          <w:p w14:paraId="049FEEE5" w14:textId="77777777" w:rsidR="00A441A6" w:rsidRPr="00E47AA9" w:rsidRDefault="00A441A6" w:rsidP="00353702">
            <w:pPr>
              <w:spacing w:after="0" w:line="240" w:lineRule="auto"/>
              <w:rPr>
                <w:rFonts w:ascii="Times New Roman" w:eastAsia="Times New Roman" w:hAnsi="Times New Roman" w:cs="Times New Roman"/>
                <w:sz w:val="21"/>
                <w:szCs w:val="21"/>
                <w:lang w:eastAsia="ru-RU"/>
              </w:rPr>
            </w:pPr>
          </w:p>
        </w:tc>
        <w:tc>
          <w:tcPr>
            <w:tcW w:w="1223" w:type="dxa"/>
            <w:tcBorders>
              <w:top w:val="nil"/>
              <w:left w:val="nil"/>
              <w:bottom w:val="single" w:sz="4" w:space="0" w:color="auto"/>
              <w:right w:val="single" w:sz="4" w:space="0" w:color="auto"/>
            </w:tcBorders>
            <w:shd w:val="clear" w:color="auto" w:fill="auto"/>
            <w:vAlign w:val="center"/>
            <w:hideMark/>
          </w:tcPr>
          <w:p w14:paraId="069C6B63"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утверждено</w:t>
            </w:r>
          </w:p>
        </w:tc>
        <w:tc>
          <w:tcPr>
            <w:tcW w:w="1122" w:type="dxa"/>
            <w:tcBorders>
              <w:top w:val="nil"/>
              <w:left w:val="nil"/>
              <w:bottom w:val="single" w:sz="4" w:space="0" w:color="auto"/>
              <w:right w:val="single" w:sz="4" w:space="0" w:color="auto"/>
            </w:tcBorders>
            <w:shd w:val="clear" w:color="000000" w:fill="FFFFFF"/>
            <w:vAlign w:val="center"/>
            <w:hideMark/>
          </w:tcPr>
          <w:p w14:paraId="39D05E2D"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w:t>
            </w:r>
          </w:p>
        </w:tc>
        <w:tc>
          <w:tcPr>
            <w:tcW w:w="1223" w:type="dxa"/>
            <w:tcBorders>
              <w:top w:val="nil"/>
              <w:left w:val="nil"/>
              <w:bottom w:val="single" w:sz="4" w:space="0" w:color="auto"/>
              <w:right w:val="single" w:sz="4" w:space="0" w:color="auto"/>
            </w:tcBorders>
            <w:shd w:val="clear" w:color="auto" w:fill="auto"/>
            <w:vAlign w:val="center"/>
            <w:hideMark/>
          </w:tcPr>
          <w:p w14:paraId="09B9BA72"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утверждено</w:t>
            </w:r>
          </w:p>
        </w:tc>
        <w:tc>
          <w:tcPr>
            <w:tcW w:w="1122" w:type="dxa"/>
            <w:tcBorders>
              <w:top w:val="nil"/>
              <w:left w:val="nil"/>
              <w:bottom w:val="single" w:sz="4" w:space="0" w:color="auto"/>
              <w:right w:val="single" w:sz="4" w:space="0" w:color="auto"/>
            </w:tcBorders>
            <w:shd w:val="clear" w:color="000000" w:fill="FFFFFF"/>
            <w:vAlign w:val="center"/>
            <w:hideMark/>
          </w:tcPr>
          <w:p w14:paraId="35324F94"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w:t>
            </w:r>
          </w:p>
        </w:tc>
        <w:tc>
          <w:tcPr>
            <w:tcW w:w="1223" w:type="dxa"/>
            <w:tcBorders>
              <w:top w:val="nil"/>
              <w:left w:val="nil"/>
              <w:bottom w:val="single" w:sz="4" w:space="0" w:color="auto"/>
              <w:right w:val="single" w:sz="4" w:space="0" w:color="auto"/>
            </w:tcBorders>
            <w:shd w:val="clear" w:color="000000" w:fill="FFFFFF"/>
            <w:vAlign w:val="center"/>
            <w:hideMark/>
          </w:tcPr>
          <w:p w14:paraId="6623A207"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утверждено</w:t>
            </w:r>
          </w:p>
        </w:tc>
        <w:tc>
          <w:tcPr>
            <w:tcW w:w="995" w:type="dxa"/>
            <w:tcBorders>
              <w:top w:val="nil"/>
              <w:left w:val="nil"/>
              <w:bottom w:val="single" w:sz="4" w:space="0" w:color="auto"/>
              <w:right w:val="single" w:sz="4" w:space="0" w:color="auto"/>
            </w:tcBorders>
            <w:shd w:val="clear" w:color="auto" w:fill="auto"/>
            <w:vAlign w:val="center"/>
            <w:hideMark/>
          </w:tcPr>
          <w:p w14:paraId="000BC867"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768" w:type="dxa"/>
            <w:tcBorders>
              <w:top w:val="nil"/>
              <w:left w:val="nil"/>
              <w:bottom w:val="single" w:sz="4" w:space="0" w:color="auto"/>
              <w:right w:val="single" w:sz="4" w:space="0" w:color="auto"/>
            </w:tcBorders>
            <w:shd w:val="clear" w:color="auto" w:fill="auto"/>
            <w:vAlign w:val="center"/>
            <w:hideMark/>
          </w:tcPr>
          <w:p w14:paraId="5F13D36F"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w:t>
            </w:r>
          </w:p>
        </w:tc>
      </w:tr>
      <w:tr w:rsidR="00E47AA9" w:rsidRPr="00E47AA9" w14:paraId="1739E3AC" w14:textId="77777777" w:rsidTr="00353702">
        <w:trPr>
          <w:trHeight w:val="20"/>
        </w:trPr>
        <w:tc>
          <w:tcPr>
            <w:tcW w:w="2269" w:type="dxa"/>
            <w:tcBorders>
              <w:top w:val="nil"/>
              <w:left w:val="single" w:sz="4" w:space="0" w:color="auto"/>
              <w:bottom w:val="single" w:sz="4" w:space="0" w:color="auto"/>
              <w:right w:val="single" w:sz="4" w:space="0" w:color="auto"/>
            </w:tcBorders>
            <w:shd w:val="clear" w:color="auto" w:fill="E2EFD9" w:themeFill="accent6" w:themeFillTint="33"/>
            <w:vAlign w:val="center"/>
            <w:hideMark/>
          </w:tcPr>
          <w:p w14:paraId="0E6020DA" w14:textId="77777777" w:rsidR="00A441A6" w:rsidRPr="00E47AA9" w:rsidRDefault="00A441A6" w:rsidP="00353702">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НАЛОГОВЫЕ ДОХОДЫ</w:t>
            </w:r>
          </w:p>
        </w:tc>
        <w:tc>
          <w:tcPr>
            <w:tcW w:w="1223" w:type="dxa"/>
            <w:tcBorders>
              <w:top w:val="nil"/>
              <w:left w:val="nil"/>
              <w:bottom w:val="single" w:sz="4" w:space="0" w:color="auto"/>
              <w:right w:val="single" w:sz="4" w:space="0" w:color="auto"/>
            </w:tcBorders>
            <w:shd w:val="clear" w:color="auto" w:fill="E2EFD9" w:themeFill="accent6" w:themeFillTint="33"/>
            <w:vAlign w:val="bottom"/>
            <w:hideMark/>
          </w:tcPr>
          <w:p w14:paraId="18D8F9A7" w14:textId="77777777" w:rsidR="00A441A6" w:rsidRPr="00E47AA9" w:rsidRDefault="00A441A6"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160 123,57</w:t>
            </w:r>
          </w:p>
        </w:tc>
        <w:tc>
          <w:tcPr>
            <w:tcW w:w="1122" w:type="dxa"/>
            <w:tcBorders>
              <w:top w:val="nil"/>
              <w:left w:val="nil"/>
              <w:bottom w:val="single" w:sz="4" w:space="0" w:color="auto"/>
              <w:right w:val="single" w:sz="4" w:space="0" w:color="auto"/>
            </w:tcBorders>
            <w:shd w:val="clear" w:color="auto" w:fill="E2EFD9" w:themeFill="accent6" w:themeFillTint="33"/>
            <w:vAlign w:val="bottom"/>
            <w:hideMark/>
          </w:tcPr>
          <w:p w14:paraId="56EE46D2" w14:textId="77777777" w:rsidR="00A441A6" w:rsidRPr="00E47AA9" w:rsidRDefault="00A441A6"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164 566,12</w:t>
            </w:r>
          </w:p>
        </w:tc>
        <w:tc>
          <w:tcPr>
            <w:tcW w:w="1223" w:type="dxa"/>
            <w:tcBorders>
              <w:top w:val="nil"/>
              <w:left w:val="nil"/>
              <w:bottom w:val="single" w:sz="4" w:space="0" w:color="auto"/>
              <w:right w:val="single" w:sz="4" w:space="0" w:color="auto"/>
            </w:tcBorders>
            <w:shd w:val="clear" w:color="auto" w:fill="E2EFD9" w:themeFill="accent6" w:themeFillTint="33"/>
            <w:vAlign w:val="bottom"/>
            <w:hideMark/>
          </w:tcPr>
          <w:p w14:paraId="0E1FC740" w14:textId="77777777" w:rsidR="00A441A6" w:rsidRPr="00E47AA9" w:rsidRDefault="00A441A6"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178 990,77</w:t>
            </w:r>
          </w:p>
        </w:tc>
        <w:tc>
          <w:tcPr>
            <w:tcW w:w="1122" w:type="dxa"/>
            <w:tcBorders>
              <w:top w:val="nil"/>
              <w:left w:val="nil"/>
              <w:bottom w:val="single" w:sz="4" w:space="0" w:color="auto"/>
              <w:right w:val="single" w:sz="4" w:space="0" w:color="auto"/>
            </w:tcBorders>
            <w:shd w:val="clear" w:color="auto" w:fill="E2EFD9" w:themeFill="accent6" w:themeFillTint="33"/>
            <w:vAlign w:val="bottom"/>
            <w:hideMark/>
          </w:tcPr>
          <w:p w14:paraId="742B975F" w14:textId="77777777" w:rsidR="00A441A6" w:rsidRPr="00E47AA9" w:rsidRDefault="00A441A6"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182 801,20</w:t>
            </w:r>
          </w:p>
        </w:tc>
        <w:tc>
          <w:tcPr>
            <w:tcW w:w="1223" w:type="dxa"/>
            <w:tcBorders>
              <w:top w:val="nil"/>
              <w:left w:val="nil"/>
              <w:bottom w:val="single" w:sz="4" w:space="0" w:color="auto"/>
              <w:right w:val="single" w:sz="4" w:space="0" w:color="auto"/>
            </w:tcBorders>
            <w:shd w:val="clear" w:color="auto" w:fill="E2EFD9" w:themeFill="accent6" w:themeFillTint="33"/>
            <w:vAlign w:val="bottom"/>
            <w:hideMark/>
          </w:tcPr>
          <w:p w14:paraId="475B0F66" w14:textId="77777777" w:rsidR="00A441A6" w:rsidRPr="00E47AA9" w:rsidRDefault="00A441A6"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184 821,83</w:t>
            </w:r>
          </w:p>
        </w:tc>
        <w:tc>
          <w:tcPr>
            <w:tcW w:w="995" w:type="dxa"/>
            <w:tcBorders>
              <w:top w:val="nil"/>
              <w:left w:val="nil"/>
              <w:bottom w:val="single" w:sz="4" w:space="0" w:color="auto"/>
              <w:right w:val="single" w:sz="4" w:space="0" w:color="auto"/>
            </w:tcBorders>
            <w:shd w:val="clear" w:color="auto" w:fill="E2EFD9" w:themeFill="accent6" w:themeFillTint="33"/>
            <w:vAlign w:val="bottom"/>
            <w:hideMark/>
          </w:tcPr>
          <w:p w14:paraId="0B6A8783" w14:textId="77777777" w:rsidR="00A441A6" w:rsidRPr="00E47AA9" w:rsidRDefault="00A441A6" w:rsidP="00353702">
            <w:pPr>
              <w:spacing w:after="0" w:line="240" w:lineRule="auto"/>
              <w:ind w:left="-248"/>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18 235,08</w:t>
            </w:r>
          </w:p>
        </w:tc>
        <w:tc>
          <w:tcPr>
            <w:tcW w:w="768" w:type="dxa"/>
            <w:tcBorders>
              <w:top w:val="nil"/>
              <w:left w:val="nil"/>
              <w:bottom w:val="single" w:sz="4" w:space="0" w:color="auto"/>
              <w:right w:val="single" w:sz="4" w:space="0" w:color="auto"/>
            </w:tcBorders>
            <w:shd w:val="clear" w:color="auto" w:fill="E2EFD9" w:themeFill="accent6" w:themeFillTint="33"/>
            <w:vAlign w:val="bottom"/>
            <w:hideMark/>
          </w:tcPr>
          <w:p w14:paraId="10DD5CB2" w14:textId="77777777" w:rsidR="00A441A6" w:rsidRPr="00E47AA9" w:rsidRDefault="00A441A6"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111,08</w:t>
            </w:r>
          </w:p>
        </w:tc>
      </w:tr>
      <w:tr w:rsidR="00E47AA9" w:rsidRPr="00E47AA9" w14:paraId="30523E51" w14:textId="77777777" w:rsidTr="00353702">
        <w:trPr>
          <w:trHeight w:val="20"/>
        </w:trPr>
        <w:tc>
          <w:tcPr>
            <w:tcW w:w="2269" w:type="dxa"/>
            <w:tcBorders>
              <w:top w:val="nil"/>
              <w:left w:val="single" w:sz="4" w:space="0" w:color="auto"/>
              <w:bottom w:val="single" w:sz="4" w:space="0" w:color="auto"/>
              <w:right w:val="single" w:sz="4" w:space="0" w:color="auto"/>
            </w:tcBorders>
            <w:shd w:val="clear" w:color="auto" w:fill="auto"/>
            <w:vAlign w:val="center"/>
            <w:hideMark/>
          </w:tcPr>
          <w:p w14:paraId="22DFEA25"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Налог на прибыль организаций</w:t>
            </w:r>
          </w:p>
        </w:tc>
        <w:tc>
          <w:tcPr>
            <w:tcW w:w="1223" w:type="dxa"/>
            <w:tcBorders>
              <w:top w:val="nil"/>
              <w:left w:val="nil"/>
              <w:bottom w:val="single" w:sz="4" w:space="0" w:color="auto"/>
              <w:right w:val="single" w:sz="4" w:space="0" w:color="auto"/>
            </w:tcBorders>
            <w:shd w:val="clear" w:color="000000" w:fill="FFFFFF"/>
            <w:vAlign w:val="bottom"/>
            <w:hideMark/>
          </w:tcPr>
          <w:p w14:paraId="03264AD0"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50 209,03</w:t>
            </w:r>
          </w:p>
        </w:tc>
        <w:tc>
          <w:tcPr>
            <w:tcW w:w="1122" w:type="dxa"/>
            <w:tcBorders>
              <w:top w:val="nil"/>
              <w:left w:val="nil"/>
              <w:bottom w:val="single" w:sz="4" w:space="0" w:color="auto"/>
              <w:right w:val="single" w:sz="4" w:space="0" w:color="auto"/>
            </w:tcBorders>
            <w:shd w:val="clear" w:color="000000" w:fill="FFFFFF"/>
            <w:vAlign w:val="bottom"/>
            <w:hideMark/>
          </w:tcPr>
          <w:p w14:paraId="6F10B7F8"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50 572,90</w:t>
            </w:r>
          </w:p>
        </w:tc>
        <w:tc>
          <w:tcPr>
            <w:tcW w:w="1223" w:type="dxa"/>
            <w:tcBorders>
              <w:top w:val="nil"/>
              <w:left w:val="nil"/>
              <w:bottom w:val="single" w:sz="4" w:space="0" w:color="auto"/>
              <w:right w:val="single" w:sz="4" w:space="0" w:color="auto"/>
            </w:tcBorders>
            <w:shd w:val="clear" w:color="000000" w:fill="FFFFFF"/>
            <w:vAlign w:val="bottom"/>
            <w:hideMark/>
          </w:tcPr>
          <w:p w14:paraId="6F6E9DF4"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48 681,46</w:t>
            </w:r>
          </w:p>
        </w:tc>
        <w:tc>
          <w:tcPr>
            <w:tcW w:w="1122" w:type="dxa"/>
            <w:tcBorders>
              <w:top w:val="nil"/>
              <w:left w:val="nil"/>
              <w:bottom w:val="single" w:sz="4" w:space="0" w:color="auto"/>
              <w:right w:val="single" w:sz="4" w:space="0" w:color="auto"/>
            </w:tcBorders>
            <w:shd w:val="clear" w:color="000000" w:fill="FFFFFF"/>
            <w:vAlign w:val="bottom"/>
            <w:hideMark/>
          </w:tcPr>
          <w:p w14:paraId="01AE89F6"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49 956,67</w:t>
            </w:r>
          </w:p>
        </w:tc>
        <w:tc>
          <w:tcPr>
            <w:tcW w:w="1223" w:type="dxa"/>
            <w:tcBorders>
              <w:top w:val="nil"/>
              <w:left w:val="nil"/>
              <w:bottom w:val="single" w:sz="4" w:space="0" w:color="auto"/>
              <w:right w:val="single" w:sz="4" w:space="0" w:color="auto"/>
            </w:tcBorders>
            <w:shd w:val="clear" w:color="000000" w:fill="FFFFFF"/>
            <w:vAlign w:val="bottom"/>
            <w:hideMark/>
          </w:tcPr>
          <w:p w14:paraId="1FEF60A3"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46 640,54</w:t>
            </w:r>
          </w:p>
        </w:tc>
        <w:tc>
          <w:tcPr>
            <w:tcW w:w="995" w:type="dxa"/>
            <w:tcBorders>
              <w:top w:val="nil"/>
              <w:left w:val="nil"/>
              <w:bottom w:val="single" w:sz="4" w:space="0" w:color="auto"/>
              <w:right w:val="single" w:sz="4" w:space="0" w:color="auto"/>
            </w:tcBorders>
            <w:shd w:val="clear" w:color="000000" w:fill="FFFFFF"/>
            <w:vAlign w:val="bottom"/>
            <w:hideMark/>
          </w:tcPr>
          <w:p w14:paraId="3D5AFE85" w14:textId="77777777" w:rsidR="00A441A6" w:rsidRPr="00E47AA9" w:rsidRDefault="00A441A6" w:rsidP="00353702">
            <w:pPr>
              <w:spacing w:after="0" w:line="240" w:lineRule="auto"/>
              <w:ind w:left="-248"/>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-616,23</w:t>
            </w:r>
          </w:p>
        </w:tc>
        <w:tc>
          <w:tcPr>
            <w:tcW w:w="768" w:type="dxa"/>
            <w:tcBorders>
              <w:top w:val="nil"/>
              <w:left w:val="nil"/>
              <w:bottom w:val="single" w:sz="4" w:space="0" w:color="auto"/>
              <w:right w:val="single" w:sz="4" w:space="0" w:color="auto"/>
            </w:tcBorders>
            <w:shd w:val="clear" w:color="000000" w:fill="FFFFFF"/>
            <w:vAlign w:val="bottom"/>
            <w:hideMark/>
          </w:tcPr>
          <w:p w14:paraId="66E312B9"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98,78</w:t>
            </w:r>
          </w:p>
        </w:tc>
      </w:tr>
      <w:tr w:rsidR="00E47AA9" w:rsidRPr="00E47AA9" w14:paraId="6D30469D" w14:textId="77777777" w:rsidTr="00353702">
        <w:trPr>
          <w:trHeight w:val="20"/>
        </w:trPr>
        <w:tc>
          <w:tcPr>
            <w:tcW w:w="2269" w:type="dxa"/>
            <w:tcBorders>
              <w:top w:val="nil"/>
              <w:left w:val="single" w:sz="4" w:space="0" w:color="auto"/>
              <w:bottom w:val="single" w:sz="4" w:space="0" w:color="auto"/>
              <w:right w:val="single" w:sz="4" w:space="0" w:color="auto"/>
            </w:tcBorders>
            <w:shd w:val="clear" w:color="auto" w:fill="auto"/>
            <w:vAlign w:val="center"/>
            <w:hideMark/>
          </w:tcPr>
          <w:p w14:paraId="5E2D6D9C"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Налог на доходы физических лиц</w:t>
            </w:r>
          </w:p>
        </w:tc>
        <w:tc>
          <w:tcPr>
            <w:tcW w:w="1223" w:type="dxa"/>
            <w:tcBorders>
              <w:top w:val="nil"/>
              <w:left w:val="nil"/>
              <w:bottom w:val="single" w:sz="4" w:space="0" w:color="auto"/>
              <w:right w:val="single" w:sz="4" w:space="0" w:color="auto"/>
            </w:tcBorders>
            <w:shd w:val="clear" w:color="000000" w:fill="FFFFFF"/>
            <w:vAlign w:val="bottom"/>
            <w:hideMark/>
          </w:tcPr>
          <w:p w14:paraId="0FD2DEC1"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58 132,10</w:t>
            </w:r>
          </w:p>
        </w:tc>
        <w:tc>
          <w:tcPr>
            <w:tcW w:w="1122" w:type="dxa"/>
            <w:tcBorders>
              <w:top w:val="nil"/>
              <w:left w:val="nil"/>
              <w:bottom w:val="single" w:sz="4" w:space="0" w:color="auto"/>
              <w:right w:val="single" w:sz="4" w:space="0" w:color="auto"/>
            </w:tcBorders>
            <w:shd w:val="clear" w:color="000000" w:fill="FFFFFF"/>
            <w:vAlign w:val="bottom"/>
            <w:hideMark/>
          </w:tcPr>
          <w:p w14:paraId="27B846DD"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61 481,72</w:t>
            </w:r>
          </w:p>
        </w:tc>
        <w:tc>
          <w:tcPr>
            <w:tcW w:w="1223" w:type="dxa"/>
            <w:tcBorders>
              <w:top w:val="nil"/>
              <w:left w:val="nil"/>
              <w:bottom w:val="single" w:sz="4" w:space="0" w:color="auto"/>
              <w:right w:val="single" w:sz="4" w:space="0" w:color="auto"/>
            </w:tcBorders>
            <w:shd w:val="clear" w:color="000000" w:fill="FFFFFF"/>
            <w:vAlign w:val="bottom"/>
            <w:hideMark/>
          </w:tcPr>
          <w:p w14:paraId="63836154"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71 173,51</w:t>
            </w:r>
          </w:p>
        </w:tc>
        <w:tc>
          <w:tcPr>
            <w:tcW w:w="1122" w:type="dxa"/>
            <w:tcBorders>
              <w:top w:val="nil"/>
              <w:left w:val="nil"/>
              <w:bottom w:val="single" w:sz="4" w:space="0" w:color="auto"/>
              <w:right w:val="single" w:sz="4" w:space="0" w:color="auto"/>
            </w:tcBorders>
            <w:shd w:val="clear" w:color="000000" w:fill="FFFFFF"/>
            <w:vAlign w:val="bottom"/>
            <w:hideMark/>
          </w:tcPr>
          <w:p w14:paraId="4239B393"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72 964,09</w:t>
            </w:r>
          </w:p>
        </w:tc>
        <w:tc>
          <w:tcPr>
            <w:tcW w:w="1223" w:type="dxa"/>
            <w:tcBorders>
              <w:top w:val="nil"/>
              <w:left w:val="nil"/>
              <w:bottom w:val="single" w:sz="4" w:space="0" w:color="auto"/>
              <w:right w:val="single" w:sz="4" w:space="0" w:color="auto"/>
            </w:tcBorders>
            <w:shd w:val="clear" w:color="000000" w:fill="FFFFFF"/>
            <w:vAlign w:val="bottom"/>
            <w:hideMark/>
          </w:tcPr>
          <w:p w14:paraId="3AAAE2FF"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75 292,12</w:t>
            </w:r>
          </w:p>
        </w:tc>
        <w:tc>
          <w:tcPr>
            <w:tcW w:w="995" w:type="dxa"/>
            <w:tcBorders>
              <w:top w:val="nil"/>
              <w:left w:val="nil"/>
              <w:bottom w:val="single" w:sz="4" w:space="0" w:color="auto"/>
              <w:right w:val="single" w:sz="4" w:space="0" w:color="auto"/>
            </w:tcBorders>
            <w:shd w:val="clear" w:color="000000" w:fill="FFFFFF"/>
            <w:vAlign w:val="bottom"/>
            <w:hideMark/>
          </w:tcPr>
          <w:p w14:paraId="48D32D3F" w14:textId="77777777" w:rsidR="00A441A6" w:rsidRPr="00E47AA9" w:rsidRDefault="00A441A6" w:rsidP="00353702">
            <w:pPr>
              <w:spacing w:after="0" w:line="240" w:lineRule="auto"/>
              <w:ind w:left="-248"/>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11 482,37</w:t>
            </w:r>
          </w:p>
        </w:tc>
        <w:tc>
          <w:tcPr>
            <w:tcW w:w="768" w:type="dxa"/>
            <w:tcBorders>
              <w:top w:val="nil"/>
              <w:left w:val="nil"/>
              <w:bottom w:val="single" w:sz="4" w:space="0" w:color="auto"/>
              <w:right w:val="single" w:sz="4" w:space="0" w:color="auto"/>
            </w:tcBorders>
            <w:shd w:val="clear" w:color="000000" w:fill="FFFFFF"/>
            <w:vAlign w:val="bottom"/>
            <w:hideMark/>
          </w:tcPr>
          <w:p w14:paraId="687BB734"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118,68</w:t>
            </w:r>
          </w:p>
        </w:tc>
      </w:tr>
      <w:tr w:rsidR="00E47AA9" w:rsidRPr="00E47AA9" w14:paraId="1EE9D586" w14:textId="77777777" w:rsidTr="00353702">
        <w:trPr>
          <w:trHeight w:val="20"/>
        </w:trPr>
        <w:tc>
          <w:tcPr>
            <w:tcW w:w="2269" w:type="dxa"/>
            <w:tcBorders>
              <w:top w:val="nil"/>
              <w:left w:val="single" w:sz="4" w:space="0" w:color="auto"/>
              <w:bottom w:val="single" w:sz="4" w:space="0" w:color="auto"/>
              <w:right w:val="single" w:sz="4" w:space="0" w:color="auto"/>
            </w:tcBorders>
            <w:shd w:val="clear" w:color="auto" w:fill="auto"/>
            <w:vAlign w:val="center"/>
            <w:hideMark/>
          </w:tcPr>
          <w:p w14:paraId="7011F77C"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bookmarkStart w:id="13" w:name="_Hlk196998777"/>
            <w:r w:rsidRPr="00E47AA9">
              <w:rPr>
                <w:rFonts w:ascii="Times New Roman" w:eastAsia="Times New Roman" w:hAnsi="Times New Roman" w:cs="Times New Roman"/>
                <w:sz w:val="20"/>
                <w:szCs w:val="20"/>
                <w:lang w:eastAsia="ru-RU"/>
              </w:rPr>
              <w:t>Акцизы</w:t>
            </w:r>
          </w:p>
        </w:tc>
        <w:tc>
          <w:tcPr>
            <w:tcW w:w="1223" w:type="dxa"/>
            <w:tcBorders>
              <w:top w:val="nil"/>
              <w:left w:val="nil"/>
              <w:bottom w:val="single" w:sz="4" w:space="0" w:color="auto"/>
              <w:right w:val="single" w:sz="4" w:space="0" w:color="auto"/>
            </w:tcBorders>
            <w:shd w:val="clear" w:color="000000" w:fill="FFFFFF"/>
            <w:vAlign w:val="bottom"/>
            <w:hideMark/>
          </w:tcPr>
          <w:p w14:paraId="7C503306"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14 216,91</w:t>
            </w:r>
          </w:p>
        </w:tc>
        <w:tc>
          <w:tcPr>
            <w:tcW w:w="1122" w:type="dxa"/>
            <w:tcBorders>
              <w:top w:val="nil"/>
              <w:left w:val="nil"/>
              <w:bottom w:val="single" w:sz="4" w:space="0" w:color="auto"/>
              <w:right w:val="single" w:sz="4" w:space="0" w:color="auto"/>
            </w:tcBorders>
            <w:shd w:val="clear" w:color="000000" w:fill="FFFFFF"/>
            <w:vAlign w:val="bottom"/>
            <w:hideMark/>
          </w:tcPr>
          <w:p w14:paraId="2BC26B6F"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15 554,30</w:t>
            </w:r>
          </w:p>
        </w:tc>
        <w:tc>
          <w:tcPr>
            <w:tcW w:w="1223" w:type="dxa"/>
            <w:tcBorders>
              <w:top w:val="nil"/>
              <w:left w:val="nil"/>
              <w:bottom w:val="single" w:sz="4" w:space="0" w:color="auto"/>
              <w:right w:val="single" w:sz="4" w:space="0" w:color="auto"/>
            </w:tcBorders>
            <w:shd w:val="clear" w:color="000000" w:fill="FFFFFF"/>
            <w:vAlign w:val="bottom"/>
            <w:hideMark/>
          </w:tcPr>
          <w:p w14:paraId="5CA05DB6"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17 219,47</w:t>
            </w:r>
          </w:p>
        </w:tc>
        <w:tc>
          <w:tcPr>
            <w:tcW w:w="1122" w:type="dxa"/>
            <w:tcBorders>
              <w:top w:val="nil"/>
              <w:left w:val="nil"/>
              <w:bottom w:val="single" w:sz="4" w:space="0" w:color="auto"/>
              <w:right w:val="single" w:sz="4" w:space="0" w:color="auto"/>
            </w:tcBorders>
            <w:shd w:val="clear" w:color="000000" w:fill="FFFFFF"/>
            <w:vAlign w:val="bottom"/>
            <w:hideMark/>
          </w:tcPr>
          <w:p w14:paraId="0F37E789"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17 195,96</w:t>
            </w:r>
          </w:p>
        </w:tc>
        <w:tc>
          <w:tcPr>
            <w:tcW w:w="1223" w:type="dxa"/>
            <w:tcBorders>
              <w:top w:val="nil"/>
              <w:left w:val="nil"/>
              <w:bottom w:val="single" w:sz="4" w:space="0" w:color="auto"/>
              <w:right w:val="single" w:sz="4" w:space="0" w:color="auto"/>
            </w:tcBorders>
            <w:shd w:val="clear" w:color="000000" w:fill="FFFFFF"/>
            <w:vAlign w:val="bottom"/>
            <w:hideMark/>
          </w:tcPr>
          <w:p w14:paraId="6EBA3321"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21 158,33</w:t>
            </w:r>
          </w:p>
        </w:tc>
        <w:tc>
          <w:tcPr>
            <w:tcW w:w="995" w:type="dxa"/>
            <w:tcBorders>
              <w:top w:val="nil"/>
              <w:left w:val="nil"/>
              <w:bottom w:val="single" w:sz="4" w:space="0" w:color="auto"/>
              <w:right w:val="single" w:sz="4" w:space="0" w:color="auto"/>
            </w:tcBorders>
            <w:shd w:val="clear" w:color="000000" w:fill="FFFFFF"/>
            <w:vAlign w:val="bottom"/>
            <w:hideMark/>
          </w:tcPr>
          <w:p w14:paraId="78487A50" w14:textId="77777777" w:rsidR="00A441A6" w:rsidRPr="00E47AA9" w:rsidRDefault="00A441A6" w:rsidP="00353702">
            <w:pPr>
              <w:spacing w:after="0" w:line="240" w:lineRule="auto"/>
              <w:ind w:left="-248"/>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1 641,66</w:t>
            </w:r>
          </w:p>
        </w:tc>
        <w:tc>
          <w:tcPr>
            <w:tcW w:w="768" w:type="dxa"/>
            <w:tcBorders>
              <w:top w:val="nil"/>
              <w:left w:val="nil"/>
              <w:bottom w:val="single" w:sz="4" w:space="0" w:color="auto"/>
              <w:right w:val="single" w:sz="4" w:space="0" w:color="auto"/>
            </w:tcBorders>
            <w:shd w:val="clear" w:color="000000" w:fill="FFFFFF"/>
            <w:vAlign w:val="bottom"/>
            <w:hideMark/>
          </w:tcPr>
          <w:p w14:paraId="0F893CB0"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110,55</w:t>
            </w:r>
          </w:p>
        </w:tc>
      </w:tr>
      <w:bookmarkEnd w:id="13"/>
      <w:tr w:rsidR="00E47AA9" w:rsidRPr="00E47AA9" w14:paraId="68AFECAD" w14:textId="77777777" w:rsidTr="00353702">
        <w:trPr>
          <w:trHeight w:val="20"/>
        </w:trPr>
        <w:tc>
          <w:tcPr>
            <w:tcW w:w="2269" w:type="dxa"/>
            <w:tcBorders>
              <w:top w:val="nil"/>
              <w:left w:val="single" w:sz="4" w:space="0" w:color="auto"/>
              <w:bottom w:val="single" w:sz="4" w:space="0" w:color="auto"/>
              <w:right w:val="single" w:sz="4" w:space="0" w:color="auto"/>
            </w:tcBorders>
            <w:shd w:val="clear" w:color="auto" w:fill="auto"/>
            <w:vAlign w:val="center"/>
            <w:hideMark/>
          </w:tcPr>
          <w:p w14:paraId="0BB14841"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Налог, взимаемый в связи с применением упрощенной системы налогообложения</w:t>
            </w:r>
          </w:p>
        </w:tc>
        <w:tc>
          <w:tcPr>
            <w:tcW w:w="1223" w:type="dxa"/>
            <w:tcBorders>
              <w:top w:val="nil"/>
              <w:left w:val="nil"/>
              <w:bottom w:val="single" w:sz="4" w:space="0" w:color="auto"/>
              <w:right w:val="single" w:sz="4" w:space="0" w:color="auto"/>
            </w:tcBorders>
            <w:shd w:val="clear" w:color="000000" w:fill="FFFFFF"/>
            <w:vAlign w:val="bottom"/>
            <w:hideMark/>
          </w:tcPr>
          <w:p w14:paraId="2B2D9F89"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16 000,00</w:t>
            </w:r>
          </w:p>
        </w:tc>
        <w:tc>
          <w:tcPr>
            <w:tcW w:w="1122" w:type="dxa"/>
            <w:tcBorders>
              <w:top w:val="nil"/>
              <w:left w:val="nil"/>
              <w:bottom w:val="single" w:sz="4" w:space="0" w:color="auto"/>
              <w:right w:val="single" w:sz="4" w:space="0" w:color="auto"/>
            </w:tcBorders>
            <w:shd w:val="clear" w:color="000000" w:fill="FFFFFF"/>
            <w:vAlign w:val="bottom"/>
            <w:hideMark/>
          </w:tcPr>
          <w:p w14:paraId="104E0DE9"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15 201,69</w:t>
            </w:r>
          </w:p>
        </w:tc>
        <w:tc>
          <w:tcPr>
            <w:tcW w:w="1223" w:type="dxa"/>
            <w:tcBorders>
              <w:top w:val="nil"/>
              <w:left w:val="nil"/>
              <w:bottom w:val="single" w:sz="4" w:space="0" w:color="auto"/>
              <w:right w:val="single" w:sz="4" w:space="0" w:color="auto"/>
            </w:tcBorders>
            <w:shd w:val="clear" w:color="000000" w:fill="FFFFFF"/>
            <w:vAlign w:val="bottom"/>
            <w:hideMark/>
          </w:tcPr>
          <w:p w14:paraId="1D784D88"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20 428,60</w:t>
            </w:r>
          </w:p>
        </w:tc>
        <w:tc>
          <w:tcPr>
            <w:tcW w:w="1122" w:type="dxa"/>
            <w:tcBorders>
              <w:top w:val="nil"/>
              <w:left w:val="nil"/>
              <w:bottom w:val="single" w:sz="4" w:space="0" w:color="auto"/>
              <w:right w:val="single" w:sz="4" w:space="0" w:color="auto"/>
            </w:tcBorders>
            <w:shd w:val="clear" w:color="000000" w:fill="FFFFFF"/>
            <w:vAlign w:val="bottom"/>
            <w:hideMark/>
          </w:tcPr>
          <w:p w14:paraId="2B43227D"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20 386,01</w:t>
            </w:r>
          </w:p>
        </w:tc>
        <w:tc>
          <w:tcPr>
            <w:tcW w:w="1223" w:type="dxa"/>
            <w:tcBorders>
              <w:top w:val="nil"/>
              <w:left w:val="nil"/>
              <w:bottom w:val="single" w:sz="4" w:space="0" w:color="auto"/>
              <w:right w:val="single" w:sz="4" w:space="0" w:color="auto"/>
            </w:tcBorders>
            <w:shd w:val="clear" w:color="000000" w:fill="FFFFFF"/>
            <w:vAlign w:val="bottom"/>
            <w:hideMark/>
          </w:tcPr>
          <w:p w14:paraId="498EE535"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20 245,19</w:t>
            </w:r>
          </w:p>
        </w:tc>
        <w:tc>
          <w:tcPr>
            <w:tcW w:w="995" w:type="dxa"/>
            <w:tcBorders>
              <w:top w:val="nil"/>
              <w:left w:val="nil"/>
              <w:bottom w:val="single" w:sz="4" w:space="0" w:color="auto"/>
              <w:right w:val="single" w:sz="4" w:space="0" w:color="auto"/>
            </w:tcBorders>
            <w:shd w:val="clear" w:color="000000" w:fill="FFFFFF"/>
            <w:vAlign w:val="bottom"/>
            <w:hideMark/>
          </w:tcPr>
          <w:p w14:paraId="09FC0D41" w14:textId="77777777" w:rsidR="00A441A6" w:rsidRPr="00E47AA9" w:rsidRDefault="00A441A6" w:rsidP="00353702">
            <w:pPr>
              <w:spacing w:after="0" w:line="240" w:lineRule="auto"/>
              <w:ind w:left="-248"/>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5 184,32</w:t>
            </w:r>
          </w:p>
        </w:tc>
        <w:tc>
          <w:tcPr>
            <w:tcW w:w="768" w:type="dxa"/>
            <w:tcBorders>
              <w:top w:val="nil"/>
              <w:left w:val="nil"/>
              <w:bottom w:val="single" w:sz="4" w:space="0" w:color="auto"/>
              <w:right w:val="single" w:sz="4" w:space="0" w:color="auto"/>
            </w:tcBorders>
            <w:shd w:val="clear" w:color="000000" w:fill="FFFFFF"/>
            <w:vAlign w:val="bottom"/>
            <w:hideMark/>
          </w:tcPr>
          <w:p w14:paraId="259538C7"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134,10</w:t>
            </w:r>
          </w:p>
        </w:tc>
      </w:tr>
      <w:tr w:rsidR="00E47AA9" w:rsidRPr="00E47AA9" w14:paraId="4FBD88A0" w14:textId="77777777" w:rsidTr="00353702">
        <w:trPr>
          <w:trHeight w:val="20"/>
        </w:trPr>
        <w:tc>
          <w:tcPr>
            <w:tcW w:w="2269" w:type="dxa"/>
            <w:tcBorders>
              <w:top w:val="nil"/>
              <w:left w:val="single" w:sz="4" w:space="0" w:color="auto"/>
              <w:bottom w:val="single" w:sz="4" w:space="0" w:color="auto"/>
              <w:right w:val="single" w:sz="4" w:space="0" w:color="auto"/>
            </w:tcBorders>
            <w:shd w:val="clear" w:color="auto" w:fill="auto"/>
            <w:vAlign w:val="center"/>
            <w:hideMark/>
          </w:tcPr>
          <w:p w14:paraId="4017A681"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Налог на профессиональный доход</w:t>
            </w:r>
          </w:p>
        </w:tc>
        <w:tc>
          <w:tcPr>
            <w:tcW w:w="1223" w:type="dxa"/>
            <w:tcBorders>
              <w:top w:val="nil"/>
              <w:left w:val="nil"/>
              <w:bottom w:val="single" w:sz="4" w:space="0" w:color="auto"/>
              <w:right w:val="single" w:sz="4" w:space="0" w:color="auto"/>
            </w:tcBorders>
            <w:shd w:val="clear" w:color="000000" w:fill="FFFFFF"/>
            <w:vAlign w:val="bottom"/>
            <w:hideMark/>
          </w:tcPr>
          <w:p w14:paraId="665B6DCA"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305,86</w:t>
            </w:r>
          </w:p>
        </w:tc>
        <w:tc>
          <w:tcPr>
            <w:tcW w:w="1122" w:type="dxa"/>
            <w:tcBorders>
              <w:top w:val="nil"/>
              <w:left w:val="nil"/>
              <w:bottom w:val="single" w:sz="4" w:space="0" w:color="auto"/>
              <w:right w:val="single" w:sz="4" w:space="0" w:color="auto"/>
            </w:tcBorders>
            <w:shd w:val="clear" w:color="000000" w:fill="FFFFFF"/>
            <w:vAlign w:val="bottom"/>
            <w:hideMark/>
          </w:tcPr>
          <w:p w14:paraId="5C8FD0CC"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322,93</w:t>
            </w:r>
          </w:p>
        </w:tc>
        <w:tc>
          <w:tcPr>
            <w:tcW w:w="1223" w:type="dxa"/>
            <w:tcBorders>
              <w:top w:val="nil"/>
              <w:left w:val="nil"/>
              <w:bottom w:val="single" w:sz="4" w:space="0" w:color="auto"/>
              <w:right w:val="single" w:sz="4" w:space="0" w:color="auto"/>
            </w:tcBorders>
            <w:shd w:val="clear" w:color="000000" w:fill="FFFFFF"/>
            <w:vAlign w:val="bottom"/>
            <w:hideMark/>
          </w:tcPr>
          <w:p w14:paraId="144A09F7"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501,45</w:t>
            </w:r>
          </w:p>
        </w:tc>
        <w:tc>
          <w:tcPr>
            <w:tcW w:w="1122" w:type="dxa"/>
            <w:tcBorders>
              <w:top w:val="nil"/>
              <w:left w:val="nil"/>
              <w:bottom w:val="single" w:sz="4" w:space="0" w:color="auto"/>
              <w:right w:val="single" w:sz="4" w:space="0" w:color="auto"/>
            </w:tcBorders>
            <w:shd w:val="clear" w:color="000000" w:fill="FFFFFF"/>
            <w:vAlign w:val="bottom"/>
            <w:hideMark/>
          </w:tcPr>
          <w:p w14:paraId="776CF2C3"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522,53</w:t>
            </w:r>
          </w:p>
        </w:tc>
        <w:tc>
          <w:tcPr>
            <w:tcW w:w="1223" w:type="dxa"/>
            <w:tcBorders>
              <w:top w:val="nil"/>
              <w:left w:val="nil"/>
              <w:bottom w:val="single" w:sz="4" w:space="0" w:color="auto"/>
              <w:right w:val="single" w:sz="4" w:space="0" w:color="auto"/>
            </w:tcBorders>
            <w:shd w:val="clear" w:color="000000" w:fill="FFFFFF"/>
            <w:vAlign w:val="bottom"/>
            <w:hideMark/>
          </w:tcPr>
          <w:p w14:paraId="29AA1F39"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489,26</w:t>
            </w:r>
          </w:p>
        </w:tc>
        <w:tc>
          <w:tcPr>
            <w:tcW w:w="995" w:type="dxa"/>
            <w:tcBorders>
              <w:top w:val="nil"/>
              <w:left w:val="nil"/>
              <w:bottom w:val="single" w:sz="4" w:space="0" w:color="auto"/>
              <w:right w:val="single" w:sz="4" w:space="0" w:color="auto"/>
            </w:tcBorders>
            <w:shd w:val="clear" w:color="000000" w:fill="FFFFFF"/>
            <w:vAlign w:val="bottom"/>
            <w:hideMark/>
          </w:tcPr>
          <w:p w14:paraId="7E7C9543"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199,60</w:t>
            </w:r>
          </w:p>
        </w:tc>
        <w:tc>
          <w:tcPr>
            <w:tcW w:w="768" w:type="dxa"/>
            <w:tcBorders>
              <w:top w:val="nil"/>
              <w:left w:val="nil"/>
              <w:bottom w:val="single" w:sz="4" w:space="0" w:color="auto"/>
              <w:right w:val="single" w:sz="4" w:space="0" w:color="auto"/>
            </w:tcBorders>
            <w:shd w:val="clear" w:color="000000" w:fill="FFFFFF"/>
            <w:vAlign w:val="bottom"/>
            <w:hideMark/>
          </w:tcPr>
          <w:p w14:paraId="0C771717"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161,81</w:t>
            </w:r>
          </w:p>
        </w:tc>
      </w:tr>
      <w:tr w:rsidR="00E47AA9" w:rsidRPr="00E47AA9" w14:paraId="4FF79D7E" w14:textId="77777777" w:rsidTr="00353702">
        <w:trPr>
          <w:trHeight w:val="20"/>
        </w:trPr>
        <w:tc>
          <w:tcPr>
            <w:tcW w:w="2269" w:type="dxa"/>
            <w:tcBorders>
              <w:top w:val="nil"/>
              <w:left w:val="single" w:sz="4" w:space="0" w:color="auto"/>
              <w:bottom w:val="single" w:sz="4" w:space="0" w:color="auto"/>
              <w:right w:val="single" w:sz="4" w:space="0" w:color="auto"/>
            </w:tcBorders>
            <w:shd w:val="clear" w:color="auto" w:fill="auto"/>
            <w:vAlign w:val="center"/>
            <w:hideMark/>
          </w:tcPr>
          <w:p w14:paraId="352F2F9A"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Налог на имущество организаций</w:t>
            </w:r>
          </w:p>
        </w:tc>
        <w:tc>
          <w:tcPr>
            <w:tcW w:w="1223" w:type="dxa"/>
            <w:tcBorders>
              <w:top w:val="nil"/>
              <w:left w:val="nil"/>
              <w:bottom w:val="single" w:sz="4" w:space="0" w:color="auto"/>
              <w:right w:val="single" w:sz="4" w:space="0" w:color="auto"/>
            </w:tcBorders>
            <w:shd w:val="clear" w:color="000000" w:fill="FFFFFF"/>
            <w:vAlign w:val="bottom"/>
            <w:hideMark/>
          </w:tcPr>
          <w:p w14:paraId="6E41F9BD"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15 231,26</w:t>
            </w:r>
          </w:p>
        </w:tc>
        <w:tc>
          <w:tcPr>
            <w:tcW w:w="1122" w:type="dxa"/>
            <w:tcBorders>
              <w:top w:val="nil"/>
              <w:left w:val="nil"/>
              <w:bottom w:val="single" w:sz="4" w:space="0" w:color="auto"/>
              <w:right w:val="single" w:sz="4" w:space="0" w:color="auto"/>
            </w:tcBorders>
            <w:shd w:val="clear" w:color="000000" w:fill="FFFFFF"/>
            <w:vAlign w:val="bottom"/>
            <w:hideMark/>
          </w:tcPr>
          <w:p w14:paraId="7416BCD8"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14 993,69</w:t>
            </w:r>
          </w:p>
        </w:tc>
        <w:tc>
          <w:tcPr>
            <w:tcW w:w="1223" w:type="dxa"/>
            <w:tcBorders>
              <w:top w:val="nil"/>
              <w:left w:val="nil"/>
              <w:bottom w:val="single" w:sz="4" w:space="0" w:color="auto"/>
              <w:right w:val="single" w:sz="4" w:space="0" w:color="auto"/>
            </w:tcBorders>
            <w:shd w:val="clear" w:color="000000" w:fill="FFFFFF"/>
            <w:vAlign w:val="bottom"/>
            <w:hideMark/>
          </w:tcPr>
          <w:p w14:paraId="2757ADF8"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14 831,41</w:t>
            </w:r>
          </w:p>
        </w:tc>
        <w:tc>
          <w:tcPr>
            <w:tcW w:w="1122" w:type="dxa"/>
            <w:tcBorders>
              <w:top w:val="nil"/>
              <w:left w:val="nil"/>
              <w:bottom w:val="single" w:sz="4" w:space="0" w:color="auto"/>
              <w:right w:val="single" w:sz="4" w:space="0" w:color="auto"/>
            </w:tcBorders>
            <w:shd w:val="clear" w:color="000000" w:fill="FFFFFF"/>
            <w:vAlign w:val="bottom"/>
            <w:hideMark/>
          </w:tcPr>
          <w:p w14:paraId="69B9D48A"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15 064,98</w:t>
            </w:r>
          </w:p>
        </w:tc>
        <w:tc>
          <w:tcPr>
            <w:tcW w:w="1223" w:type="dxa"/>
            <w:tcBorders>
              <w:top w:val="nil"/>
              <w:left w:val="nil"/>
              <w:bottom w:val="single" w:sz="4" w:space="0" w:color="auto"/>
              <w:right w:val="single" w:sz="4" w:space="0" w:color="auto"/>
            </w:tcBorders>
            <w:shd w:val="clear" w:color="000000" w:fill="FFFFFF"/>
            <w:vAlign w:val="bottom"/>
            <w:hideMark/>
          </w:tcPr>
          <w:p w14:paraId="191B9CFC"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15 337,73</w:t>
            </w:r>
          </w:p>
        </w:tc>
        <w:tc>
          <w:tcPr>
            <w:tcW w:w="995" w:type="dxa"/>
            <w:tcBorders>
              <w:top w:val="nil"/>
              <w:left w:val="nil"/>
              <w:bottom w:val="single" w:sz="4" w:space="0" w:color="auto"/>
              <w:right w:val="single" w:sz="4" w:space="0" w:color="auto"/>
            </w:tcBorders>
            <w:shd w:val="clear" w:color="000000" w:fill="FFFFFF"/>
            <w:vAlign w:val="bottom"/>
            <w:hideMark/>
          </w:tcPr>
          <w:p w14:paraId="536223C5"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71,29</w:t>
            </w:r>
          </w:p>
        </w:tc>
        <w:tc>
          <w:tcPr>
            <w:tcW w:w="768" w:type="dxa"/>
            <w:tcBorders>
              <w:top w:val="nil"/>
              <w:left w:val="nil"/>
              <w:bottom w:val="single" w:sz="4" w:space="0" w:color="auto"/>
              <w:right w:val="single" w:sz="4" w:space="0" w:color="auto"/>
            </w:tcBorders>
            <w:shd w:val="clear" w:color="000000" w:fill="FFFFFF"/>
            <w:vAlign w:val="bottom"/>
            <w:hideMark/>
          </w:tcPr>
          <w:p w14:paraId="77032D8E"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100,48</w:t>
            </w:r>
          </w:p>
        </w:tc>
      </w:tr>
      <w:tr w:rsidR="00E47AA9" w:rsidRPr="00E47AA9" w14:paraId="2A438831" w14:textId="77777777" w:rsidTr="00353702">
        <w:trPr>
          <w:trHeight w:val="20"/>
        </w:trPr>
        <w:tc>
          <w:tcPr>
            <w:tcW w:w="2269" w:type="dxa"/>
            <w:tcBorders>
              <w:top w:val="nil"/>
              <w:left w:val="single" w:sz="4" w:space="0" w:color="auto"/>
              <w:bottom w:val="single" w:sz="4" w:space="0" w:color="auto"/>
              <w:right w:val="single" w:sz="4" w:space="0" w:color="auto"/>
            </w:tcBorders>
            <w:shd w:val="clear" w:color="auto" w:fill="auto"/>
            <w:vAlign w:val="center"/>
            <w:hideMark/>
          </w:tcPr>
          <w:p w14:paraId="6961BCD1"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Транспортный налог</w:t>
            </w:r>
          </w:p>
        </w:tc>
        <w:tc>
          <w:tcPr>
            <w:tcW w:w="1223" w:type="dxa"/>
            <w:tcBorders>
              <w:top w:val="nil"/>
              <w:left w:val="nil"/>
              <w:bottom w:val="single" w:sz="4" w:space="0" w:color="auto"/>
              <w:right w:val="single" w:sz="4" w:space="0" w:color="auto"/>
            </w:tcBorders>
            <w:shd w:val="clear" w:color="000000" w:fill="FFFFFF"/>
            <w:vAlign w:val="bottom"/>
            <w:hideMark/>
          </w:tcPr>
          <w:p w14:paraId="65959A28"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2 262,09</w:t>
            </w:r>
          </w:p>
        </w:tc>
        <w:tc>
          <w:tcPr>
            <w:tcW w:w="1122" w:type="dxa"/>
            <w:tcBorders>
              <w:top w:val="nil"/>
              <w:left w:val="nil"/>
              <w:bottom w:val="single" w:sz="4" w:space="0" w:color="auto"/>
              <w:right w:val="single" w:sz="4" w:space="0" w:color="auto"/>
            </w:tcBorders>
            <w:shd w:val="clear" w:color="000000" w:fill="FFFFFF"/>
            <w:vAlign w:val="bottom"/>
            <w:hideMark/>
          </w:tcPr>
          <w:p w14:paraId="3747D084"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2 295,07</w:t>
            </w:r>
          </w:p>
        </w:tc>
        <w:tc>
          <w:tcPr>
            <w:tcW w:w="1223" w:type="dxa"/>
            <w:tcBorders>
              <w:top w:val="nil"/>
              <w:left w:val="nil"/>
              <w:bottom w:val="single" w:sz="4" w:space="0" w:color="auto"/>
              <w:right w:val="single" w:sz="4" w:space="0" w:color="auto"/>
            </w:tcBorders>
            <w:shd w:val="clear" w:color="auto" w:fill="auto"/>
            <w:noWrap/>
            <w:vAlign w:val="bottom"/>
            <w:hideMark/>
          </w:tcPr>
          <w:p w14:paraId="59172594"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2 342,24</w:t>
            </w:r>
          </w:p>
        </w:tc>
        <w:tc>
          <w:tcPr>
            <w:tcW w:w="1122" w:type="dxa"/>
            <w:tcBorders>
              <w:top w:val="nil"/>
              <w:left w:val="nil"/>
              <w:bottom w:val="single" w:sz="4" w:space="0" w:color="auto"/>
              <w:right w:val="single" w:sz="4" w:space="0" w:color="auto"/>
            </w:tcBorders>
            <w:shd w:val="clear" w:color="000000" w:fill="FFFFFF"/>
            <w:vAlign w:val="bottom"/>
            <w:hideMark/>
          </w:tcPr>
          <w:p w14:paraId="68097F7F"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2 471,33</w:t>
            </w:r>
          </w:p>
        </w:tc>
        <w:tc>
          <w:tcPr>
            <w:tcW w:w="1223" w:type="dxa"/>
            <w:tcBorders>
              <w:top w:val="nil"/>
              <w:left w:val="nil"/>
              <w:bottom w:val="single" w:sz="4" w:space="0" w:color="auto"/>
              <w:right w:val="single" w:sz="4" w:space="0" w:color="auto"/>
            </w:tcBorders>
            <w:shd w:val="clear" w:color="000000" w:fill="FFFFFF"/>
            <w:vAlign w:val="bottom"/>
            <w:hideMark/>
          </w:tcPr>
          <w:p w14:paraId="4F6D1815"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2 305,05</w:t>
            </w:r>
          </w:p>
        </w:tc>
        <w:tc>
          <w:tcPr>
            <w:tcW w:w="995" w:type="dxa"/>
            <w:tcBorders>
              <w:top w:val="nil"/>
              <w:left w:val="nil"/>
              <w:bottom w:val="single" w:sz="4" w:space="0" w:color="auto"/>
              <w:right w:val="single" w:sz="4" w:space="0" w:color="auto"/>
            </w:tcBorders>
            <w:shd w:val="clear" w:color="000000" w:fill="FFFFFF"/>
            <w:vAlign w:val="bottom"/>
            <w:hideMark/>
          </w:tcPr>
          <w:p w14:paraId="2741BB84"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176,26</w:t>
            </w:r>
          </w:p>
        </w:tc>
        <w:tc>
          <w:tcPr>
            <w:tcW w:w="768" w:type="dxa"/>
            <w:tcBorders>
              <w:top w:val="nil"/>
              <w:left w:val="nil"/>
              <w:bottom w:val="single" w:sz="4" w:space="0" w:color="auto"/>
              <w:right w:val="single" w:sz="4" w:space="0" w:color="auto"/>
            </w:tcBorders>
            <w:shd w:val="clear" w:color="000000" w:fill="FFFFFF"/>
            <w:vAlign w:val="bottom"/>
            <w:hideMark/>
          </w:tcPr>
          <w:p w14:paraId="1FC38149"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107,68</w:t>
            </w:r>
          </w:p>
        </w:tc>
      </w:tr>
      <w:tr w:rsidR="00E47AA9" w:rsidRPr="00E47AA9" w14:paraId="2CCE29A1" w14:textId="77777777" w:rsidTr="00353702">
        <w:trPr>
          <w:trHeight w:val="20"/>
        </w:trPr>
        <w:tc>
          <w:tcPr>
            <w:tcW w:w="2269" w:type="dxa"/>
            <w:tcBorders>
              <w:top w:val="nil"/>
              <w:left w:val="single" w:sz="4" w:space="0" w:color="auto"/>
              <w:bottom w:val="single" w:sz="4" w:space="0" w:color="auto"/>
              <w:right w:val="single" w:sz="4" w:space="0" w:color="auto"/>
            </w:tcBorders>
            <w:shd w:val="clear" w:color="auto" w:fill="auto"/>
            <w:vAlign w:val="center"/>
            <w:hideMark/>
          </w:tcPr>
          <w:p w14:paraId="7BCC7BE4"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Налог на игорный бизнес</w:t>
            </w:r>
          </w:p>
        </w:tc>
        <w:tc>
          <w:tcPr>
            <w:tcW w:w="1223" w:type="dxa"/>
            <w:tcBorders>
              <w:top w:val="nil"/>
              <w:left w:val="nil"/>
              <w:bottom w:val="single" w:sz="4" w:space="0" w:color="auto"/>
              <w:right w:val="single" w:sz="4" w:space="0" w:color="auto"/>
            </w:tcBorders>
            <w:shd w:val="clear" w:color="000000" w:fill="FFFFFF"/>
            <w:vAlign w:val="bottom"/>
            <w:hideMark/>
          </w:tcPr>
          <w:p w14:paraId="6EB9CD97"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154,22</w:t>
            </w:r>
          </w:p>
        </w:tc>
        <w:tc>
          <w:tcPr>
            <w:tcW w:w="1122" w:type="dxa"/>
            <w:tcBorders>
              <w:top w:val="nil"/>
              <w:left w:val="nil"/>
              <w:bottom w:val="single" w:sz="4" w:space="0" w:color="auto"/>
              <w:right w:val="single" w:sz="4" w:space="0" w:color="auto"/>
            </w:tcBorders>
            <w:shd w:val="clear" w:color="000000" w:fill="FFFFFF"/>
            <w:vAlign w:val="bottom"/>
            <w:hideMark/>
          </w:tcPr>
          <w:p w14:paraId="69110C1E"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121,81</w:t>
            </w:r>
          </w:p>
        </w:tc>
        <w:tc>
          <w:tcPr>
            <w:tcW w:w="1223" w:type="dxa"/>
            <w:tcBorders>
              <w:top w:val="nil"/>
              <w:left w:val="nil"/>
              <w:bottom w:val="single" w:sz="4" w:space="0" w:color="auto"/>
              <w:right w:val="single" w:sz="4" w:space="0" w:color="auto"/>
            </w:tcBorders>
            <w:shd w:val="clear" w:color="auto" w:fill="auto"/>
            <w:noWrap/>
            <w:vAlign w:val="bottom"/>
            <w:hideMark/>
          </w:tcPr>
          <w:p w14:paraId="4E0ADB40"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167,14</w:t>
            </w:r>
          </w:p>
        </w:tc>
        <w:tc>
          <w:tcPr>
            <w:tcW w:w="1122" w:type="dxa"/>
            <w:tcBorders>
              <w:top w:val="nil"/>
              <w:left w:val="nil"/>
              <w:bottom w:val="single" w:sz="4" w:space="0" w:color="auto"/>
              <w:right w:val="single" w:sz="4" w:space="0" w:color="auto"/>
            </w:tcBorders>
            <w:shd w:val="clear" w:color="000000" w:fill="FFFFFF"/>
            <w:vAlign w:val="bottom"/>
            <w:hideMark/>
          </w:tcPr>
          <w:p w14:paraId="118A05DD"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168,29</w:t>
            </w:r>
          </w:p>
        </w:tc>
        <w:tc>
          <w:tcPr>
            <w:tcW w:w="1223" w:type="dxa"/>
            <w:tcBorders>
              <w:top w:val="nil"/>
              <w:left w:val="nil"/>
              <w:bottom w:val="single" w:sz="4" w:space="0" w:color="auto"/>
              <w:right w:val="single" w:sz="4" w:space="0" w:color="auto"/>
            </w:tcBorders>
            <w:shd w:val="clear" w:color="000000" w:fill="FFFFFF"/>
            <w:vAlign w:val="bottom"/>
            <w:hideMark/>
          </w:tcPr>
          <w:p w14:paraId="770F9A11"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169,28</w:t>
            </w:r>
          </w:p>
        </w:tc>
        <w:tc>
          <w:tcPr>
            <w:tcW w:w="995" w:type="dxa"/>
            <w:tcBorders>
              <w:top w:val="nil"/>
              <w:left w:val="nil"/>
              <w:bottom w:val="single" w:sz="4" w:space="0" w:color="auto"/>
              <w:right w:val="single" w:sz="4" w:space="0" w:color="auto"/>
            </w:tcBorders>
            <w:shd w:val="clear" w:color="000000" w:fill="FFFFFF"/>
            <w:vAlign w:val="bottom"/>
            <w:hideMark/>
          </w:tcPr>
          <w:p w14:paraId="2C967384"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46,48</w:t>
            </w:r>
          </w:p>
        </w:tc>
        <w:tc>
          <w:tcPr>
            <w:tcW w:w="768" w:type="dxa"/>
            <w:tcBorders>
              <w:top w:val="nil"/>
              <w:left w:val="nil"/>
              <w:bottom w:val="single" w:sz="4" w:space="0" w:color="auto"/>
              <w:right w:val="single" w:sz="4" w:space="0" w:color="auto"/>
            </w:tcBorders>
            <w:shd w:val="clear" w:color="000000" w:fill="FFFFFF"/>
            <w:vAlign w:val="bottom"/>
            <w:hideMark/>
          </w:tcPr>
          <w:p w14:paraId="22DA53D0"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138,16</w:t>
            </w:r>
          </w:p>
        </w:tc>
      </w:tr>
      <w:tr w:rsidR="00E47AA9" w:rsidRPr="00E47AA9" w14:paraId="3775E04A" w14:textId="77777777" w:rsidTr="00353702">
        <w:trPr>
          <w:trHeight w:val="20"/>
        </w:trPr>
        <w:tc>
          <w:tcPr>
            <w:tcW w:w="2269" w:type="dxa"/>
            <w:tcBorders>
              <w:top w:val="nil"/>
              <w:left w:val="single" w:sz="4" w:space="0" w:color="auto"/>
              <w:bottom w:val="single" w:sz="4" w:space="0" w:color="auto"/>
              <w:right w:val="single" w:sz="4" w:space="0" w:color="auto"/>
            </w:tcBorders>
            <w:shd w:val="clear" w:color="auto" w:fill="auto"/>
            <w:vAlign w:val="center"/>
            <w:hideMark/>
          </w:tcPr>
          <w:p w14:paraId="7C1FE1DF"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Налоги, сборы и регулярные платежи за пользование природными ресурсами</w:t>
            </w:r>
          </w:p>
        </w:tc>
        <w:tc>
          <w:tcPr>
            <w:tcW w:w="1223" w:type="dxa"/>
            <w:tcBorders>
              <w:top w:val="nil"/>
              <w:left w:val="nil"/>
              <w:bottom w:val="single" w:sz="4" w:space="0" w:color="auto"/>
              <w:right w:val="single" w:sz="4" w:space="0" w:color="auto"/>
            </w:tcBorders>
            <w:shd w:val="clear" w:color="000000" w:fill="FFFFFF"/>
            <w:vAlign w:val="bottom"/>
            <w:hideMark/>
          </w:tcPr>
          <w:p w14:paraId="6E2926CA"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3 211,88</w:t>
            </w:r>
          </w:p>
        </w:tc>
        <w:tc>
          <w:tcPr>
            <w:tcW w:w="1122" w:type="dxa"/>
            <w:tcBorders>
              <w:top w:val="nil"/>
              <w:left w:val="nil"/>
              <w:bottom w:val="single" w:sz="4" w:space="0" w:color="auto"/>
              <w:right w:val="single" w:sz="4" w:space="0" w:color="auto"/>
            </w:tcBorders>
            <w:shd w:val="clear" w:color="000000" w:fill="FFFFFF"/>
            <w:vAlign w:val="bottom"/>
            <w:hideMark/>
          </w:tcPr>
          <w:p w14:paraId="3BC1FA1C"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3 587,90</w:t>
            </w:r>
          </w:p>
        </w:tc>
        <w:tc>
          <w:tcPr>
            <w:tcW w:w="1223" w:type="dxa"/>
            <w:tcBorders>
              <w:top w:val="nil"/>
              <w:left w:val="nil"/>
              <w:bottom w:val="single" w:sz="4" w:space="0" w:color="auto"/>
              <w:right w:val="single" w:sz="4" w:space="0" w:color="auto"/>
            </w:tcBorders>
            <w:shd w:val="clear" w:color="000000" w:fill="FFFFFF"/>
            <w:vAlign w:val="bottom"/>
            <w:hideMark/>
          </w:tcPr>
          <w:p w14:paraId="1BA4DF36"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3 221,48</w:t>
            </w:r>
          </w:p>
        </w:tc>
        <w:tc>
          <w:tcPr>
            <w:tcW w:w="1122" w:type="dxa"/>
            <w:tcBorders>
              <w:top w:val="nil"/>
              <w:left w:val="nil"/>
              <w:bottom w:val="single" w:sz="4" w:space="0" w:color="auto"/>
              <w:right w:val="single" w:sz="4" w:space="0" w:color="auto"/>
            </w:tcBorders>
            <w:shd w:val="clear" w:color="000000" w:fill="FFFFFF"/>
            <w:vAlign w:val="bottom"/>
            <w:hideMark/>
          </w:tcPr>
          <w:p w14:paraId="1F13E8B2"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3 666,06</w:t>
            </w:r>
          </w:p>
        </w:tc>
        <w:tc>
          <w:tcPr>
            <w:tcW w:w="1223" w:type="dxa"/>
            <w:tcBorders>
              <w:top w:val="nil"/>
              <w:left w:val="nil"/>
              <w:bottom w:val="single" w:sz="4" w:space="0" w:color="auto"/>
              <w:right w:val="single" w:sz="4" w:space="0" w:color="auto"/>
            </w:tcBorders>
            <w:shd w:val="clear" w:color="000000" w:fill="FFFFFF"/>
            <w:vAlign w:val="bottom"/>
            <w:hideMark/>
          </w:tcPr>
          <w:p w14:paraId="59D2B27B"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2 767,09</w:t>
            </w:r>
          </w:p>
        </w:tc>
        <w:tc>
          <w:tcPr>
            <w:tcW w:w="995" w:type="dxa"/>
            <w:tcBorders>
              <w:top w:val="nil"/>
              <w:left w:val="nil"/>
              <w:bottom w:val="single" w:sz="4" w:space="0" w:color="auto"/>
              <w:right w:val="single" w:sz="4" w:space="0" w:color="auto"/>
            </w:tcBorders>
            <w:shd w:val="clear" w:color="000000" w:fill="FFFFFF"/>
            <w:vAlign w:val="bottom"/>
            <w:hideMark/>
          </w:tcPr>
          <w:p w14:paraId="0315ECE8"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78,16</w:t>
            </w:r>
          </w:p>
        </w:tc>
        <w:tc>
          <w:tcPr>
            <w:tcW w:w="768" w:type="dxa"/>
            <w:tcBorders>
              <w:top w:val="nil"/>
              <w:left w:val="nil"/>
              <w:bottom w:val="single" w:sz="4" w:space="0" w:color="auto"/>
              <w:right w:val="single" w:sz="4" w:space="0" w:color="auto"/>
            </w:tcBorders>
            <w:shd w:val="clear" w:color="000000" w:fill="FFFFFF"/>
            <w:vAlign w:val="bottom"/>
            <w:hideMark/>
          </w:tcPr>
          <w:p w14:paraId="7B2E3A0C"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102,18</w:t>
            </w:r>
          </w:p>
        </w:tc>
      </w:tr>
      <w:tr w:rsidR="00E47AA9" w:rsidRPr="00E47AA9" w14:paraId="56D1A9EE" w14:textId="77777777" w:rsidTr="00353702">
        <w:trPr>
          <w:trHeight w:val="20"/>
        </w:trPr>
        <w:tc>
          <w:tcPr>
            <w:tcW w:w="2269" w:type="dxa"/>
            <w:tcBorders>
              <w:top w:val="nil"/>
              <w:left w:val="single" w:sz="4" w:space="0" w:color="auto"/>
              <w:bottom w:val="single" w:sz="4" w:space="0" w:color="auto"/>
              <w:right w:val="single" w:sz="4" w:space="0" w:color="auto"/>
            </w:tcBorders>
            <w:shd w:val="clear" w:color="auto" w:fill="auto"/>
            <w:vAlign w:val="center"/>
            <w:hideMark/>
          </w:tcPr>
          <w:p w14:paraId="402A4017"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Государственная пошлина</w:t>
            </w:r>
          </w:p>
        </w:tc>
        <w:tc>
          <w:tcPr>
            <w:tcW w:w="1223" w:type="dxa"/>
            <w:tcBorders>
              <w:top w:val="nil"/>
              <w:left w:val="nil"/>
              <w:bottom w:val="single" w:sz="4" w:space="0" w:color="auto"/>
              <w:right w:val="single" w:sz="4" w:space="0" w:color="auto"/>
            </w:tcBorders>
            <w:shd w:val="clear" w:color="000000" w:fill="FFFFFF"/>
            <w:vAlign w:val="bottom"/>
            <w:hideMark/>
          </w:tcPr>
          <w:p w14:paraId="2FE97797"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400,23</w:t>
            </w:r>
          </w:p>
        </w:tc>
        <w:tc>
          <w:tcPr>
            <w:tcW w:w="1122" w:type="dxa"/>
            <w:tcBorders>
              <w:top w:val="nil"/>
              <w:left w:val="nil"/>
              <w:bottom w:val="single" w:sz="4" w:space="0" w:color="auto"/>
              <w:right w:val="single" w:sz="4" w:space="0" w:color="auto"/>
            </w:tcBorders>
            <w:shd w:val="clear" w:color="000000" w:fill="FFFFFF"/>
            <w:vAlign w:val="bottom"/>
            <w:hideMark/>
          </w:tcPr>
          <w:p w14:paraId="2A9DAF67"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434,17</w:t>
            </w:r>
          </w:p>
        </w:tc>
        <w:tc>
          <w:tcPr>
            <w:tcW w:w="1223" w:type="dxa"/>
            <w:tcBorders>
              <w:top w:val="nil"/>
              <w:left w:val="nil"/>
              <w:bottom w:val="single" w:sz="4" w:space="0" w:color="auto"/>
              <w:right w:val="single" w:sz="4" w:space="0" w:color="auto"/>
            </w:tcBorders>
            <w:shd w:val="clear" w:color="000000" w:fill="FFFFFF"/>
            <w:vAlign w:val="bottom"/>
            <w:hideMark/>
          </w:tcPr>
          <w:p w14:paraId="7E5ECA32"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424,01</w:t>
            </w:r>
          </w:p>
        </w:tc>
        <w:tc>
          <w:tcPr>
            <w:tcW w:w="1122" w:type="dxa"/>
            <w:tcBorders>
              <w:top w:val="nil"/>
              <w:left w:val="nil"/>
              <w:bottom w:val="single" w:sz="4" w:space="0" w:color="auto"/>
              <w:right w:val="single" w:sz="4" w:space="0" w:color="auto"/>
            </w:tcBorders>
            <w:shd w:val="clear" w:color="auto" w:fill="auto"/>
            <w:noWrap/>
            <w:vAlign w:val="bottom"/>
            <w:hideMark/>
          </w:tcPr>
          <w:p w14:paraId="157FE0D2"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405,27</w:t>
            </w:r>
          </w:p>
        </w:tc>
        <w:tc>
          <w:tcPr>
            <w:tcW w:w="1223" w:type="dxa"/>
            <w:tcBorders>
              <w:top w:val="nil"/>
              <w:left w:val="nil"/>
              <w:bottom w:val="single" w:sz="4" w:space="0" w:color="auto"/>
              <w:right w:val="single" w:sz="4" w:space="0" w:color="auto"/>
            </w:tcBorders>
            <w:shd w:val="clear" w:color="auto" w:fill="auto"/>
            <w:noWrap/>
            <w:vAlign w:val="bottom"/>
            <w:hideMark/>
          </w:tcPr>
          <w:p w14:paraId="65E0871E"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417,24</w:t>
            </w:r>
          </w:p>
        </w:tc>
        <w:tc>
          <w:tcPr>
            <w:tcW w:w="995" w:type="dxa"/>
            <w:tcBorders>
              <w:top w:val="nil"/>
              <w:left w:val="nil"/>
              <w:bottom w:val="single" w:sz="4" w:space="0" w:color="auto"/>
              <w:right w:val="single" w:sz="4" w:space="0" w:color="auto"/>
            </w:tcBorders>
            <w:shd w:val="clear" w:color="000000" w:fill="FFFFFF"/>
            <w:vAlign w:val="bottom"/>
            <w:hideMark/>
          </w:tcPr>
          <w:p w14:paraId="71AC77E4"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-28,90</w:t>
            </w:r>
          </w:p>
        </w:tc>
        <w:tc>
          <w:tcPr>
            <w:tcW w:w="768" w:type="dxa"/>
            <w:tcBorders>
              <w:top w:val="nil"/>
              <w:left w:val="nil"/>
              <w:bottom w:val="single" w:sz="4" w:space="0" w:color="auto"/>
              <w:right w:val="single" w:sz="4" w:space="0" w:color="auto"/>
            </w:tcBorders>
            <w:shd w:val="clear" w:color="000000" w:fill="FFFFFF"/>
            <w:vAlign w:val="bottom"/>
            <w:hideMark/>
          </w:tcPr>
          <w:p w14:paraId="0080588C"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93,34</w:t>
            </w:r>
          </w:p>
        </w:tc>
      </w:tr>
      <w:tr w:rsidR="00E47AA9" w:rsidRPr="00E47AA9" w14:paraId="2F092CAB" w14:textId="77777777" w:rsidTr="00353702">
        <w:trPr>
          <w:trHeight w:val="20"/>
        </w:trPr>
        <w:tc>
          <w:tcPr>
            <w:tcW w:w="2269" w:type="dxa"/>
            <w:tcBorders>
              <w:top w:val="nil"/>
              <w:left w:val="single" w:sz="4" w:space="0" w:color="auto"/>
              <w:bottom w:val="single" w:sz="4" w:space="0" w:color="auto"/>
              <w:right w:val="single" w:sz="4" w:space="0" w:color="auto"/>
            </w:tcBorders>
            <w:shd w:val="clear" w:color="auto" w:fill="auto"/>
            <w:vAlign w:val="center"/>
            <w:hideMark/>
          </w:tcPr>
          <w:p w14:paraId="4470FCB5"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Задолженность и перерасчеты по отмененным налогам, сборам и иным обязательным платежам</w:t>
            </w:r>
          </w:p>
        </w:tc>
        <w:tc>
          <w:tcPr>
            <w:tcW w:w="1223" w:type="dxa"/>
            <w:tcBorders>
              <w:top w:val="nil"/>
              <w:left w:val="nil"/>
              <w:bottom w:val="single" w:sz="4" w:space="0" w:color="auto"/>
              <w:right w:val="single" w:sz="4" w:space="0" w:color="auto"/>
            </w:tcBorders>
            <w:shd w:val="clear" w:color="000000" w:fill="FFFFFF"/>
            <w:vAlign w:val="bottom"/>
            <w:hideMark/>
          </w:tcPr>
          <w:p w14:paraId="3D9B8A9D"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1122" w:type="dxa"/>
            <w:tcBorders>
              <w:top w:val="nil"/>
              <w:left w:val="nil"/>
              <w:bottom w:val="single" w:sz="4" w:space="0" w:color="auto"/>
              <w:right w:val="single" w:sz="4" w:space="0" w:color="auto"/>
            </w:tcBorders>
            <w:shd w:val="clear" w:color="000000" w:fill="FFFFFF"/>
            <w:vAlign w:val="bottom"/>
            <w:hideMark/>
          </w:tcPr>
          <w:p w14:paraId="1321813B"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-0,07</w:t>
            </w:r>
          </w:p>
        </w:tc>
        <w:tc>
          <w:tcPr>
            <w:tcW w:w="1223" w:type="dxa"/>
            <w:tcBorders>
              <w:top w:val="nil"/>
              <w:left w:val="nil"/>
              <w:bottom w:val="single" w:sz="4" w:space="0" w:color="auto"/>
              <w:right w:val="single" w:sz="4" w:space="0" w:color="auto"/>
            </w:tcBorders>
            <w:shd w:val="clear" w:color="000000" w:fill="FFFFFF"/>
            <w:vAlign w:val="bottom"/>
            <w:hideMark/>
          </w:tcPr>
          <w:p w14:paraId="07675FE5"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1122" w:type="dxa"/>
            <w:tcBorders>
              <w:top w:val="nil"/>
              <w:left w:val="nil"/>
              <w:bottom w:val="single" w:sz="4" w:space="0" w:color="auto"/>
              <w:right w:val="single" w:sz="4" w:space="0" w:color="auto"/>
            </w:tcBorders>
            <w:shd w:val="clear" w:color="auto" w:fill="auto"/>
            <w:noWrap/>
            <w:vAlign w:val="bottom"/>
            <w:hideMark/>
          </w:tcPr>
          <w:p w14:paraId="23D69528"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0,01</w:t>
            </w:r>
          </w:p>
        </w:tc>
        <w:tc>
          <w:tcPr>
            <w:tcW w:w="1223" w:type="dxa"/>
            <w:tcBorders>
              <w:top w:val="nil"/>
              <w:left w:val="nil"/>
              <w:bottom w:val="single" w:sz="4" w:space="0" w:color="auto"/>
              <w:right w:val="single" w:sz="4" w:space="0" w:color="auto"/>
            </w:tcBorders>
            <w:shd w:val="clear" w:color="auto" w:fill="auto"/>
            <w:noWrap/>
            <w:vAlign w:val="bottom"/>
            <w:hideMark/>
          </w:tcPr>
          <w:p w14:paraId="7A24E583"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995" w:type="dxa"/>
            <w:tcBorders>
              <w:top w:val="nil"/>
              <w:left w:val="nil"/>
              <w:bottom w:val="single" w:sz="4" w:space="0" w:color="auto"/>
              <w:right w:val="single" w:sz="4" w:space="0" w:color="auto"/>
            </w:tcBorders>
            <w:shd w:val="clear" w:color="000000" w:fill="FFFFFF"/>
            <w:vAlign w:val="bottom"/>
            <w:hideMark/>
          </w:tcPr>
          <w:p w14:paraId="7485C574"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0,08</w:t>
            </w:r>
          </w:p>
        </w:tc>
        <w:tc>
          <w:tcPr>
            <w:tcW w:w="768" w:type="dxa"/>
            <w:tcBorders>
              <w:top w:val="nil"/>
              <w:left w:val="nil"/>
              <w:bottom w:val="single" w:sz="4" w:space="0" w:color="auto"/>
              <w:right w:val="single" w:sz="4" w:space="0" w:color="auto"/>
            </w:tcBorders>
            <w:shd w:val="clear" w:color="000000" w:fill="FFFFFF"/>
            <w:vAlign w:val="bottom"/>
            <w:hideMark/>
          </w:tcPr>
          <w:p w14:paraId="4AF4DE83"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-13,90</w:t>
            </w:r>
          </w:p>
        </w:tc>
      </w:tr>
    </w:tbl>
    <w:p w14:paraId="0E03773D"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x-none"/>
        </w:rPr>
      </w:pPr>
    </w:p>
    <w:p w14:paraId="36020DD7"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val="x-none" w:eastAsia="x-none"/>
        </w:rPr>
      </w:pPr>
      <w:r w:rsidRPr="00E47AA9">
        <w:rPr>
          <w:rFonts w:ascii="Times New Roman" w:eastAsia="Times New Roman" w:hAnsi="Times New Roman" w:cs="Times New Roman"/>
          <w:sz w:val="28"/>
          <w:szCs w:val="28"/>
          <w:lang w:val="x-none" w:eastAsia="x-none"/>
        </w:rPr>
        <w:t xml:space="preserve">Исполнение налоговых доходов </w:t>
      </w:r>
      <w:r w:rsidRPr="00E47AA9">
        <w:rPr>
          <w:rFonts w:ascii="Times New Roman" w:eastAsia="Times New Roman" w:hAnsi="Times New Roman" w:cs="Times New Roman"/>
          <w:sz w:val="28"/>
          <w:szCs w:val="28"/>
          <w:lang w:eastAsia="x-none"/>
        </w:rPr>
        <w:t xml:space="preserve">в 2024 году </w:t>
      </w:r>
      <w:r w:rsidRPr="00E47AA9">
        <w:rPr>
          <w:rFonts w:ascii="Times New Roman" w:eastAsia="Times New Roman" w:hAnsi="Times New Roman" w:cs="Times New Roman"/>
          <w:sz w:val="28"/>
          <w:szCs w:val="28"/>
          <w:lang w:val="x-none" w:eastAsia="x-none"/>
        </w:rPr>
        <w:t xml:space="preserve">в разрезе основных видов характеризуются следующими данными. </w:t>
      </w:r>
    </w:p>
    <w:p w14:paraId="07D9D12B" w14:textId="77777777" w:rsidR="00A441A6" w:rsidRPr="00E47AA9" w:rsidRDefault="00A441A6" w:rsidP="00A441A6">
      <w:pPr>
        <w:spacing w:after="1" w:line="200" w:lineRule="atLeast"/>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b/>
          <w:sz w:val="28"/>
          <w:szCs w:val="28"/>
          <w:lang w:eastAsia="ru-RU"/>
        </w:rPr>
        <w:t>Налог на доходы физических</w:t>
      </w:r>
      <w:r w:rsidRPr="00E47AA9">
        <w:rPr>
          <w:rFonts w:ascii="Times New Roman" w:eastAsia="Times New Roman" w:hAnsi="Times New Roman" w:cs="Times New Roman"/>
          <w:b/>
          <w:i/>
          <w:sz w:val="28"/>
          <w:szCs w:val="28"/>
          <w:lang w:eastAsia="ru-RU"/>
        </w:rPr>
        <w:t xml:space="preserve"> </w:t>
      </w:r>
      <w:r w:rsidRPr="00E47AA9">
        <w:rPr>
          <w:rFonts w:ascii="Times New Roman" w:eastAsia="Times New Roman" w:hAnsi="Times New Roman" w:cs="Times New Roman"/>
          <w:b/>
          <w:sz w:val="28"/>
          <w:szCs w:val="28"/>
          <w:lang w:eastAsia="ru-RU"/>
        </w:rPr>
        <w:t>лиц</w:t>
      </w:r>
      <w:r w:rsidRPr="00E47AA9">
        <w:rPr>
          <w:rFonts w:ascii="Times New Roman" w:eastAsia="Times New Roman" w:hAnsi="Times New Roman" w:cs="Times New Roman"/>
          <w:sz w:val="28"/>
          <w:szCs w:val="28"/>
          <w:lang w:eastAsia="ru-RU"/>
        </w:rPr>
        <w:t xml:space="preserve"> составил 72964,09 млн рублей, что на 1790,58 млн рублей, или на 2,52 %, выше плановых назначений (71173,51 млн рублей). В 2024 году наблюдается рост к уровню 2023 года, который составил 18,68 %, или 11482,37 млн рублей. </w:t>
      </w:r>
      <w:r w:rsidRPr="00E47AA9">
        <w:rPr>
          <w:rFonts w:ascii="Times New Roman" w:eastAsia="Times New Roman" w:hAnsi="Times New Roman" w:cs="Times New Roman"/>
          <w:i/>
          <w:sz w:val="28"/>
          <w:szCs w:val="28"/>
          <w:lang w:eastAsia="ru-RU"/>
        </w:rPr>
        <w:t xml:space="preserve">Справочно: уровень поступления к первоначальным бюджетным назначениям </w:t>
      </w:r>
      <w:r w:rsidRPr="00E47AA9">
        <w:rPr>
          <w:rFonts w:ascii="Times New Roman" w:eastAsia="Times New Roman" w:hAnsi="Times New Roman" w:cs="Times New Roman"/>
          <w:i/>
          <w:sz w:val="28"/>
          <w:szCs w:val="28"/>
          <w:lang w:eastAsia="ru-RU"/>
        </w:rPr>
        <w:lastRenderedPageBreak/>
        <w:t xml:space="preserve">(62420,61 млн рублей) составляет 116,89 %. В ходе исполнения краевого бюджета бюджетные назначения по налогу в 2024 году корректировались 2 раза в сторону увеличения на общую сумму 8752,90 млн рублей. </w:t>
      </w:r>
    </w:p>
    <w:p w14:paraId="4A3A0CDA" w14:textId="77777777" w:rsidR="00A441A6" w:rsidRPr="00E47AA9" w:rsidRDefault="00A441A6" w:rsidP="00A441A6">
      <w:pPr>
        <w:spacing w:after="0" w:line="240" w:lineRule="auto"/>
        <w:ind w:firstLine="709"/>
        <w:jc w:val="center"/>
        <w:rPr>
          <w:rFonts w:ascii="Times New Roman" w:eastAsia="Times New Roman" w:hAnsi="Times New Roman" w:cs="Times New Roman"/>
          <w:b/>
          <w:bCs/>
          <w:iCs/>
          <w:sz w:val="24"/>
          <w:szCs w:val="24"/>
          <w:lang w:eastAsia="ru-RU"/>
        </w:rPr>
      </w:pPr>
      <w:r w:rsidRPr="00E47AA9">
        <w:rPr>
          <w:rFonts w:ascii="Times New Roman" w:eastAsia="Times New Roman" w:hAnsi="Times New Roman" w:cs="Times New Roman"/>
          <w:i/>
          <w:noProof/>
          <w:sz w:val="28"/>
          <w:szCs w:val="28"/>
          <w:lang w:eastAsia="ru-RU"/>
          <w14:ligatures w14:val="standardContextual"/>
        </w:rPr>
        <mc:AlternateContent>
          <mc:Choice Requires="wpg">
            <w:drawing>
              <wp:anchor distT="0" distB="0" distL="114300" distR="114300" simplePos="0" relativeHeight="251661312" behindDoc="0" locked="0" layoutInCell="1" allowOverlap="1" wp14:anchorId="2852A825" wp14:editId="06096ABD">
                <wp:simplePos x="0" y="0"/>
                <wp:positionH relativeFrom="column">
                  <wp:posOffset>-60960</wp:posOffset>
                </wp:positionH>
                <wp:positionV relativeFrom="paragraph">
                  <wp:posOffset>105410</wp:posOffset>
                </wp:positionV>
                <wp:extent cx="1981200" cy="1409700"/>
                <wp:effectExtent l="95250" t="95250" r="0" b="0"/>
                <wp:wrapNone/>
                <wp:docPr id="1098525754" name="Группа 3"/>
                <wp:cNvGraphicFramePr/>
                <a:graphic xmlns:a="http://schemas.openxmlformats.org/drawingml/2006/main">
                  <a:graphicData uri="http://schemas.microsoft.com/office/word/2010/wordprocessingGroup">
                    <wpg:wgp>
                      <wpg:cNvGrpSpPr/>
                      <wpg:grpSpPr>
                        <a:xfrm>
                          <a:off x="0" y="0"/>
                          <a:ext cx="1981200" cy="1409700"/>
                          <a:chOff x="0" y="0"/>
                          <a:chExt cx="1847850" cy="1495425"/>
                        </a:xfrm>
                      </wpg:grpSpPr>
                      <wps:wsp>
                        <wps:cNvPr id="71998818" name="Прямоугольник 1"/>
                        <wps:cNvSpPr/>
                        <wps:spPr>
                          <a:xfrm>
                            <a:off x="0" y="0"/>
                            <a:ext cx="1676400" cy="1266825"/>
                          </a:xfrm>
                          <a:prstGeom prst="rect">
                            <a:avLst/>
                          </a:prstGeom>
                          <a:gradFill rotWithShape="1">
                            <a:gsLst>
                              <a:gs pos="0">
                                <a:srgbClr val="0F9ED5">
                                  <a:lumMod val="110000"/>
                                  <a:satMod val="105000"/>
                                  <a:tint val="67000"/>
                                </a:srgbClr>
                              </a:gs>
                              <a:gs pos="50000">
                                <a:srgbClr val="0F9ED5">
                                  <a:lumMod val="105000"/>
                                  <a:satMod val="103000"/>
                                  <a:tint val="73000"/>
                                </a:srgbClr>
                              </a:gs>
                              <a:gs pos="100000">
                                <a:srgbClr val="0F9ED5">
                                  <a:lumMod val="105000"/>
                                  <a:satMod val="109000"/>
                                  <a:tint val="81000"/>
                                </a:srgbClr>
                              </a:gs>
                            </a:gsLst>
                            <a:lin ang="5400000" scaled="0"/>
                          </a:gradFill>
                          <a:ln w="6350" cap="flat" cmpd="sng" algn="ctr">
                            <a:noFill/>
                            <a:prstDash val="solid"/>
                            <a:miter lim="800000"/>
                          </a:ln>
                          <a:effectLst>
                            <a:outerShdw blurRad="50800" dist="38100" dir="13500000" algn="b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5859884" name="Прямоугольник 2"/>
                        <wps:cNvSpPr/>
                        <wps:spPr>
                          <a:xfrm>
                            <a:off x="123825" y="104775"/>
                            <a:ext cx="1724025" cy="1390650"/>
                          </a:xfrm>
                          <a:prstGeom prst="rect">
                            <a:avLst/>
                          </a:prstGeom>
                          <a:solidFill>
                            <a:schemeClr val="bg1">
                              <a:lumMod val="95000"/>
                            </a:schemeClr>
                          </a:solidFill>
                          <a:ln w="12700" cap="flat" cmpd="sng" algn="ctr">
                            <a:noFill/>
                            <a:prstDash val="solid"/>
                            <a:miter lim="800000"/>
                          </a:ln>
                          <a:effectLst/>
                        </wps:spPr>
                        <wps:txbx>
                          <w:txbxContent>
                            <w:p w14:paraId="134A0281" w14:textId="77777777" w:rsidR="00F62D77" w:rsidRPr="0040640E" w:rsidRDefault="00F62D77" w:rsidP="00A441A6">
                              <w:pPr>
                                <w:spacing w:after="0" w:line="240" w:lineRule="auto"/>
                                <w:ind w:firstLine="142"/>
                                <w:jc w:val="center"/>
                                <w:rPr>
                                  <w:rFonts w:ascii="Times New Roman" w:eastAsia="Times New Roman" w:hAnsi="Times New Roman" w:cs="Times New Roman"/>
                                  <w:b/>
                                  <w:bCs/>
                                  <w:iCs/>
                                  <w:sz w:val="23"/>
                                  <w:szCs w:val="23"/>
                                  <w:lang w:eastAsia="ru-RU"/>
                                </w:rPr>
                              </w:pPr>
                              <w:r w:rsidRPr="0040640E">
                                <w:rPr>
                                  <w:rFonts w:ascii="Times New Roman" w:eastAsia="Times New Roman" w:hAnsi="Times New Roman" w:cs="Times New Roman"/>
                                  <w:b/>
                                  <w:bCs/>
                                  <w:iCs/>
                                  <w:color w:val="0D0D0D" w:themeColor="text1" w:themeTint="F2"/>
                                  <w:sz w:val="23"/>
                                  <w:szCs w:val="23"/>
                                  <w:lang w:eastAsia="ru-RU"/>
                                </w:rPr>
                                <w:t xml:space="preserve">Динамика </w:t>
                              </w:r>
                              <w:r w:rsidRPr="0040640E">
                                <w:rPr>
                                  <w:rFonts w:ascii="Times New Roman" w:eastAsia="Times New Roman" w:hAnsi="Times New Roman" w:cs="Times New Roman"/>
                                  <w:b/>
                                  <w:bCs/>
                                  <w:iCs/>
                                  <w:sz w:val="23"/>
                                  <w:szCs w:val="23"/>
                                  <w:lang w:eastAsia="ru-RU"/>
                                </w:rPr>
                                <w:t>поступления налога на доходы физических лиц</w:t>
                              </w:r>
                            </w:p>
                            <w:p w14:paraId="194ED0BA" w14:textId="77777777" w:rsidR="00F62D77" w:rsidRPr="0040640E" w:rsidRDefault="00F62D77" w:rsidP="00A441A6">
                              <w:pPr>
                                <w:spacing w:after="0" w:line="240" w:lineRule="auto"/>
                                <w:ind w:firstLine="142"/>
                                <w:jc w:val="center"/>
                                <w:rPr>
                                  <w:rFonts w:ascii="Times New Roman" w:eastAsia="Times New Roman" w:hAnsi="Times New Roman" w:cs="Times New Roman"/>
                                  <w:b/>
                                  <w:bCs/>
                                  <w:iCs/>
                                  <w:sz w:val="23"/>
                                  <w:szCs w:val="23"/>
                                  <w:lang w:eastAsia="ru-RU"/>
                                </w:rPr>
                              </w:pPr>
                              <w:r w:rsidRPr="0040640E">
                                <w:rPr>
                                  <w:rFonts w:ascii="Times New Roman" w:eastAsia="Times New Roman" w:hAnsi="Times New Roman" w:cs="Times New Roman"/>
                                  <w:b/>
                                  <w:bCs/>
                                  <w:iCs/>
                                  <w:sz w:val="23"/>
                                  <w:szCs w:val="23"/>
                                  <w:lang w:eastAsia="ru-RU"/>
                                </w:rPr>
                                <w:t xml:space="preserve"> за 2020–2024 годы и плановые назначения на 2025 год,</w:t>
                              </w:r>
                            </w:p>
                            <w:p w14:paraId="7FAA3C71" w14:textId="77777777" w:rsidR="00F62D77" w:rsidRPr="0040640E" w:rsidRDefault="00F62D77" w:rsidP="00A441A6">
                              <w:pPr>
                                <w:spacing w:after="0" w:line="240" w:lineRule="auto"/>
                                <w:ind w:firstLine="142"/>
                                <w:jc w:val="center"/>
                                <w:rPr>
                                  <w:color w:val="0D0D0D" w:themeColor="text1" w:themeTint="F2"/>
                                  <w:sz w:val="23"/>
                                  <w:szCs w:val="23"/>
                                </w:rPr>
                              </w:pPr>
                              <w:r w:rsidRPr="0040640E">
                                <w:rPr>
                                  <w:rFonts w:ascii="Times New Roman" w:eastAsia="Times New Roman" w:hAnsi="Times New Roman" w:cs="Times New Roman"/>
                                  <w:b/>
                                  <w:bCs/>
                                  <w:iCs/>
                                  <w:sz w:val="23"/>
                                  <w:szCs w:val="23"/>
                                  <w:lang w:eastAsia="ru-RU"/>
                                </w:rPr>
                                <w:t xml:space="preserve"> млн рублей</w:t>
                              </w:r>
                            </w:p>
                            <w:p w14:paraId="40DDC931" w14:textId="77777777" w:rsidR="00F62D77" w:rsidRPr="000E75B1" w:rsidRDefault="00F62D77" w:rsidP="00A441A6">
                              <w:pPr>
                                <w:spacing w:after="0" w:line="240" w:lineRule="atLeast"/>
                                <w:jc w:val="center"/>
                                <w:rPr>
                                  <w:color w:val="0D0D0D" w:themeColor="text1" w:themeTint="F2"/>
                                  <w:sz w:val="23"/>
                                  <w:szCs w:val="23"/>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52A825" id="Группа 3" o:spid="_x0000_s1027" style="position:absolute;left:0;text-align:left;margin-left:-4.8pt;margin-top:8.3pt;width:156pt;height:111pt;z-index:251661312;mso-width-relative:margin;mso-height-relative:margin" coordsize="18478,14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">
                <v:rect id="Прямоугольник 1" o:spid="_x0000_s1028" style="position:absolute;width:16764;height:126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5WR8gA&#10;AADhAAAADwAAAGRycy9kb3ducmV2LnhtbERPTWvCQBC9F/oflin0VjfxYGJ0FRUEoVCsBtHbNDtN&#10;gtnZkN1q9Ne7h4LHx/ueznvTiAt1rrasIB5EIIgLq2suFeT79UcKwnlkjY1lUnAjB/PZ68sUM22v&#10;/E2XnS9FCGGXoYLK+zaT0hUVGXQD2xIH7td2Bn2AXSl1h9cQbho5jKKRNFhzaKiwpVVFxXn3ZxTc&#10;hz/F1zEdRX55Ss55ctjmn/FCqfe3fjEB4an3T/G/e6MVJPF4nKZxmBwehTcgZ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zlZHyAAAAOEAAAAPAAAAAAAAAAAAAAAAAJgCAABk&#10;cnMvZG93bnJldi54bWxQSwUGAAAAAAQABAD1AAAAjQMAAAAA&#10;" fillcolor="#9ccff5" stroked="f" strokeweight=".5pt">
                  <v:fill color2="#79beed" rotate="t" colors="0 #9ccff5;.5 #8fc4eb;1 #79beed" focus="100%" type="gradient">
                    <o:fill v:ext="view" type="gradientUnscaled"/>
                  </v:fill>
                  <v:shadow on="t" color="black" opacity="26214f" origin=".5,.5" offset="-.74836mm,-.74836mm"/>
                </v:rect>
                <v:rect id="Прямоугольник 2" o:spid="_x0000_s1029" style="position:absolute;left:1238;top:1047;width:17240;height:139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A++8sA&#10;AADiAAAADwAAAGRycy9kb3ducmV2LnhtbESPQUvDQBSE70L/w/IK3uzGxYQ07baUQtGLB2sQvD2z&#10;r0kw+zbNbpv4711B6HGYmW+Y9XaynbjS4FvHGh4XCQjiypmWaw3l++EhB+EDssHOMWn4IQ/bzexu&#10;jYVxI7/R9RhqESHsC9TQhNAXUvqqIYt+4Xri6J3cYDFEOdTSDDhGuO2kSpJMWmw5LjTY076h6vt4&#10;sRpUOaVqfD0sPz7Lr+cku5z3ijKt7+fTbgUi0BRu4f/2i9GQqjRPl3n+BH+X4h2Qm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B8D77ywAAAOIAAAAPAAAAAAAAAAAAAAAAAJgC&#10;AABkcnMvZG93bnJldi54bWxQSwUGAAAAAAQABAD1AAAAkAMAAAAA&#10;" fillcolor="#f2f2f2 [3052]" stroked="f" strokeweight="1pt">
                  <v:textbox>
                    <w:txbxContent>
                      <w:p w14:paraId="134A0281" w14:textId="77777777" w:rsidR="00F62D77" w:rsidRPr="0040640E" w:rsidRDefault="00F62D77" w:rsidP="00A441A6">
                        <w:pPr>
                          <w:spacing w:after="0" w:line="240" w:lineRule="auto"/>
                          <w:ind w:firstLine="142"/>
                          <w:jc w:val="center"/>
                          <w:rPr>
                            <w:rFonts w:ascii="Times New Roman" w:eastAsia="Times New Roman" w:hAnsi="Times New Roman" w:cs="Times New Roman"/>
                            <w:b/>
                            <w:bCs/>
                            <w:iCs/>
                            <w:sz w:val="23"/>
                            <w:szCs w:val="23"/>
                            <w:lang w:eastAsia="ru-RU"/>
                          </w:rPr>
                        </w:pPr>
                        <w:r w:rsidRPr="0040640E">
                          <w:rPr>
                            <w:rFonts w:ascii="Times New Roman" w:eastAsia="Times New Roman" w:hAnsi="Times New Roman" w:cs="Times New Roman"/>
                            <w:b/>
                            <w:bCs/>
                            <w:iCs/>
                            <w:color w:val="0D0D0D" w:themeColor="text1" w:themeTint="F2"/>
                            <w:sz w:val="23"/>
                            <w:szCs w:val="23"/>
                            <w:lang w:eastAsia="ru-RU"/>
                          </w:rPr>
                          <w:t xml:space="preserve">Динамика </w:t>
                        </w:r>
                        <w:r w:rsidRPr="0040640E">
                          <w:rPr>
                            <w:rFonts w:ascii="Times New Roman" w:eastAsia="Times New Roman" w:hAnsi="Times New Roman" w:cs="Times New Roman"/>
                            <w:b/>
                            <w:bCs/>
                            <w:iCs/>
                            <w:sz w:val="23"/>
                            <w:szCs w:val="23"/>
                            <w:lang w:eastAsia="ru-RU"/>
                          </w:rPr>
                          <w:t>поступления налога на доходы физических лиц</w:t>
                        </w:r>
                      </w:p>
                      <w:p w14:paraId="194ED0BA" w14:textId="77777777" w:rsidR="00F62D77" w:rsidRPr="0040640E" w:rsidRDefault="00F62D77" w:rsidP="00A441A6">
                        <w:pPr>
                          <w:spacing w:after="0" w:line="240" w:lineRule="auto"/>
                          <w:ind w:firstLine="142"/>
                          <w:jc w:val="center"/>
                          <w:rPr>
                            <w:rFonts w:ascii="Times New Roman" w:eastAsia="Times New Roman" w:hAnsi="Times New Roman" w:cs="Times New Roman"/>
                            <w:b/>
                            <w:bCs/>
                            <w:iCs/>
                            <w:sz w:val="23"/>
                            <w:szCs w:val="23"/>
                            <w:lang w:eastAsia="ru-RU"/>
                          </w:rPr>
                        </w:pPr>
                        <w:r w:rsidRPr="0040640E">
                          <w:rPr>
                            <w:rFonts w:ascii="Times New Roman" w:eastAsia="Times New Roman" w:hAnsi="Times New Roman" w:cs="Times New Roman"/>
                            <w:b/>
                            <w:bCs/>
                            <w:iCs/>
                            <w:sz w:val="23"/>
                            <w:szCs w:val="23"/>
                            <w:lang w:eastAsia="ru-RU"/>
                          </w:rPr>
                          <w:t xml:space="preserve"> за 2020–2024 годы и плановые назначения на 2025 год,</w:t>
                        </w:r>
                      </w:p>
                      <w:p w14:paraId="7FAA3C71" w14:textId="77777777" w:rsidR="00F62D77" w:rsidRPr="0040640E" w:rsidRDefault="00F62D77" w:rsidP="00A441A6">
                        <w:pPr>
                          <w:spacing w:after="0" w:line="240" w:lineRule="auto"/>
                          <w:ind w:firstLine="142"/>
                          <w:jc w:val="center"/>
                          <w:rPr>
                            <w:color w:val="0D0D0D" w:themeColor="text1" w:themeTint="F2"/>
                            <w:sz w:val="23"/>
                            <w:szCs w:val="23"/>
                          </w:rPr>
                        </w:pPr>
                        <w:r w:rsidRPr="0040640E">
                          <w:rPr>
                            <w:rFonts w:ascii="Times New Roman" w:eastAsia="Times New Roman" w:hAnsi="Times New Roman" w:cs="Times New Roman"/>
                            <w:b/>
                            <w:bCs/>
                            <w:iCs/>
                            <w:sz w:val="23"/>
                            <w:szCs w:val="23"/>
                            <w:lang w:eastAsia="ru-RU"/>
                          </w:rPr>
                          <w:t xml:space="preserve"> млн рублей</w:t>
                        </w:r>
                      </w:p>
                      <w:p w14:paraId="40DDC931" w14:textId="77777777" w:rsidR="00F62D77" w:rsidRPr="000E75B1" w:rsidRDefault="00F62D77" w:rsidP="00A441A6">
                        <w:pPr>
                          <w:spacing w:after="0" w:line="240" w:lineRule="atLeast"/>
                          <w:jc w:val="center"/>
                          <w:rPr>
                            <w:color w:val="0D0D0D" w:themeColor="text1" w:themeTint="F2"/>
                            <w:sz w:val="23"/>
                            <w:szCs w:val="23"/>
                          </w:rPr>
                        </w:pPr>
                      </w:p>
                    </w:txbxContent>
                  </v:textbox>
                </v:rect>
              </v:group>
            </w:pict>
          </mc:Fallback>
        </mc:AlternateContent>
      </w:r>
    </w:p>
    <w:p w14:paraId="300BE3CF" w14:textId="77777777" w:rsidR="00A441A6" w:rsidRPr="00E47AA9" w:rsidRDefault="00A441A6" w:rsidP="00A441A6">
      <w:pPr>
        <w:spacing w:after="1" w:line="200" w:lineRule="atLeast"/>
        <w:ind w:firstLine="2977"/>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b/>
          <w:noProof/>
          <w:sz w:val="28"/>
          <w:szCs w:val="28"/>
          <w:lang w:eastAsia="ru-RU"/>
          <w14:ligatures w14:val="standardContextual"/>
        </w:rPr>
        <w:drawing>
          <wp:anchor distT="0" distB="0" distL="114300" distR="114300" simplePos="0" relativeHeight="251664384" behindDoc="0" locked="0" layoutInCell="1" allowOverlap="1" wp14:anchorId="3250793A" wp14:editId="5447721F">
            <wp:simplePos x="0" y="0"/>
            <wp:positionH relativeFrom="margin">
              <wp:posOffset>234315</wp:posOffset>
            </wp:positionH>
            <wp:positionV relativeFrom="paragraph">
              <wp:posOffset>6350</wp:posOffset>
            </wp:positionV>
            <wp:extent cx="257175" cy="257175"/>
            <wp:effectExtent l="0" t="0" r="9525" b="9525"/>
            <wp:wrapNone/>
            <wp:docPr id="2013131819" name="Рисунок 6" descr="Экспоненциальный график конту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271402" name="Рисунок 424271402" descr="Экспоненциальный график контур"/>
                    <pic:cNvPicPr/>
                  </pic:nvPicPr>
                  <pic:blipFill>
                    <a:blip r:embed="rId37">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svg="http://schemas.microsoft.com/office/drawing/2016/SVG/main" r:embed="rId38"/>
                        </a:ext>
                      </a:extLst>
                    </a:blip>
                    <a:stretch>
                      <a:fillRect/>
                    </a:stretch>
                  </pic:blipFill>
                  <pic:spPr>
                    <a:xfrm>
                      <a:off x="0" y="0"/>
                      <a:ext cx="257175" cy="257175"/>
                    </a:xfrm>
                    <a:prstGeom prst="rect">
                      <a:avLst/>
                    </a:prstGeom>
                  </pic:spPr>
                </pic:pic>
              </a:graphicData>
            </a:graphic>
            <wp14:sizeRelH relativeFrom="margin">
              <wp14:pctWidth>0</wp14:pctWidth>
            </wp14:sizeRelH>
            <wp14:sizeRelV relativeFrom="margin">
              <wp14:pctHeight>0</wp14:pctHeight>
            </wp14:sizeRelV>
          </wp:anchor>
        </w:drawing>
      </w:r>
      <w:r w:rsidRPr="00E47AA9">
        <w:rPr>
          <w:rFonts w:ascii="Times New Roman" w:hAnsi="Times New Roman" w:cs="Times New Roman"/>
          <w:noProof/>
          <w:lang w:eastAsia="ru-RU"/>
          <w14:ligatures w14:val="standardContextual"/>
        </w:rPr>
        <w:drawing>
          <wp:inline distT="0" distB="0" distL="0" distR="0" wp14:anchorId="53F1F71D" wp14:editId="04A1E3F0">
            <wp:extent cx="4067175" cy="1704975"/>
            <wp:effectExtent l="0" t="0" r="0" b="0"/>
            <wp:docPr id="1883096239"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3EDA486D-BFBA-1E99-2C2D-D6E34C9986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532F4328" w14:textId="77777777" w:rsidR="00A441A6" w:rsidRPr="00E47AA9" w:rsidRDefault="00A441A6" w:rsidP="00A441A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b/>
          <w:sz w:val="28"/>
          <w:szCs w:val="28"/>
          <w:lang w:eastAsia="ru-RU"/>
        </w:rPr>
        <w:t>Налог на</w:t>
      </w:r>
      <w:r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b/>
          <w:sz w:val="28"/>
          <w:szCs w:val="28"/>
          <w:lang w:eastAsia="ru-RU"/>
        </w:rPr>
        <w:t>прибыль организаций</w:t>
      </w:r>
      <w:r w:rsidRPr="00E47AA9">
        <w:rPr>
          <w:rFonts w:ascii="Times New Roman" w:eastAsia="Times New Roman" w:hAnsi="Times New Roman" w:cs="Times New Roman"/>
          <w:sz w:val="28"/>
          <w:szCs w:val="28"/>
          <w:lang w:eastAsia="ru-RU"/>
        </w:rPr>
        <w:t xml:space="preserve"> поступил в краевой бюджет в объеме 49956,67 млн рублей, что составляет 102,62 % плановых назначений (48681,46 млн рублей). Сверх плана зачислено 1275,21 млн рублей. По сравнению с предыдущим годом поступление снизилось на 1,22 %, или на 616,23 млн рублей. </w:t>
      </w:r>
      <w:r w:rsidRPr="00E47AA9">
        <w:rPr>
          <w:rFonts w:ascii="Times New Roman" w:eastAsia="Times New Roman" w:hAnsi="Times New Roman" w:cs="Times New Roman"/>
          <w:i/>
          <w:sz w:val="28"/>
          <w:szCs w:val="28"/>
          <w:lang w:eastAsia="ru-RU"/>
        </w:rPr>
        <w:t>Справочно: исполнение по налогу к первоначальной редакции Закона № 495-КЗ (53807,16 млн рублей) составило 92,85 %. В 2024 году бюджетные назначения корректировались 2 раза, как в положительную сторону, так и отрицательную на общую сумму </w:t>
      </w:r>
      <w:r w:rsidRPr="00E47AA9">
        <w:rPr>
          <w:rFonts w:ascii="Times New Roman" w:eastAsia="Times New Roman" w:hAnsi="Times New Roman" w:cs="Times New Roman"/>
          <w:i/>
          <w:sz w:val="28"/>
          <w:szCs w:val="28"/>
          <w:lang w:eastAsia="ru-RU"/>
        </w:rPr>
        <w:br/>
        <w:t xml:space="preserve">(-) 5125,70 млн рублей. </w:t>
      </w:r>
    </w:p>
    <w:p w14:paraId="57302FE5" w14:textId="77777777" w:rsidR="00A441A6" w:rsidRPr="00E47AA9" w:rsidRDefault="00A441A6" w:rsidP="00A441A6">
      <w:pPr>
        <w:spacing w:after="0" w:line="240" w:lineRule="auto"/>
        <w:ind w:firstLine="709"/>
        <w:jc w:val="both"/>
        <w:rPr>
          <w:rFonts w:ascii="Times New Roman" w:eastAsia="Times New Roman" w:hAnsi="Times New Roman" w:cs="Times New Roman"/>
          <w:i/>
          <w:sz w:val="28"/>
          <w:szCs w:val="28"/>
          <w:lang w:eastAsia="ru-RU"/>
        </w:rPr>
      </w:pPr>
    </w:p>
    <w:p w14:paraId="6EAA4047" w14:textId="77777777" w:rsidR="00A441A6" w:rsidRPr="00E47AA9" w:rsidRDefault="00A441A6" w:rsidP="00A441A6">
      <w:pPr>
        <w:spacing w:after="0" w:line="240" w:lineRule="auto"/>
        <w:ind w:firstLine="709"/>
        <w:jc w:val="both"/>
        <w:rPr>
          <w:rFonts w:ascii="Times New Roman" w:eastAsia="Times New Roman" w:hAnsi="Times New Roman" w:cs="Times New Roman"/>
          <w:i/>
          <w:sz w:val="28"/>
          <w:szCs w:val="28"/>
          <w:lang w:eastAsia="ru-RU"/>
        </w:rPr>
      </w:pPr>
    </w:p>
    <w:p w14:paraId="1470C6B4" w14:textId="77777777" w:rsidR="00A441A6" w:rsidRPr="00E47AA9" w:rsidRDefault="00A441A6" w:rsidP="00A441A6">
      <w:pPr>
        <w:spacing w:after="0" w:line="240" w:lineRule="auto"/>
        <w:ind w:firstLine="709"/>
        <w:jc w:val="center"/>
        <w:rPr>
          <w:rFonts w:ascii="Times New Roman" w:eastAsia="Times New Roman" w:hAnsi="Times New Roman" w:cs="Times New Roman"/>
          <w:b/>
          <w:bCs/>
          <w:iCs/>
          <w:sz w:val="24"/>
          <w:szCs w:val="24"/>
          <w:lang w:eastAsia="ru-RU"/>
        </w:rPr>
      </w:pPr>
    </w:p>
    <w:p w14:paraId="458391E0" w14:textId="77777777" w:rsidR="00A441A6" w:rsidRPr="00E47AA9" w:rsidRDefault="00A441A6" w:rsidP="00A441A6">
      <w:pPr>
        <w:autoSpaceDE w:val="0"/>
        <w:autoSpaceDN w:val="0"/>
        <w:adjustRightInd w:val="0"/>
        <w:spacing w:after="0" w:line="240" w:lineRule="auto"/>
        <w:ind w:firstLine="311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noProof/>
          <w:sz w:val="28"/>
          <w:szCs w:val="28"/>
          <w:lang w:eastAsia="ru-RU"/>
          <w14:ligatures w14:val="standardContextual"/>
        </w:rPr>
        <w:drawing>
          <wp:anchor distT="0" distB="0" distL="114300" distR="114300" simplePos="0" relativeHeight="251663360" behindDoc="0" locked="0" layoutInCell="1" allowOverlap="1" wp14:anchorId="51B21DD7" wp14:editId="392FAF07">
            <wp:simplePos x="0" y="0"/>
            <wp:positionH relativeFrom="margin">
              <wp:posOffset>177165</wp:posOffset>
            </wp:positionH>
            <wp:positionV relativeFrom="paragraph">
              <wp:posOffset>191770</wp:posOffset>
            </wp:positionV>
            <wp:extent cx="257175" cy="257175"/>
            <wp:effectExtent l="0" t="0" r="9525" b="9525"/>
            <wp:wrapNone/>
            <wp:docPr id="424271402" name="Рисунок 6" descr="Экспоненциальный график конту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271402" name="Рисунок 424271402" descr="Экспоненциальный график контур"/>
                    <pic:cNvPicPr/>
                  </pic:nvPicPr>
                  <pic:blipFill>
                    <a:blip r:embed="rId37">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svg="http://schemas.microsoft.com/office/drawing/2016/SVG/main" r:embed="rId38"/>
                        </a:ext>
                      </a:extLst>
                    </a:blip>
                    <a:stretch>
                      <a:fillRect/>
                    </a:stretch>
                  </pic:blipFill>
                  <pic:spPr>
                    <a:xfrm>
                      <a:off x="0" y="0"/>
                      <a:ext cx="257175" cy="257175"/>
                    </a:xfrm>
                    <a:prstGeom prst="rect">
                      <a:avLst/>
                    </a:prstGeom>
                  </pic:spPr>
                </pic:pic>
              </a:graphicData>
            </a:graphic>
            <wp14:sizeRelH relativeFrom="margin">
              <wp14:pctWidth>0</wp14:pctWidth>
            </wp14:sizeRelH>
            <wp14:sizeRelV relativeFrom="margin">
              <wp14:pctHeight>0</wp14:pctHeight>
            </wp14:sizeRelV>
          </wp:anchor>
        </w:drawing>
      </w:r>
      <w:r w:rsidRPr="00E47AA9">
        <w:rPr>
          <w:rFonts w:ascii="Times New Roman" w:eastAsia="Times New Roman" w:hAnsi="Times New Roman" w:cs="Times New Roman"/>
          <w:i/>
          <w:noProof/>
          <w:sz w:val="28"/>
          <w:szCs w:val="28"/>
          <w:lang w:eastAsia="ru-RU"/>
          <w14:ligatures w14:val="standardContextual"/>
        </w:rPr>
        <mc:AlternateContent>
          <mc:Choice Requires="wpg">
            <w:drawing>
              <wp:anchor distT="0" distB="0" distL="114300" distR="114300" simplePos="0" relativeHeight="251660288" behindDoc="0" locked="0" layoutInCell="1" allowOverlap="1" wp14:anchorId="755A64EC" wp14:editId="27DEB995">
                <wp:simplePos x="0" y="0"/>
                <wp:positionH relativeFrom="column">
                  <wp:posOffset>-3810</wp:posOffset>
                </wp:positionH>
                <wp:positionV relativeFrom="paragraph">
                  <wp:posOffset>95250</wp:posOffset>
                </wp:positionV>
                <wp:extent cx="1885950" cy="1476375"/>
                <wp:effectExtent l="95250" t="95250" r="0" b="9525"/>
                <wp:wrapNone/>
                <wp:docPr id="2027465254" name="Группа 3"/>
                <wp:cNvGraphicFramePr/>
                <a:graphic xmlns:a="http://schemas.openxmlformats.org/drawingml/2006/main">
                  <a:graphicData uri="http://schemas.microsoft.com/office/word/2010/wordprocessingGroup">
                    <wpg:wgp>
                      <wpg:cNvGrpSpPr/>
                      <wpg:grpSpPr>
                        <a:xfrm>
                          <a:off x="0" y="0"/>
                          <a:ext cx="1885950" cy="1476375"/>
                          <a:chOff x="0" y="0"/>
                          <a:chExt cx="1847850" cy="1452942"/>
                        </a:xfrm>
                      </wpg:grpSpPr>
                      <wps:wsp>
                        <wps:cNvPr id="1276336240" name="Прямоугольник 1"/>
                        <wps:cNvSpPr/>
                        <wps:spPr>
                          <a:xfrm>
                            <a:off x="0" y="0"/>
                            <a:ext cx="1676400" cy="1266825"/>
                          </a:xfrm>
                          <a:prstGeom prst="rect">
                            <a:avLst/>
                          </a:prstGeom>
                          <a:gradFill rotWithShape="1">
                            <a:gsLst>
                              <a:gs pos="0">
                                <a:srgbClr val="0F9ED5">
                                  <a:lumMod val="110000"/>
                                  <a:satMod val="105000"/>
                                  <a:tint val="67000"/>
                                </a:srgbClr>
                              </a:gs>
                              <a:gs pos="50000">
                                <a:srgbClr val="0F9ED5">
                                  <a:lumMod val="105000"/>
                                  <a:satMod val="103000"/>
                                  <a:tint val="73000"/>
                                </a:srgbClr>
                              </a:gs>
                              <a:gs pos="100000">
                                <a:srgbClr val="0F9ED5">
                                  <a:lumMod val="105000"/>
                                  <a:satMod val="109000"/>
                                  <a:tint val="81000"/>
                                </a:srgbClr>
                              </a:gs>
                            </a:gsLst>
                            <a:lin ang="5400000" scaled="0"/>
                          </a:gradFill>
                          <a:ln w="6350" cap="flat" cmpd="sng" algn="ctr">
                            <a:noFill/>
                            <a:prstDash val="solid"/>
                            <a:miter lim="800000"/>
                          </a:ln>
                          <a:effectLst>
                            <a:outerShdw blurRad="50800" dist="38100" dir="13500000" algn="b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951700" name="Прямоугольник 2"/>
                        <wps:cNvSpPr/>
                        <wps:spPr>
                          <a:xfrm>
                            <a:off x="123825" y="104776"/>
                            <a:ext cx="1724025" cy="1348166"/>
                          </a:xfrm>
                          <a:prstGeom prst="rect">
                            <a:avLst/>
                          </a:prstGeom>
                          <a:solidFill>
                            <a:sysClr val="window" lastClr="FFFFFF">
                              <a:lumMod val="95000"/>
                            </a:sysClr>
                          </a:solidFill>
                          <a:ln w="12700" cap="flat" cmpd="sng" algn="ctr">
                            <a:noFill/>
                            <a:prstDash val="solid"/>
                            <a:miter lim="800000"/>
                          </a:ln>
                          <a:effectLst/>
                        </wps:spPr>
                        <wps:txbx>
                          <w:txbxContent>
                            <w:p w14:paraId="10D65F72" w14:textId="77777777" w:rsidR="00F62D77" w:rsidRDefault="00F62D77" w:rsidP="00A441A6">
                              <w:pPr>
                                <w:spacing w:after="0" w:line="240" w:lineRule="auto"/>
                                <w:jc w:val="center"/>
                                <w:rPr>
                                  <w:rFonts w:ascii="Times New Roman" w:eastAsia="Times New Roman" w:hAnsi="Times New Roman" w:cs="Times New Roman"/>
                                  <w:b/>
                                  <w:bCs/>
                                  <w:iCs/>
                                  <w:sz w:val="24"/>
                                  <w:szCs w:val="24"/>
                                  <w:lang w:eastAsia="ru-RU"/>
                                </w:rPr>
                              </w:pPr>
                              <w:r w:rsidRPr="000E75B1">
                                <w:rPr>
                                  <w:rFonts w:ascii="Times New Roman" w:eastAsia="Times New Roman" w:hAnsi="Times New Roman" w:cs="Times New Roman"/>
                                  <w:b/>
                                  <w:bCs/>
                                  <w:iCs/>
                                  <w:color w:val="0D0D0D" w:themeColor="text1" w:themeTint="F2"/>
                                  <w:sz w:val="23"/>
                                  <w:szCs w:val="23"/>
                                  <w:lang w:eastAsia="ru-RU"/>
                                </w:rPr>
                                <w:t xml:space="preserve">Динамика поступления </w:t>
                              </w:r>
                              <w:r w:rsidRPr="00EB2661">
                                <w:rPr>
                                  <w:rFonts w:ascii="Times New Roman" w:eastAsia="Times New Roman" w:hAnsi="Times New Roman" w:cs="Times New Roman"/>
                                  <w:b/>
                                  <w:bCs/>
                                  <w:iCs/>
                                  <w:sz w:val="24"/>
                                  <w:szCs w:val="24"/>
                                  <w:lang w:eastAsia="ru-RU"/>
                                </w:rPr>
                                <w:t>налога на прибыль организаций за 2020</w:t>
                              </w:r>
                              <w:r>
                                <w:rPr>
                                  <w:rFonts w:ascii="Times New Roman" w:eastAsia="Times New Roman" w:hAnsi="Times New Roman" w:cs="Times New Roman"/>
                                  <w:b/>
                                  <w:bCs/>
                                  <w:iCs/>
                                  <w:sz w:val="24"/>
                                  <w:szCs w:val="24"/>
                                  <w:lang w:eastAsia="ru-RU"/>
                                </w:rPr>
                                <w:t>–2024</w:t>
                              </w:r>
                              <w:r w:rsidRPr="00EB2661">
                                <w:rPr>
                                  <w:rFonts w:ascii="Times New Roman" w:eastAsia="Times New Roman" w:hAnsi="Times New Roman" w:cs="Times New Roman"/>
                                  <w:b/>
                                  <w:bCs/>
                                  <w:iCs/>
                                  <w:sz w:val="24"/>
                                  <w:szCs w:val="24"/>
                                  <w:lang w:eastAsia="ru-RU"/>
                                </w:rPr>
                                <w:t xml:space="preserve"> годы</w:t>
                              </w:r>
                              <w:r>
                                <w:rPr>
                                  <w:rFonts w:ascii="Times New Roman" w:eastAsia="Times New Roman" w:hAnsi="Times New Roman" w:cs="Times New Roman"/>
                                  <w:b/>
                                  <w:bCs/>
                                  <w:iCs/>
                                  <w:sz w:val="24"/>
                                  <w:szCs w:val="24"/>
                                  <w:lang w:eastAsia="ru-RU"/>
                                </w:rPr>
                                <w:t xml:space="preserve"> </w:t>
                              </w:r>
                              <w:r w:rsidRPr="007A3CA8">
                                <w:rPr>
                                  <w:rFonts w:ascii="Times New Roman" w:eastAsia="Times New Roman" w:hAnsi="Times New Roman" w:cs="Times New Roman"/>
                                  <w:b/>
                                  <w:bCs/>
                                  <w:iCs/>
                                  <w:sz w:val="24"/>
                                  <w:szCs w:val="24"/>
                                  <w:lang w:eastAsia="ru-RU"/>
                                </w:rPr>
                                <w:t>и плановые назначения на 2025 год,</w:t>
                              </w:r>
                            </w:p>
                            <w:p w14:paraId="0B185B7A" w14:textId="77777777" w:rsidR="00F62D77" w:rsidRPr="00EB2661" w:rsidRDefault="00F62D77" w:rsidP="00A441A6">
                              <w:pPr>
                                <w:spacing w:after="0" w:line="240" w:lineRule="auto"/>
                                <w:rPr>
                                  <w:rFonts w:ascii="Times New Roman" w:eastAsia="Times New Roman" w:hAnsi="Times New Roman" w:cs="Times New Roman"/>
                                  <w:b/>
                                  <w:bCs/>
                                  <w:iCs/>
                                  <w:sz w:val="24"/>
                                  <w:szCs w:val="24"/>
                                  <w:lang w:eastAsia="ru-RU"/>
                                </w:rPr>
                              </w:pPr>
                              <w:r>
                                <w:rPr>
                                  <w:rFonts w:ascii="Times New Roman" w:eastAsia="Times New Roman" w:hAnsi="Times New Roman" w:cs="Times New Roman"/>
                                  <w:b/>
                                  <w:bCs/>
                                  <w:iCs/>
                                  <w:sz w:val="24"/>
                                  <w:szCs w:val="24"/>
                                  <w:lang w:eastAsia="ru-RU"/>
                                </w:rPr>
                                <w:t xml:space="preserve">          млн рублей</w:t>
                              </w:r>
                            </w:p>
                            <w:p w14:paraId="407A209A" w14:textId="77777777" w:rsidR="00F62D77" w:rsidRPr="000E75B1" w:rsidRDefault="00F62D77" w:rsidP="00A441A6">
                              <w:pPr>
                                <w:spacing w:after="0" w:line="240" w:lineRule="auto"/>
                                <w:jc w:val="center"/>
                                <w:rPr>
                                  <w:color w:val="0D0D0D" w:themeColor="text1" w:themeTint="F2"/>
                                  <w:sz w:val="23"/>
                                  <w:szCs w:val="23"/>
                                </w:rPr>
                              </w:pPr>
                            </w:p>
                            <w:p w14:paraId="28418026" w14:textId="77777777" w:rsidR="00F62D77" w:rsidRPr="000E75B1" w:rsidRDefault="00F62D77" w:rsidP="00A441A6">
                              <w:pPr>
                                <w:spacing w:after="0" w:line="240" w:lineRule="atLeast"/>
                                <w:jc w:val="center"/>
                                <w:rPr>
                                  <w:color w:val="0D0D0D" w:themeColor="text1" w:themeTint="F2"/>
                                  <w:sz w:val="23"/>
                                  <w:szCs w:val="23"/>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5A64EC" id="_x0000_s1030" style="position:absolute;left:0;text-align:left;margin-left:-.3pt;margin-top:7.5pt;width:148.5pt;height:116.25pt;z-index:251660288;mso-width-relative:margin;mso-height-relative:margin" coordsize="18478,145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">
                <v:rect id="Прямоугольник 1" o:spid="_x0000_s1031" style="position:absolute;width:16764;height:126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" fillcolor="#9ccff5" stroked="f" strokeweight=".5pt">
                  <v:fill color2="#79beed" rotate="t" colors="0 #9ccff5;.5 #8fc4eb;1 #79beed" focus="100%" type="gradient">
                    <o:fill v:ext="view" type="gradientUnscaled"/>
                  </v:fill>
                  <v:shadow on="t" color="black" opacity="26214f" origin=".5,.5" offset="-.74836mm,-.74836mm"/>
                </v:rect>
                <v:rect id="Прямоугольник 2" o:spid="_x0000_s1032" style="position:absolute;left:1238;top:1047;width:17240;height:134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YtcoA&#10;AADhAAAADwAAAGRycy9kb3ducmV2LnhtbESPzWrCQBSF9wXfYbiF7urEgqlGR5FqQOim1QZ1d8nc&#10;JsHMnZiZxujTdxaFLg/nj2++7E0tOmpdZVnBaBiBIM6trrhQ8LVPnycgnEfWWFsmBTdysFwMHuaY&#10;aHvlT+p2vhBhhF2CCkrvm0RKl5dk0A1tQxy8b9sa9EG2hdQtXsO4qeVLFMXSYMXhocSG3krKz7sf&#10;o8Ceuv27TtNzlt3Xh4/J5phdTlulnh771QyEp97/h//aW60gjqfj0WsUGAJRoAG5+A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Qf2LXKAAAA4QAAAA8AAAAAAAAAAAAAAAAAmAIA&#10;AGRycy9kb3ducmV2LnhtbFBLBQYAAAAABAAEAPUAAACPAwAAAAA=&#10;" fillcolor="#f2f2f2" stroked="f" strokeweight="1pt">
                  <v:textbox>
                    <w:txbxContent>
                      <w:p w14:paraId="10D65F72" w14:textId="77777777" w:rsidR="00F62D77" w:rsidRDefault="00F62D77" w:rsidP="00A441A6">
                        <w:pPr>
                          <w:spacing w:after="0" w:line="240" w:lineRule="auto"/>
                          <w:jc w:val="center"/>
                          <w:rPr>
                            <w:rFonts w:ascii="Times New Roman" w:eastAsia="Times New Roman" w:hAnsi="Times New Roman" w:cs="Times New Roman"/>
                            <w:b/>
                            <w:bCs/>
                            <w:iCs/>
                            <w:sz w:val="24"/>
                            <w:szCs w:val="24"/>
                            <w:lang w:eastAsia="ru-RU"/>
                          </w:rPr>
                        </w:pPr>
                        <w:r w:rsidRPr="000E75B1">
                          <w:rPr>
                            <w:rFonts w:ascii="Times New Roman" w:eastAsia="Times New Roman" w:hAnsi="Times New Roman" w:cs="Times New Roman"/>
                            <w:b/>
                            <w:bCs/>
                            <w:iCs/>
                            <w:color w:val="0D0D0D" w:themeColor="text1" w:themeTint="F2"/>
                            <w:sz w:val="23"/>
                            <w:szCs w:val="23"/>
                            <w:lang w:eastAsia="ru-RU"/>
                          </w:rPr>
                          <w:t xml:space="preserve">Динамика поступления </w:t>
                        </w:r>
                        <w:r w:rsidRPr="00EB2661">
                          <w:rPr>
                            <w:rFonts w:ascii="Times New Roman" w:eastAsia="Times New Roman" w:hAnsi="Times New Roman" w:cs="Times New Roman"/>
                            <w:b/>
                            <w:bCs/>
                            <w:iCs/>
                            <w:sz w:val="24"/>
                            <w:szCs w:val="24"/>
                            <w:lang w:eastAsia="ru-RU"/>
                          </w:rPr>
                          <w:t>налога на прибыль организаций за 2020</w:t>
                        </w:r>
                        <w:r>
                          <w:rPr>
                            <w:rFonts w:ascii="Times New Roman" w:eastAsia="Times New Roman" w:hAnsi="Times New Roman" w:cs="Times New Roman"/>
                            <w:b/>
                            <w:bCs/>
                            <w:iCs/>
                            <w:sz w:val="24"/>
                            <w:szCs w:val="24"/>
                            <w:lang w:eastAsia="ru-RU"/>
                          </w:rPr>
                          <w:t>–2024</w:t>
                        </w:r>
                        <w:r w:rsidRPr="00EB2661">
                          <w:rPr>
                            <w:rFonts w:ascii="Times New Roman" w:eastAsia="Times New Roman" w:hAnsi="Times New Roman" w:cs="Times New Roman"/>
                            <w:b/>
                            <w:bCs/>
                            <w:iCs/>
                            <w:sz w:val="24"/>
                            <w:szCs w:val="24"/>
                            <w:lang w:eastAsia="ru-RU"/>
                          </w:rPr>
                          <w:t xml:space="preserve"> годы</w:t>
                        </w:r>
                        <w:r>
                          <w:rPr>
                            <w:rFonts w:ascii="Times New Roman" w:eastAsia="Times New Roman" w:hAnsi="Times New Roman" w:cs="Times New Roman"/>
                            <w:b/>
                            <w:bCs/>
                            <w:iCs/>
                            <w:sz w:val="24"/>
                            <w:szCs w:val="24"/>
                            <w:lang w:eastAsia="ru-RU"/>
                          </w:rPr>
                          <w:t xml:space="preserve"> </w:t>
                        </w:r>
                        <w:r w:rsidRPr="007A3CA8">
                          <w:rPr>
                            <w:rFonts w:ascii="Times New Roman" w:eastAsia="Times New Roman" w:hAnsi="Times New Roman" w:cs="Times New Roman"/>
                            <w:b/>
                            <w:bCs/>
                            <w:iCs/>
                            <w:sz w:val="24"/>
                            <w:szCs w:val="24"/>
                            <w:lang w:eastAsia="ru-RU"/>
                          </w:rPr>
                          <w:t>и плановые назначения на 2025 год,</w:t>
                        </w:r>
                      </w:p>
                      <w:p w14:paraId="0B185B7A" w14:textId="77777777" w:rsidR="00F62D77" w:rsidRPr="00EB2661" w:rsidRDefault="00F62D77" w:rsidP="00A441A6">
                        <w:pPr>
                          <w:spacing w:after="0" w:line="240" w:lineRule="auto"/>
                          <w:rPr>
                            <w:rFonts w:ascii="Times New Roman" w:eastAsia="Times New Roman" w:hAnsi="Times New Roman" w:cs="Times New Roman"/>
                            <w:b/>
                            <w:bCs/>
                            <w:iCs/>
                            <w:sz w:val="24"/>
                            <w:szCs w:val="24"/>
                            <w:lang w:eastAsia="ru-RU"/>
                          </w:rPr>
                        </w:pPr>
                        <w:r>
                          <w:rPr>
                            <w:rFonts w:ascii="Times New Roman" w:eastAsia="Times New Roman" w:hAnsi="Times New Roman" w:cs="Times New Roman"/>
                            <w:b/>
                            <w:bCs/>
                            <w:iCs/>
                            <w:sz w:val="24"/>
                            <w:szCs w:val="24"/>
                            <w:lang w:eastAsia="ru-RU"/>
                          </w:rPr>
                          <w:t xml:space="preserve">          млн рублей</w:t>
                        </w:r>
                      </w:p>
                      <w:p w14:paraId="407A209A" w14:textId="77777777" w:rsidR="00F62D77" w:rsidRPr="000E75B1" w:rsidRDefault="00F62D77" w:rsidP="00A441A6">
                        <w:pPr>
                          <w:spacing w:after="0" w:line="240" w:lineRule="auto"/>
                          <w:jc w:val="center"/>
                          <w:rPr>
                            <w:color w:val="0D0D0D" w:themeColor="text1" w:themeTint="F2"/>
                            <w:sz w:val="23"/>
                            <w:szCs w:val="23"/>
                          </w:rPr>
                        </w:pPr>
                      </w:p>
                      <w:p w14:paraId="28418026" w14:textId="77777777" w:rsidR="00F62D77" w:rsidRPr="000E75B1" w:rsidRDefault="00F62D77" w:rsidP="00A441A6">
                        <w:pPr>
                          <w:spacing w:after="0" w:line="240" w:lineRule="atLeast"/>
                          <w:jc w:val="center"/>
                          <w:rPr>
                            <w:color w:val="0D0D0D" w:themeColor="text1" w:themeTint="F2"/>
                            <w:sz w:val="23"/>
                            <w:szCs w:val="23"/>
                          </w:rPr>
                        </w:pPr>
                      </w:p>
                    </w:txbxContent>
                  </v:textbox>
                </v:rect>
              </v:group>
            </w:pict>
          </mc:Fallback>
        </mc:AlternateContent>
      </w:r>
      <w:r w:rsidRPr="00E47AA9">
        <w:rPr>
          <w:rFonts w:ascii="Times New Roman" w:hAnsi="Times New Roman" w:cs="Times New Roman"/>
          <w:noProof/>
          <w:lang w:eastAsia="ru-RU"/>
          <w14:ligatures w14:val="standardContextual"/>
        </w:rPr>
        <w:drawing>
          <wp:inline distT="0" distB="0" distL="0" distR="0" wp14:anchorId="268248BF" wp14:editId="6F2D8307">
            <wp:extent cx="3752850" cy="1666875"/>
            <wp:effectExtent l="0" t="0" r="0" b="0"/>
            <wp:docPr id="2104394108"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DB37439C-A5C9-4556-709F-5203D831B2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38017D6" w14:textId="77777777" w:rsidR="00A441A6" w:rsidRPr="00E47AA9" w:rsidRDefault="00A441A6" w:rsidP="00A441A6">
      <w:pPr>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p>
    <w:p w14:paraId="441F684D" w14:textId="77777777" w:rsidR="00A441A6" w:rsidRPr="00E47AA9" w:rsidRDefault="00A441A6" w:rsidP="00A441A6">
      <w:pPr>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b/>
          <w:sz w:val="28"/>
          <w:szCs w:val="28"/>
          <w:lang w:eastAsia="ru-RU"/>
        </w:rPr>
        <w:t>Акцизы по подакцизным товарам (продукции), производимым на территории Российской Федерации</w:t>
      </w:r>
      <w:r w:rsidRPr="00E47AA9">
        <w:rPr>
          <w:rFonts w:ascii="Times New Roman" w:eastAsia="Times New Roman" w:hAnsi="Times New Roman" w:cs="Times New Roman"/>
          <w:sz w:val="28"/>
          <w:szCs w:val="28"/>
          <w:lang w:eastAsia="ru-RU"/>
        </w:rPr>
        <w:t xml:space="preserve">, в 2024 году поступили в сумме 17195,96 млн рублей, что на 23,51 млн рублей, или на 0,14 %, ниже плановых назначений (17219,47 млн рублей). По сравнению с 2023 годом (15554,30 млн рублей) поступление акцизов в 2024 году возросло на 1641,66 млн рублей, или на 10,55 %. </w:t>
      </w:r>
      <w:r w:rsidRPr="00E47AA9">
        <w:rPr>
          <w:rFonts w:ascii="Times New Roman" w:eastAsia="Times New Roman" w:hAnsi="Times New Roman" w:cs="Times New Roman"/>
          <w:i/>
          <w:sz w:val="28"/>
          <w:szCs w:val="28"/>
          <w:lang w:eastAsia="ru-RU"/>
        </w:rPr>
        <w:t xml:space="preserve">Справочно: </w:t>
      </w:r>
      <w:r w:rsidR="00572CD1" w:rsidRPr="00E47AA9">
        <w:rPr>
          <w:rFonts w:ascii="Times New Roman" w:eastAsia="Times New Roman" w:hAnsi="Times New Roman" w:cs="Times New Roman"/>
          <w:i/>
          <w:sz w:val="28"/>
          <w:szCs w:val="28"/>
          <w:lang w:eastAsia="ru-RU"/>
        </w:rPr>
        <w:t>в</w:t>
      </w:r>
      <w:r w:rsidRPr="00E47AA9">
        <w:rPr>
          <w:rFonts w:ascii="Times New Roman" w:eastAsia="Times New Roman" w:hAnsi="Times New Roman" w:cs="Times New Roman"/>
          <w:i/>
          <w:sz w:val="28"/>
          <w:szCs w:val="28"/>
          <w:lang w:eastAsia="ru-RU"/>
        </w:rPr>
        <w:t xml:space="preserve"> 2024 году первоначальные бюджетные назначения корректировались 2 раза в сторону увеличения на общую сумму 557,52 млн рублей. </w:t>
      </w:r>
    </w:p>
    <w:p w14:paraId="03F1199C" w14:textId="77777777" w:rsidR="00A441A6" w:rsidRPr="00E47AA9" w:rsidRDefault="00A441A6" w:rsidP="00A441A6">
      <w:pPr>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p>
    <w:tbl>
      <w:tblPr>
        <w:tblStyle w:val="ab"/>
        <w:tblW w:w="92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3"/>
        <w:gridCol w:w="6486"/>
      </w:tblGrid>
      <w:tr w:rsidR="00A441A6" w:rsidRPr="00E47AA9" w14:paraId="0F1D7565" w14:textId="77777777" w:rsidTr="00353702">
        <w:tc>
          <w:tcPr>
            <w:tcW w:w="2830" w:type="dxa"/>
          </w:tcPr>
          <w:p w14:paraId="53701BA9" w14:textId="77777777" w:rsidR="00A441A6" w:rsidRPr="00E47AA9" w:rsidRDefault="00A441A6" w:rsidP="00353702">
            <w:pPr>
              <w:autoSpaceDE w:val="0"/>
              <w:autoSpaceDN w:val="0"/>
              <w:adjustRightInd w:val="0"/>
              <w:jc w:val="center"/>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b/>
                <w:noProof/>
                <w:sz w:val="28"/>
                <w:szCs w:val="28"/>
                <w:lang w:eastAsia="ru-RU"/>
                <w14:ligatures w14:val="standardContextual"/>
              </w:rPr>
              <w:lastRenderedPageBreak/>
              <w:drawing>
                <wp:anchor distT="0" distB="0" distL="114300" distR="114300" simplePos="0" relativeHeight="251665408" behindDoc="0" locked="0" layoutInCell="1" allowOverlap="1" wp14:anchorId="400893DC" wp14:editId="241D438D">
                  <wp:simplePos x="0" y="0"/>
                  <wp:positionH relativeFrom="margin">
                    <wp:posOffset>194310</wp:posOffset>
                  </wp:positionH>
                  <wp:positionV relativeFrom="paragraph">
                    <wp:posOffset>147320</wp:posOffset>
                  </wp:positionV>
                  <wp:extent cx="257175" cy="209550"/>
                  <wp:effectExtent l="0" t="0" r="9525" b="0"/>
                  <wp:wrapNone/>
                  <wp:docPr id="503017848" name="Рисунок 6" descr="Экспоненциальный график конту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271402" name="Рисунок 424271402" descr="Экспоненциальный график контур"/>
                          <pic:cNvPicPr/>
                        </pic:nvPicPr>
                        <pic:blipFill>
                          <a:blip r:embed="rId37">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svg="http://schemas.microsoft.com/office/drawing/2016/SVG/main" r:embed="rId38"/>
                              </a:ext>
                            </a:extLst>
                          </a:blip>
                          <a:stretch>
                            <a:fillRect/>
                          </a:stretch>
                        </pic:blipFill>
                        <pic:spPr>
                          <a:xfrm>
                            <a:off x="0" y="0"/>
                            <a:ext cx="257175" cy="209550"/>
                          </a:xfrm>
                          <a:prstGeom prst="rect">
                            <a:avLst/>
                          </a:prstGeom>
                        </pic:spPr>
                      </pic:pic>
                    </a:graphicData>
                  </a:graphic>
                  <wp14:sizeRelH relativeFrom="margin">
                    <wp14:pctWidth>0</wp14:pctWidth>
                  </wp14:sizeRelH>
                  <wp14:sizeRelV relativeFrom="margin">
                    <wp14:pctHeight>0</wp14:pctHeight>
                  </wp14:sizeRelV>
                </wp:anchor>
              </w:drawing>
            </w:r>
            <w:r w:rsidRPr="00E47AA9">
              <w:rPr>
                <w:rFonts w:ascii="Times New Roman" w:eastAsia="Times New Roman" w:hAnsi="Times New Roman" w:cs="Times New Roman"/>
                <w:i/>
                <w:noProof/>
                <w:sz w:val="28"/>
                <w:szCs w:val="28"/>
                <w:lang w:eastAsia="ru-RU"/>
                <w14:ligatures w14:val="standardContextual"/>
              </w:rPr>
              <mc:AlternateContent>
                <mc:Choice Requires="wpg">
                  <w:drawing>
                    <wp:anchor distT="0" distB="0" distL="114300" distR="114300" simplePos="0" relativeHeight="251659264" behindDoc="0" locked="0" layoutInCell="1" allowOverlap="1" wp14:anchorId="11B54FE4" wp14:editId="73C6A53B">
                      <wp:simplePos x="0" y="0"/>
                      <wp:positionH relativeFrom="column">
                        <wp:posOffset>41910</wp:posOffset>
                      </wp:positionH>
                      <wp:positionV relativeFrom="paragraph">
                        <wp:posOffset>4445</wp:posOffset>
                      </wp:positionV>
                      <wp:extent cx="1866900" cy="1419225"/>
                      <wp:effectExtent l="95250" t="95250" r="0" b="9525"/>
                      <wp:wrapNone/>
                      <wp:docPr id="547661607" name="Группа 3"/>
                      <wp:cNvGraphicFramePr/>
                      <a:graphic xmlns:a="http://schemas.openxmlformats.org/drawingml/2006/main">
                        <a:graphicData uri="http://schemas.microsoft.com/office/word/2010/wordprocessingGroup">
                          <wpg:wgp>
                            <wpg:cNvGrpSpPr/>
                            <wpg:grpSpPr>
                              <a:xfrm>
                                <a:off x="0" y="0"/>
                                <a:ext cx="1866900" cy="1419225"/>
                                <a:chOff x="0" y="0"/>
                                <a:chExt cx="1847850" cy="1495425"/>
                              </a:xfrm>
                            </wpg:grpSpPr>
                            <wps:wsp>
                              <wps:cNvPr id="2071358397" name="Прямоугольник 1"/>
                              <wps:cNvSpPr/>
                              <wps:spPr>
                                <a:xfrm>
                                  <a:off x="0" y="0"/>
                                  <a:ext cx="1676400" cy="1266825"/>
                                </a:xfrm>
                                <a:prstGeom prst="rect">
                                  <a:avLst/>
                                </a:prstGeom>
                                <a:solidFill>
                                  <a:schemeClr val="accent1">
                                    <a:lumMod val="60000"/>
                                    <a:lumOff val="40000"/>
                                  </a:schemeClr>
                                </a:solidFill>
                                <a:ln>
                                  <a:noFill/>
                                </a:ln>
                                <a:effectLst>
                                  <a:outerShdw blurRad="50800" dist="38100" dir="13500000" algn="br" rotWithShape="0">
                                    <a:prstClr val="black">
                                      <a:alpha val="40000"/>
                                    </a:prstClr>
                                  </a:outerShdw>
                                </a:effectLst>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3520008" name="Прямоугольник 2"/>
                              <wps:cNvSpPr/>
                              <wps:spPr>
                                <a:xfrm>
                                  <a:off x="123825" y="104775"/>
                                  <a:ext cx="1724025" cy="1390650"/>
                                </a:xfrm>
                                <a:prstGeom prst="rect">
                                  <a:avLst/>
                                </a:prstGeom>
                                <a:solidFill>
                                  <a:schemeClr val="bg1">
                                    <a:lumMod val="9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6E1FC97" w14:textId="77777777" w:rsidR="00F62D77" w:rsidRDefault="00F62D77" w:rsidP="00A441A6">
                                    <w:pPr>
                                      <w:spacing w:after="0" w:line="240" w:lineRule="auto"/>
                                      <w:jc w:val="center"/>
                                      <w:rPr>
                                        <w:rFonts w:ascii="Times New Roman" w:eastAsia="Times New Roman" w:hAnsi="Times New Roman" w:cs="Times New Roman"/>
                                        <w:b/>
                                        <w:bCs/>
                                        <w:iCs/>
                                        <w:color w:val="0D0D0D" w:themeColor="text1" w:themeTint="F2"/>
                                        <w:sz w:val="23"/>
                                        <w:szCs w:val="23"/>
                                        <w:lang w:eastAsia="ru-RU"/>
                                      </w:rPr>
                                    </w:pPr>
                                    <w:r w:rsidRPr="000E75B1">
                                      <w:rPr>
                                        <w:rFonts w:ascii="Times New Roman" w:eastAsia="Times New Roman" w:hAnsi="Times New Roman" w:cs="Times New Roman"/>
                                        <w:b/>
                                        <w:bCs/>
                                        <w:iCs/>
                                        <w:color w:val="0D0D0D" w:themeColor="text1" w:themeTint="F2"/>
                                        <w:sz w:val="23"/>
                                        <w:szCs w:val="23"/>
                                        <w:lang w:eastAsia="ru-RU"/>
                                      </w:rPr>
                                      <w:t xml:space="preserve">Динамика поступления доходов по акцизам за </w:t>
                                    </w:r>
                                  </w:p>
                                  <w:p w14:paraId="46A403B3" w14:textId="77777777" w:rsidR="00F62D77" w:rsidRPr="000E75B1" w:rsidRDefault="00F62D77" w:rsidP="00A441A6">
                                    <w:pPr>
                                      <w:spacing w:after="0" w:line="240" w:lineRule="auto"/>
                                      <w:jc w:val="center"/>
                                      <w:rPr>
                                        <w:rFonts w:ascii="Times New Roman" w:eastAsia="Times New Roman" w:hAnsi="Times New Roman" w:cs="Times New Roman"/>
                                        <w:b/>
                                        <w:bCs/>
                                        <w:iCs/>
                                        <w:color w:val="0D0D0D" w:themeColor="text1" w:themeTint="F2"/>
                                        <w:sz w:val="23"/>
                                        <w:szCs w:val="23"/>
                                        <w:lang w:eastAsia="ru-RU"/>
                                      </w:rPr>
                                    </w:pPr>
                                    <w:r w:rsidRPr="000E75B1">
                                      <w:rPr>
                                        <w:rFonts w:ascii="Times New Roman" w:eastAsia="Times New Roman" w:hAnsi="Times New Roman" w:cs="Times New Roman"/>
                                        <w:b/>
                                        <w:bCs/>
                                        <w:iCs/>
                                        <w:color w:val="0D0D0D" w:themeColor="text1" w:themeTint="F2"/>
                                        <w:sz w:val="23"/>
                                        <w:szCs w:val="23"/>
                                        <w:lang w:eastAsia="ru-RU"/>
                                      </w:rPr>
                                      <w:t>2020</w:t>
                                    </w:r>
                                    <w:r>
                                      <w:rPr>
                                        <w:rFonts w:ascii="Times New Roman" w:eastAsia="Times New Roman" w:hAnsi="Times New Roman" w:cs="Times New Roman"/>
                                        <w:b/>
                                        <w:bCs/>
                                        <w:iCs/>
                                        <w:color w:val="0D0D0D" w:themeColor="text1" w:themeTint="F2"/>
                                        <w:sz w:val="23"/>
                                        <w:szCs w:val="23"/>
                                        <w:lang w:eastAsia="ru-RU"/>
                                      </w:rPr>
                                      <w:t>–2024</w:t>
                                    </w:r>
                                    <w:r w:rsidRPr="000E75B1">
                                      <w:rPr>
                                        <w:rFonts w:ascii="Times New Roman" w:eastAsia="Times New Roman" w:hAnsi="Times New Roman" w:cs="Times New Roman"/>
                                        <w:b/>
                                        <w:bCs/>
                                        <w:iCs/>
                                        <w:color w:val="0D0D0D" w:themeColor="text1" w:themeTint="F2"/>
                                        <w:sz w:val="23"/>
                                        <w:szCs w:val="23"/>
                                        <w:lang w:eastAsia="ru-RU"/>
                                      </w:rPr>
                                      <w:t xml:space="preserve"> годы и</w:t>
                                    </w:r>
                                  </w:p>
                                  <w:p w14:paraId="1D2EB183" w14:textId="77777777" w:rsidR="00F62D77" w:rsidRDefault="00F62D77" w:rsidP="00A441A6">
                                    <w:pPr>
                                      <w:spacing w:after="0" w:line="240" w:lineRule="atLeast"/>
                                      <w:jc w:val="center"/>
                                      <w:rPr>
                                        <w:rFonts w:ascii="Times New Roman" w:eastAsia="Times New Roman" w:hAnsi="Times New Roman" w:cs="Times New Roman"/>
                                        <w:b/>
                                        <w:bCs/>
                                        <w:iCs/>
                                        <w:color w:val="0D0D0D" w:themeColor="text1" w:themeTint="F2"/>
                                        <w:sz w:val="23"/>
                                        <w:szCs w:val="23"/>
                                        <w:lang w:eastAsia="ru-RU"/>
                                      </w:rPr>
                                    </w:pPr>
                                    <w:r w:rsidRPr="000E75B1">
                                      <w:rPr>
                                        <w:rFonts w:ascii="Times New Roman" w:eastAsia="Times New Roman" w:hAnsi="Times New Roman" w:cs="Times New Roman"/>
                                        <w:b/>
                                        <w:bCs/>
                                        <w:iCs/>
                                        <w:color w:val="0D0D0D" w:themeColor="text1" w:themeTint="F2"/>
                                        <w:sz w:val="23"/>
                                        <w:szCs w:val="23"/>
                                        <w:lang w:eastAsia="ru-RU"/>
                                      </w:rPr>
                                      <w:t xml:space="preserve">плановые назначения на 2025 год, </w:t>
                                    </w:r>
                                  </w:p>
                                  <w:p w14:paraId="235CAD02" w14:textId="77777777" w:rsidR="00F62D77" w:rsidRPr="000E75B1" w:rsidRDefault="00F62D77" w:rsidP="00A441A6">
                                    <w:pPr>
                                      <w:spacing w:after="0" w:line="240" w:lineRule="atLeast"/>
                                      <w:jc w:val="center"/>
                                      <w:rPr>
                                        <w:color w:val="0D0D0D" w:themeColor="text1" w:themeTint="F2"/>
                                        <w:sz w:val="23"/>
                                        <w:szCs w:val="23"/>
                                      </w:rPr>
                                    </w:pPr>
                                    <w:r w:rsidRPr="000E75B1">
                                      <w:rPr>
                                        <w:rFonts w:ascii="Times New Roman" w:eastAsia="Times New Roman" w:hAnsi="Times New Roman" w:cs="Times New Roman"/>
                                        <w:b/>
                                        <w:bCs/>
                                        <w:iCs/>
                                        <w:color w:val="0D0D0D" w:themeColor="text1" w:themeTint="F2"/>
                                        <w:sz w:val="23"/>
                                        <w:szCs w:val="23"/>
                                        <w:lang w:eastAsia="ru-RU"/>
                                      </w:rPr>
                                      <w:t>млн рублей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B54FE4" id="_x0000_s1033" style="position:absolute;left:0;text-align:left;margin-left:3.3pt;margin-top:.35pt;width:147pt;height:111.75pt;z-index:251659264;mso-width-relative:margin;mso-height-relative:margin" coordsize="18478,14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">
                      <v:rect id="Прямоугольник 1" o:spid="_x0000_s1034" style="position:absolute;width:16764;height:126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Cit8sA&#10;AADjAAAADwAAAGRycy9kb3ducmV2LnhtbESPzWrDMBCE74W+g9hCbo2chDqpGyWUgtNCL4nTB9ha&#10;6x9irYyk2O7bV4VCjsPMfMNs95PpxEDOt5YVLOYJCOLS6pZrBV/n/HEDwgdkjZ1lUvBDHva7+7st&#10;ZtqOfKKhCLWIEPYZKmhC6DMpfdmQQT+3PXH0KusMhihdLbXDMcJNJ5dJkkqDLceFBnt6a6i8FFej&#10;IPXfh8t5fL/qtDD5UOXuWNGnUrOH6fUFRKAp3ML/7Q+tYJmsF6unzep5DX+f4h+Qu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14KK3ywAAAOMAAAAPAAAAAAAAAAAAAAAAAJgC&#10;AABkcnMvZG93bnJldi54bWxQSwUGAAAAAAQABAD1AAAAkAMAAAAA&#10;" fillcolor="#9cc2e5 [1940]" stroked="f" strokeweight=".5pt">
                        <v:shadow on="t" color="black" opacity="26214f" origin=".5,.5" offset="-.74836mm,-.74836mm"/>
                      </v:rect>
                      <v:rect id="Прямоугольник 2" o:spid="_x0000_s1035" style="position:absolute;left:1238;top:1047;width:17240;height:139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DCwsoA&#10;AADiAAAADwAAAGRycy9kb3ducmV2LnhtbESPwUrDQBCG74LvsIzgze4aaaix21IKRS892AbB25gd&#10;k2B2Ns1um/TtnYPgcfjn/2a+5XrynbrQENvAFh5nBhRxFVzLtYXyuHtYgIoJ2WEXmCxcKcJ6dXuz&#10;xMKFkd/pcki1EgjHAi00KfWF1rFqyGOchZ5Ysu8weEwyDrV2A44C953OjMm1x5blQoM9bRuqfg5n&#10;byErp3k27nfPH5/l16vJz6dtRrm193fT5gVUoin9L/+135yFhXmaC9XIz6IkOqB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qAwsLKAAAA4gAAAA8AAAAAAAAAAAAAAAAAmAIA&#10;AGRycy9kb3ducmV2LnhtbFBLBQYAAAAABAAEAPUAAACPAwAAAAA=&#10;" fillcolor="#f2f2f2 [3052]" stroked="f" strokeweight="1pt">
                        <v:textbox>
                          <w:txbxContent>
                            <w:p w14:paraId="26E1FC97" w14:textId="77777777" w:rsidR="00F62D77" w:rsidRDefault="00F62D77" w:rsidP="00A441A6">
                              <w:pPr>
                                <w:spacing w:after="0" w:line="240" w:lineRule="auto"/>
                                <w:jc w:val="center"/>
                                <w:rPr>
                                  <w:rFonts w:ascii="Times New Roman" w:eastAsia="Times New Roman" w:hAnsi="Times New Roman" w:cs="Times New Roman"/>
                                  <w:b/>
                                  <w:bCs/>
                                  <w:iCs/>
                                  <w:color w:val="0D0D0D" w:themeColor="text1" w:themeTint="F2"/>
                                  <w:sz w:val="23"/>
                                  <w:szCs w:val="23"/>
                                  <w:lang w:eastAsia="ru-RU"/>
                                </w:rPr>
                              </w:pPr>
                              <w:r w:rsidRPr="000E75B1">
                                <w:rPr>
                                  <w:rFonts w:ascii="Times New Roman" w:eastAsia="Times New Roman" w:hAnsi="Times New Roman" w:cs="Times New Roman"/>
                                  <w:b/>
                                  <w:bCs/>
                                  <w:iCs/>
                                  <w:color w:val="0D0D0D" w:themeColor="text1" w:themeTint="F2"/>
                                  <w:sz w:val="23"/>
                                  <w:szCs w:val="23"/>
                                  <w:lang w:eastAsia="ru-RU"/>
                                </w:rPr>
                                <w:t xml:space="preserve">Динамика поступления доходов по акцизам за </w:t>
                              </w:r>
                            </w:p>
                            <w:p w14:paraId="46A403B3" w14:textId="77777777" w:rsidR="00F62D77" w:rsidRPr="000E75B1" w:rsidRDefault="00F62D77" w:rsidP="00A441A6">
                              <w:pPr>
                                <w:spacing w:after="0" w:line="240" w:lineRule="auto"/>
                                <w:jc w:val="center"/>
                                <w:rPr>
                                  <w:rFonts w:ascii="Times New Roman" w:eastAsia="Times New Roman" w:hAnsi="Times New Roman" w:cs="Times New Roman"/>
                                  <w:b/>
                                  <w:bCs/>
                                  <w:iCs/>
                                  <w:color w:val="0D0D0D" w:themeColor="text1" w:themeTint="F2"/>
                                  <w:sz w:val="23"/>
                                  <w:szCs w:val="23"/>
                                  <w:lang w:eastAsia="ru-RU"/>
                                </w:rPr>
                              </w:pPr>
                              <w:r w:rsidRPr="000E75B1">
                                <w:rPr>
                                  <w:rFonts w:ascii="Times New Roman" w:eastAsia="Times New Roman" w:hAnsi="Times New Roman" w:cs="Times New Roman"/>
                                  <w:b/>
                                  <w:bCs/>
                                  <w:iCs/>
                                  <w:color w:val="0D0D0D" w:themeColor="text1" w:themeTint="F2"/>
                                  <w:sz w:val="23"/>
                                  <w:szCs w:val="23"/>
                                  <w:lang w:eastAsia="ru-RU"/>
                                </w:rPr>
                                <w:t>2020</w:t>
                              </w:r>
                              <w:r>
                                <w:rPr>
                                  <w:rFonts w:ascii="Times New Roman" w:eastAsia="Times New Roman" w:hAnsi="Times New Roman" w:cs="Times New Roman"/>
                                  <w:b/>
                                  <w:bCs/>
                                  <w:iCs/>
                                  <w:color w:val="0D0D0D" w:themeColor="text1" w:themeTint="F2"/>
                                  <w:sz w:val="23"/>
                                  <w:szCs w:val="23"/>
                                  <w:lang w:eastAsia="ru-RU"/>
                                </w:rPr>
                                <w:t>–2024</w:t>
                              </w:r>
                              <w:r w:rsidRPr="000E75B1">
                                <w:rPr>
                                  <w:rFonts w:ascii="Times New Roman" w:eastAsia="Times New Roman" w:hAnsi="Times New Roman" w:cs="Times New Roman"/>
                                  <w:b/>
                                  <w:bCs/>
                                  <w:iCs/>
                                  <w:color w:val="0D0D0D" w:themeColor="text1" w:themeTint="F2"/>
                                  <w:sz w:val="23"/>
                                  <w:szCs w:val="23"/>
                                  <w:lang w:eastAsia="ru-RU"/>
                                </w:rPr>
                                <w:t xml:space="preserve"> годы и</w:t>
                              </w:r>
                            </w:p>
                            <w:p w14:paraId="1D2EB183" w14:textId="77777777" w:rsidR="00F62D77" w:rsidRDefault="00F62D77" w:rsidP="00A441A6">
                              <w:pPr>
                                <w:spacing w:after="0" w:line="240" w:lineRule="atLeast"/>
                                <w:jc w:val="center"/>
                                <w:rPr>
                                  <w:rFonts w:ascii="Times New Roman" w:eastAsia="Times New Roman" w:hAnsi="Times New Roman" w:cs="Times New Roman"/>
                                  <w:b/>
                                  <w:bCs/>
                                  <w:iCs/>
                                  <w:color w:val="0D0D0D" w:themeColor="text1" w:themeTint="F2"/>
                                  <w:sz w:val="23"/>
                                  <w:szCs w:val="23"/>
                                  <w:lang w:eastAsia="ru-RU"/>
                                </w:rPr>
                              </w:pPr>
                              <w:r w:rsidRPr="000E75B1">
                                <w:rPr>
                                  <w:rFonts w:ascii="Times New Roman" w:eastAsia="Times New Roman" w:hAnsi="Times New Roman" w:cs="Times New Roman"/>
                                  <w:b/>
                                  <w:bCs/>
                                  <w:iCs/>
                                  <w:color w:val="0D0D0D" w:themeColor="text1" w:themeTint="F2"/>
                                  <w:sz w:val="23"/>
                                  <w:szCs w:val="23"/>
                                  <w:lang w:eastAsia="ru-RU"/>
                                </w:rPr>
                                <w:t xml:space="preserve">плановые назначения на 2025 год, </w:t>
                              </w:r>
                            </w:p>
                            <w:p w14:paraId="235CAD02" w14:textId="77777777" w:rsidR="00F62D77" w:rsidRPr="000E75B1" w:rsidRDefault="00F62D77" w:rsidP="00A441A6">
                              <w:pPr>
                                <w:spacing w:after="0" w:line="240" w:lineRule="atLeast"/>
                                <w:jc w:val="center"/>
                                <w:rPr>
                                  <w:color w:val="0D0D0D" w:themeColor="text1" w:themeTint="F2"/>
                                  <w:sz w:val="23"/>
                                  <w:szCs w:val="23"/>
                                </w:rPr>
                              </w:pPr>
                              <w:r w:rsidRPr="000E75B1">
                                <w:rPr>
                                  <w:rFonts w:ascii="Times New Roman" w:eastAsia="Times New Roman" w:hAnsi="Times New Roman" w:cs="Times New Roman"/>
                                  <w:b/>
                                  <w:bCs/>
                                  <w:iCs/>
                                  <w:color w:val="0D0D0D" w:themeColor="text1" w:themeTint="F2"/>
                                  <w:sz w:val="23"/>
                                  <w:szCs w:val="23"/>
                                  <w:lang w:eastAsia="ru-RU"/>
                                </w:rPr>
                                <w:t>млн рублей</w:t>
                              </w:r>
                            </w:p>
                          </w:txbxContent>
                        </v:textbox>
                      </v:rect>
                    </v:group>
                  </w:pict>
                </mc:Fallback>
              </mc:AlternateContent>
            </w:r>
          </w:p>
        </w:tc>
        <w:tc>
          <w:tcPr>
            <w:tcW w:w="6379" w:type="dxa"/>
          </w:tcPr>
          <w:p w14:paraId="0EE1FFC2" w14:textId="77777777" w:rsidR="00A441A6" w:rsidRPr="00E47AA9" w:rsidRDefault="00A441A6" w:rsidP="00353702">
            <w:pPr>
              <w:autoSpaceDE w:val="0"/>
              <w:autoSpaceDN w:val="0"/>
              <w:adjustRightInd w:val="0"/>
              <w:jc w:val="both"/>
              <w:rPr>
                <w:rFonts w:ascii="Times New Roman" w:eastAsia="Times New Roman" w:hAnsi="Times New Roman" w:cs="Times New Roman"/>
                <w:i/>
                <w:sz w:val="28"/>
                <w:szCs w:val="28"/>
                <w:lang w:eastAsia="ru-RU"/>
              </w:rPr>
            </w:pPr>
            <w:r w:rsidRPr="00E47AA9">
              <w:rPr>
                <w:rFonts w:ascii="Times New Roman" w:hAnsi="Times New Roman" w:cs="Times New Roman"/>
                <w:noProof/>
                <w:lang w:eastAsia="ru-RU"/>
                <w14:ligatures w14:val="standardContextual"/>
              </w:rPr>
              <w:drawing>
                <wp:inline distT="0" distB="0" distL="0" distR="0" wp14:anchorId="26BDCC9C" wp14:editId="5A5F4008">
                  <wp:extent cx="3981450" cy="1485900"/>
                  <wp:effectExtent l="0" t="0" r="0" b="0"/>
                  <wp:docPr id="236847071"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D23E57B9-6C66-959F-B838-B14D3BDFA9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14:paraId="782D54D7" w14:textId="77777777" w:rsidR="00A441A6" w:rsidRPr="00E47AA9" w:rsidRDefault="00A441A6" w:rsidP="00A441A6">
      <w:pPr>
        <w:spacing w:after="0" w:line="240" w:lineRule="auto"/>
        <w:ind w:firstLine="709"/>
        <w:jc w:val="both"/>
        <w:rPr>
          <w:rFonts w:ascii="Times New Roman" w:eastAsia="Times New Roman" w:hAnsi="Times New Roman" w:cs="Times New Roman"/>
          <w:b/>
          <w:sz w:val="28"/>
          <w:szCs w:val="28"/>
          <w:lang w:eastAsia="ru-RU"/>
        </w:rPr>
      </w:pPr>
    </w:p>
    <w:p w14:paraId="7E1CC24C" w14:textId="235E1129" w:rsidR="00A441A6" w:rsidRPr="00E47AA9" w:rsidRDefault="00A441A6" w:rsidP="00A441A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b/>
          <w:sz w:val="28"/>
          <w:szCs w:val="28"/>
          <w:lang w:eastAsia="ru-RU"/>
        </w:rPr>
        <w:t>Налог, взимаемый в связи с применением упрощенной системы налогообложения,</w:t>
      </w:r>
      <w:r w:rsidRPr="00E47AA9">
        <w:rPr>
          <w:rFonts w:ascii="Times New Roman" w:eastAsia="Times New Roman" w:hAnsi="Times New Roman" w:cs="Times New Roman"/>
          <w:sz w:val="28"/>
          <w:szCs w:val="28"/>
          <w:lang w:eastAsia="ru-RU"/>
        </w:rPr>
        <w:t xml:space="preserve"> поступил в объеме 20386,01 млн рублей, что на 42,59 млн рублей, или на 0,21 %, ниже плановых назначений (20428,60 млн рублей). В 2024 году по сравнению с предыдущим годом (15201,69 млн рублей) поступления увеличились на 5184,32 млн рублей, или на 34,10 %. </w:t>
      </w:r>
      <w:r w:rsidRPr="00E47AA9">
        <w:rPr>
          <w:rFonts w:ascii="Times New Roman" w:eastAsia="Times New Roman" w:hAnsi="Times New Roman" w:cs="Times New Roman"/>
          <w:i/>
          <w:sz w:val="28"/>
          <w:szCs w:val="28"/>
          <w:lang w:eastAsia="ru-RU"/>
        </w:rPr>
        <w:t xml:space="preserve">Справочно: процент исполнения по налогу к первоначальной редакции </w:t>
      </w:r>
      <w:r w:rsidR="0097203A" w:rsidRPr="00E47AA9">
        <w:rPr>
          <w:rFonts w:ascii="Times New Roman" w:eastAsia="Times New Roman" w:hAnsi="Times New Roman" w:cs="Times New Roman"/>
          <w:i/>
          <w:sz w:val="28"/>
          <w:szCs w:val="28"/>
          <w:lang w:eastAsia="ru-RU"/>
        </w:rPr>
        <w:t>З</w:t>
      </w:r>
      <w:r w:rsidRPr="00E47AA9">
        <w:rPr>
          <w:rFonts w:ascii="Times New Roman" w:eastAsia="Times New Roman" w:hAnsi="Times New Roman" w:cs="Times New Roman"/>
          <w:i/>
          <w:sz w:val="28"/>
          <w:szCs w:val="28"/>
          <w:lang w:eastAsia="ru-RU"/>
        </w:rPr>
        <w:t>акона № 495-КЗ (18874,</w:t>
      </w:r>
      <w:r w:rsidR="00452308" w:rsidRPr="00E47AA9">
        <w:rPr>
          <w:rFonts w:ascii="Times New Roman" w:eastAsia="Times New Roman" w:hAnsi="Times New Roman" w:cs="Times New Roman"/>
          <w:i/>
          <w:sz w:val="28"/>
          <w:szCs w:val="28"/>
          <w:lang w:eastAsia="ru-RU"/>
        </w:rPr>
        <w:t>5</w:t>
      </w:r>
      <w:r w:rsidRPr="00E47AA9">
        <w:rPr>
          <w:rFonts w:ascii="Times New Roman" w:eastAsia="Times New Roman" w:hAnsi="Times New Roman" w:cs="Times New Roman"/>
          <w:i/>
          <w:sz w:val="28"/>
          <w:szCs w:val="28"/>
          <w:lang w:eastAsia="ru-RU"/>
        </w:rPr>
        <w:t xml:space="preserve">6 млн рублей) составил 108,01 %. В ходе исполнения краевого бюджета в 2024 году бюджетные назначения корректировались 2 раза в сторону увеличения на 1554,04 млн рублей, или на 8,23 %. </w:t>
      </w:r>
    </w:p>
    <w:p w14:paraId="3056EA1A" w14:textId="77777777" w:rsidR="00A441A6" w:rsidRPr="00E47AA9" w:rsidRDefault="00A441A6" w:rsidP="00A441A6">
      <w:pPr>
        <w:spacing w:after="0" w:line="240" w:lineRule="auto"/>
        <w:ind w:right="850" w:firstLine="2977"/>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b/>
          <w:noProof/>
          <w:sz w:val="28"/>
          <w:szCs w:val="28"/>
          <w:lang w:eastAsia="ru-RU"/>
          <w14:ligatures w14:val="standardContextual"/>
        </w:rPr>
        <w:drawing>
          <wp:anchor distT="0" distB="0" distL="114300" distR="114300" simplePos="0" relativeHeight="251666432" behindDoc="0" locked="0" layoutInCell="1" allowOverlap="1" wp14:anchorId="13285810" wp14:editId="0DC71989">
            <wp:simplePos x="0" y="0"/>
            <wp:positionH relativeFrom="margin">
              <wp:posOffset>171450</wp:posOffset>
            </wp:positionH>
            <wp:positionV relativeFrom="paragraph">
              <wp:posOffset>218440</wp:posOffset>
            </wp:positionV>
            <wp:extent cx="257175" cy="257175"/>
            <wp:effectExtent l="0" t="0" r="9525" b="9525"/>
            <wp:wrapNone/>
            <wp:docPr id="1810789207" name="Рисунок 6" descr="Экспоненциальный график конту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271402" name="Рисунок 424271402" descr="Экспоненциальный график контур"/>
                    <pic:cNvPicPr/>
                  </pic:nvPicPr>
                  <pic:blipFill>
                    <a:blip r:embed="rId37">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svg="http://schemas.microsoft.com/office/drawing/2016/SVG/main" r:embed="rId38"/>
                        </a:ext>
                      </a:extLst>
                    </a:blip>
                    <a:stretch>
                      <a:fillRect/>
                    </a:stretch>
                  </pic:blipFill>
                  <pic:spPr>
                    <a:xfrm>
                      <a:off x="0" y="0"/>
                      <a:ext cx="257175" cy="257175"/>
                    </a:xfrm>
                    <a:prstGeom prst="rect">
                      <a:avLst/>
                    </a:prstGeom>
                  </pic:spPr>
                </pic:pic>
              </a:graphicData>
            </a:graphic>
            <wp14:sizeRelH relativeFrom="margin">
              <wp14:pctWidth>0</wp14:pctWidth>
            </wp14:sizeRelH>
            <wp14:sizeRelV relativeFrom="margin">
              <wp14:pctHeight>0</wp14:pctHeight>
            </wp14:sizeRelV>
          </wp:anchor>
        </w:drawing>
      </w:r>
      <w:r w:rsidRPr="00E47AA9">
        <w:rPr>
          <w:rFonts w:ascii="Times New Roman" w:eastAsia="Times New Roman" w:hAnsi="Times New Roman" w:cs="Times New Roman"/>
          <w:i/>
          <w:noProof/>
          <w:sz w:val="28"/>
          <w:szCs w:val="28"/>
          <w:lang w:eastAsia="ru-RU"/>
          <w14:ligatures w14:val="standardContextual"/>
        </w:rPr>
        <mc:AlternateContent>
          <mc:Choice Requires="wpg">
            <w:drawing>
              <wp:anchor distT="0" distB="0" distL="114300" distR="114300" simplePos="0" relativeHeight="251662336" behindDoc="0" locked="0" layoutInCell="1" allowOverlap="1" wp14:anchorId="2A2B4755" wp14:editId="595C41F2">
                <wp:simplePos x="0" y="0"/>
                <wp:positionH relativeFrom="column">
                  <wp:posOffset>-3810</wp:posOffset>
                </wp:positionH>
                <wp:positionV relativeFrom="paragraph">
                  <wp:posOffset>95251</wp:posOffset>
                </wp:positionV>
                <wp:extent cx="2066925" cy="1619250"/>
                <wp:effectExtent l="95250" t="95250" r="9525" b="0"/>
                <wp:wrapNone/>
                <wp:docPr id="1250390252" name="Группа 3"/>
                <wp:cNvGraphicFramePr/>
                <a:graphic xmlns:a="http://schemas.openxmlformats.org/drawingml/2006/main">
                  <a:graphicData uri="http://schemas.microsoft.com/office/word/2010/wordprocessingGroup">
                    <wpg:wgp>
                      <wpg:cNvGrpSpPr/>
                      <wpg:grpSpPr>
                        <a:xfrm>
                          <a:off x="0" y="0"/>
                          <a:ext cx="2066925" cy="1619250"/>
                          <a:chOff x="0" y="0"/>
                          <a:chExt cx="1847850" cy="1495425"/>
                        </a:xfrm>
                      </wpg:grpSpPr>
                      <wps:wsp>
                        <wps:cNvPr id="1254296572" name="Прямоугольник 1"/>
                        <wps:cNvSpPr/>
                        <wps:spPr>
                          <a:xfrm>
                            <a:off x="0" y="0"/>
                            <a:ext cx="1676400" cy="1266825"/>
                          </a:xfrm>
                          <a:prstGeom prst="rect">
                            <a:avLst/>
                          </a:prstGeom>
                          <a:gradFill rotWithShape="1">
                            <a:gsLst>
                              <a:gs pos="0">
                                <a:srgbClr val="0F9ED5">
                                  <a:lumMod val="110000"/>
                                  <a:satMod val="105000"/>
                                  <a:tint val="67000"/>
                                </a:srgbClr>
                              </a:gs>
                              <a:gs pos="50000">
                                <a:srgbClr val="0F9ED5">
                                  <a:lumMod val="105000"/>
                                  <a:satMod val="103000"/>
                                  <a:tint val="73000"/>
                                </a:srgbClr>
                              </a:gs>
                              <a:gs pos="100000">
                                <a:srgbClr val="0F9ED5">
                                  <a:lumMod val="105000"/>
                                  <a:satMod val="109000"/>
                                  <a:tint val="81000"/>
                                </a:srgbClr>
                              </a:gs>
                            </a:gsLst>
                            <a:lin ang="5400000" scaled="0"/>
                          </a:gradFill>
                          <a:ln w="6350" cap="flat" cmpd="sng" algn="ctr">
                            <a:noFill/>
                            <a:prstDash val="solid"/>
                            <a:miter lim="800000"/>
                          </a:ln>
                          <a:effectLst>
                            <a:outerShdw blurRad="50800" dist="38100" dir="13500000" algn="b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5684823" name="Прямоугольник 2"/>
                        <wps:cNvSpPr/>
                        <wps:spPr>
                          <a:xfrm>
                            <a:off x="123825" y="104775"/>
                            <a:ext cx="1724025" cy="1390650"/>
                          </a:xfrm>
                          <a:prstGeom prst="rect">
                            <a:avLst/>
                          </a:prstGeom>
                          <a:solidFill>
                            <a:sysClr val="window" lastClr="FFFFFF">
                              <a:lumMod val="95000"/>
                            </a:sysClr>
                          </a:solidFill>
                          <a:ln w="12700" cap="flat" cmpd="sng" algn="ctr">
                            <a:noFill/>
                            <a:prstDash val="solid"/>
                            <a:miter lim="800000"/>
                          </a:ln>
                          <a:effectLst/>
                        </wps:spPr>
                        <wps:txbx>
                          <w:txbxContent>
                            <w:p w14:paraId="210DBD43" w14:textId="77777777" w:rsidR="00F62D77" w:rsidRDefault="00F62D77" w:rsidP="00A441A6">
                              <w:pPr>
                                <w:spacing w:after="0" w:line="240" w:lineRule="auto"/>
                                <w:ind w:left="284"/>
                                <w:jc w:val="center"/>
                                <w:rPr>
                                  <w:rFonts w:ascii="Times New Roman" w:eastAsia="Times New Roman" w:hAnsi="Times New Roman" w:cs="Times New Roman"/>
                                  <w:i/>
                                  <w:sz w:val="28"/>
                                  <w:szCs w:val="28"/>
                                  <w:lang w:eastAsia="ru-RU"/>
                                </w:rPr>
                              </w:pPr>
                              <w:r w:rsidRPr="000E75B1">
                                <w:rPr>
                                  <w:rFonts w:ascii="Times New Roman" w:eastAsia="Times New Roman" w:hAnsi="Times New Roman" w:cs="Times New Roman"/>
                                  <w:b/>
                                  <w:bCs/>
                                  <w:iCs/>
                                  <w:color w:val="0D0D0D" w:themeColor="text1" w:themeTint="F2"/>
                                  <w:sz w:val="23"/>
                                  <w:szCs w:val="23"/>
                                  <w:lang w:eastAsia="ru-RU"/>
                                </w:rPr>
                                <w:t xml:space="preserve">Динамика </w:t>
                              </w:r>
                              <w:r w:rsidRPr="00EB2661">
                                <w:rPr>
                                  <w:rFonts w:ascii="Times New Roman" w:eastAsia="Times New Roman" w:hAnsi="Times New Roman" w:cs="Times New Roman"/>
                                  <w:b/>
                                  <w:bCs/>
                                  <w:iCs/>
                                  <w:sz w:val="24"/>
                                  <w:szCs w:val="24"/>
                                  <w:lang w:eastAsia="ru-RU"/>
                                </w:rPr>
                                <w:t>поступления налога</w:t>
                              </w:r>
                              <w:r>
                                <w:rPr>
                                  <w:rFonts w:ascii="Times New Roman" w:eastAsia="Times New Roman" w:hAnsi="Times New Roman" w:cs="Times New Roman"/>
                                  <w:b/>
                                  <w:bCs/>
                                  <w:iCs/>
                                  <w:sz w:val="24"/>
                                  <w:szCs w:val="24"/>
                                  <w:lang w:eastAsia="ru-RU"/>
                                </w:rPr>
                                <w:t>,</w:t>
                              </w:r>
                              <w:r w:rsidRPr="00EB2661">
                                <w:rPr>
                                  <w:rFonts w:ascii="Times New Roman" w:eastAsia="Times New Roman" w:hAnsi="Times New Roman" w:cs="Times New Roman"/>
                                  <w:b/>
                                  <w:bCs/>
                                  <w:iCs/>
                                  <w:sz w:val="24"/>
                                  <w:szCs w:val="24"/>
                                  <w:lang w:eastAsia="ru-RU"/>
                                </w:rPr>
                                <w:t xml:space="preserve"> </w:t>
                              </w:r>
                              <w:r w:rsidRPr="004137A5">
                                <w:rPr>
                                  <w:rFonts w:ascii="Times New Roman" w:eastAsia="Times New Roman" w:hAnsi="Times New Roman" w:cs="Times New Roman"/>
                                  <w:b/>
                                  <w:bCs/>
                                  <w:iCs/>
                                  <w:sz w:val="24"/>
                                  <w:szCs w:val="24"/>
                                  <w:lang w:eastAsia="ru-RU"/>
                                </w:rPr>
                                <w:t>взимаем</w:t>
                              </w:r>
                              <w:r>
                                <w:rPr>
                                  <w:rFonts w:ascii="Times New Roman" w:eastAsia="Times New Roman" w:hAnsi="Times New Roman" w:cs="Times New Roman"/>
                                  <w:b/>
                                  <w:bCs/>
                                  <w:iCs/>
                                  <w:sz w:val="24"/>
                                  <w:szCs w:val="24"/>
                                  <w:lang w:eastAsia="ru-RU"/>
                                </w:rPr>
                                <w:t>ого</w:t>
                              </w:r>
                              <w:r w:rsidRPr="004137A5">
                                <w:rPr>
                                  <w:rFonts w:ascii="Times New Roman" w:eastAsia="Times New Roman" w:hAnsi="Times New Roman" w:cs="Times New Roman"/>
                                  <w:b/>
                                  <w:bCs/>
                                  <w:iCs/>
                                  <w:sz w:val="24"/>
                                  <w:szCs w:val="24"/>
                                  <w:lang w:eastAsia="ru-RU"/>
                                </w:rPr>
                                <w:t xml:space="preserve"> в связи с применением упрощенной системы налогообложения, </w:t>
                              </w:r>
                              <w:r w:rsidRPr="00EB2661">
                                <w:rPr>
                                  <w:rFonts w:ascii="Times New Roman" w:eastAsia="Times New Roman" w:hAnsi="Times New Roman" w:cs="Times New Roman"/>
                                  <w:b/>
                                  <w:bCs/>
                                  <w:iCs/>
                                  <w:sz w:val="24"/>
                                  <w:szCs w:val="24"/>
                                  <w:lang w:eastAsia="ru-RU"/>
                                </w:rPr>
                                <w:t>за 2020</w:t>
                              </w:r>
                              <w:r>
                                <w:rPr>
                                  <w:rFonts w:ascii="Times New Roman" w:eastAsia="Times New Roman" w:hAnsi="Times New Roman" w:cs="Times New Roman"/>
                                  <w:b/>
                                  <w:bCs/>
                                  <w:iCs/>
                                  <w:sz w:val="24"/>
                                  <w:szCs w:val="24"/>
                                  <w:lang w:eastAsia="ru-RU"/>
                                </w:rPr>
                                <w:t>–2024</w:t>
                              </w:r>
                              <w:r w:rsidRPr="00EB2661">
                                <w:rPr>
                                  <w:rFonts w:ascii="Times New Roman" w:eastAsia="Times New Roman" w:hAnsi="Times New Roman" w:cs="Times New Roman"/>
                                  <w:b/>
                                  <w:bCs/>
                                  <w:iCs/>
                                  <w:sz w:val="24"/>
                                  <w:szCs w:val="24"/>
                                  <w:lang w:eastAsia="ru-RU"/>
                                </w:rPr>
                                <w:t xml:space="preserve"> годы</w:t>
                              </w:r>
                              <w:r>
                                <w:rPr>
                                  <w:rFonts w:ascii="Times New Roman" w:eastAsia="Times New Roman" w:hAnsi="Times New Roman" w:cs="Times New Roman"/>
                                  <w:b/>
                                  <w:bCs/>
                                  <w:iCs/>
                                  <w:sz w:val="24"/>
                                  <w:szCs w:val="24"/>
                                  <w:lang w:eastAsia="ru-RU"/>
                                </w:rPr>
                                <w:t xml:space="preserve"> и плановые назначения на 2025 год, млн рублей</w:t>
                              </w:r>
                            </w:p>
                            <w:p w14:paraId="27226B8A" w14:textId="77777777" w:rsidR="00F62D77" w:rsidRPr="000E75B1" w:rsidRDefault="00F62D77" w:rsidP="00A441A6">
                              <w:pPr>
                                <w:spacing w:after="0" w:line="240" w:lineRule="auto"/>
                                <w:jc w:val="center"/>
                                <w:rPr>
                                  <w:color w:val="0D0D0D" w:themeColor="text1" w:themeTint="F2"/>
                                  <w:sz w:val="23"/>
                                  <w:szCs w:val="23"/>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2B4755" id="_x0000_s1036" style="position:absolute;left:0;text-align:left;margin-left:-.3pt;margin-top:7.5pt;width:162.75pt;height:127.5pt;z-index:251662336;mso-width-relative:margin;mso-height-relative:margin" coordsize="18478,14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">
                <v:rect id="Прямоугольник 1" o:spid="_x0000_s1037" style="position:absolute;width:16764;height:126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ZEq8oA&#10;AADjAAAADwAAAGRycy9kb3ducmV2LnhtbERPX0vDMBB/F/wO4QTfXLrg2q1bNqYgCMKYswx9uzVn&#10;W9ZcShO3uk9vBMHH+/2/xWqwrThR7xvHGsajBARx6UzDlYbi7eluCsIHZIOtY9LwTR5Wy+urBebG&#10;nfmVTrtQiRjCPkcNdQhdLqUva7LoR64jjtyn6y2GePaVND2eY7htpUqSVFpsODbU2NFjTeVx92U1&#10;XNSh3LxP0yQ8fGTHIttvi5fxWuvbm2E9BxFoCP/iP/ezifPV5F7N0kmm4PenCIBc/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xGRKvKAAAA4wAAAA8AAAAAAAAAAAAAAAAAmAIA&#10;AGRycy9kb3ducmV2LnhtbFBLBQYAAAAABAAEAPUAAACPAwAAAAA=&#10;" fillcolor="#9ccff5" stroked="f" strokeweight=".5pt">
                  <v:fill color2="#79beed" rotate="t" colors="0 #9ccff5;.5 #8fc4eb;1 #79beed" focus="100%" type="gradient">
                    <o:fill v:ext="view" type="gradientUnscaled"/>
                  </v:fill>
                  <v:shadow on="t" color="black" opacity="26214f" origin=".5,.5" offset="-.74836mm,-.74836mm"/>
                </v:rect>
                <v:rect id="Прямоугольник 2" o:spid="_x0000_s1038" style="position:absolute;left:1238;top:1047;width:17240;height:139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OAocsA&#10;AADjAAAADwAAAGRycy9kb3ducmV2LnhtbERPzU7CQBC+m/AOmyHhJlsQSa0shAhNSLwg2Ci3SXds&#10;G7qztbuWytO7JiYe5/ufxao3teiodZVlBZNxBII4t7riQsHrMb2NQTiPrLG2TAq+ycFqObhZYKLt&#10;hV+oO/hChBB2CSoovW8SKV1ekkE3tg1x4D5sa9CHsy2kbvESwk0tp1E0lwYrDg0lNvRUUn4+fBkF&#10;9tQdn3WanrPsunnbx9v37PO0U2o07NePIDz1/l/8597pMH/2cD+PZ/H0Dn5/CgDI5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0U4ChywAAAOMAAAAPAAAAAAAAAAAAAAAAAJgC&#10;AABkcnMvZG93bnJldi54bWxQSwUGAAAAAAQABAD1AAAAkAMAAAAA&#10;" fillcolor="#f2f2f2" stroked="f" strokeweight="1pt">
                  <v:textbox>
                    <w:txbxContent>
                      <w:p w14:paraId="210DBD43" w14:textId="77777777" w:rsidR="00F62D77" w:rsidRDefault="00F62D77" w:rsidP="00A441A6">
                        <w:pPr>
                          <w:spacing w:after="0" w:line="240" w:lineRule="auto"/>
                          <w:ind w:left="284"/>
                          <w:jc w:val="center"/>
                          <w:rPr>
                            <w:rFonts w:ascii="Times New Roman" w:eastAsia="Times New Roman" w:hAnsi="Times New Roman" w:cs="Times New Roman"/>
                            <w:i/>
                            <w:sz w:val="28"/>
                            <w:szCs w:val="28"/>
                            <w:lang w:eastAsia="ru-RU"/>
                          </w:rPr>
                        </w:pPr>
                        <w:r w:rsidRPr="000E75B1">
                          <w:rPr>
                            <w:rFonts w:ascii="Times New Roman" w:eastAsia="Times New Roman" w:hAnsi="Times New Roman" w:cs="Times New Roman"/>
                            <w:b/>
                            <w:bCs/>
                            <w:iCs/>
                            <w:color w:val="0D0D0D" w:themeColor="text1" w:themeTint="F2"/>
                            <w:sz w:val="23"/>
                            <w:szCs w:val="23"/>
                            <w:lang w:eastAsia="ru-RU"/>
                          </w:rPr>
                          <w:t xml:space="preserve">Динамика </w:t>
                        </w:r>
                        <w:r w:rsidRPr="00EB2661">
                          <w:rPr>
                            <w:rFonts w:ascii="Times New Roman" w:eastAsia="Times New Roman" w:hAnsi="Times New Roman" w:cs="Times New Roman"/>
                            <w:b/>
                            <w:bCs/>
                            <w:iCs/>
                            <w:sz w:val="24"/>
                            <w:szCs w:val="24"/>
                            <w:lang w:eastAsia="ru-RU"/>
                          </w:rPr>
                          <w:t>поступления налога</w:t>
                        </w:r>
                        <w:r>
                          <w:rPr>
                            <w:rFonts w:ascii="Times New Roman" w:eastAsia="Times New Roman" w:hAnsi="Times New Roman" w:cs="Times New Roman"/>
                            <w:b/>
                            <w:bCs/>
                            <w:iCs/>
                            <w:sz w:val="24"/>
                            <w:szCs w:val="24"/>
                            <w:lang w:eastAsia="ru-RU"/>
                          </w:rPr>
                          <w:t>,</w:t>
                        </w:r>
                        <w:r w:rsidRPr="00EB2661">
                          <w:rPr>
                            <w:rFonts w:ascii="Times New Roman" w:eastAsia="Times New Roman" w:hAnsi="Times New Roman" w:cs="Times New Roman"/>
                            <w:b/>
                            <w:bCs/>
                            <w:iCs/>
                            <w:sz w:val="24"/>
                            <w:szCs w:val="24"/>
                            <w:lang w:eastAsia="ru-RU"/>
                          </w:rPr>
                          <w:t xml:space="preserve"> </w:t>
                        </w:r>
                        <w:r w:rsidRPr="004137A5">
                          <w:rPr>
                            <w:rFonts w:ascii="Times New Roman" w:eastAsia="Times New Roman" w:hAnsi="Times New Roman" w:cs="Times New Roman"/>
                            <w:b/>
                            <w:bCs/>
                            <w:iCs/>
                            <w:sz w:val="24"/>
                            <w:szCs w:val="24"/>
                            <w:lang w:eastAsia="ru-RU"/>
                          </w:rPr>
                          <w:t>взимаем</w:t>
                        </w:r>
                        <w:r>
                          <w:rPr>
                            <w:rFonts w:ascii="Times New Roman" w:eastAsia="Times New Roman" w:hAnsi="Times New Roman" w:cs="Times New Roman"/>
                            <w:b/>
                            <w:bCs/>
                            <w:iCs/>
                            <w:sz w:val="24"/>
                            <w:szCs w:val="24"/>
                            <w:lang w:eastAsia="ru-RU"/>
                          </w:rPr>
                          <w:t>ого</w:t>
                        </w:r>
                        <w:r w:rsidRPr="004137A5">
                          <w:rPr>
                            <w:rFonts w:ascii="Times New Roman" w:eastAsia="Times New Roman" w:hAnsi="Times New Roman" w:cs="Times New Roman"/>
                            <w:b/>
                            <w:bCs/>
                            <w:iCs/>
                            <w:sz w:val="24"/>
                            <w:szCs w:val="24"/>
                            <w:lang w:eastAsia="ru-RU"/>
                          </w:rPr>
                          <w:t xml:space="preserve"> в связи с применением упрощенной системы налогообложения, </w:t>
                        </w:r>
                        <w:r w:rsidRPr="00EB2661">
                          <w:rPr>
                            <w:rFonts w:ascii="Times New Roman" w:eastAsia="Times New Roman" w:hAnsi="Times New Roman" w:cs="Times New Roman"/>
                            <w:b/>
                            <w:bCs/>
                            <w:iCs/>
                            <w:sz w:val="24"/>
                            <w:szCs w:val="24"/>
                            <w:lang w:eastAsia="ru-RU"/>
                          </w:rPr>
                          <w:t>за 2020</w:t>
                        </w:r>
                        <w:r>
                          <w:rPr>
                            <w:rFonts w:ascii="Times New Roman" w:eastAsia="Times New Roman" w:hAnsi="Times New Roman" w:cs="Times New Roman"/>
                            <w:b/>
                            <w:bCs/>
                            <w:iCs/>
                            <w:sz w:val="24"/>
                            <w:szCs w:val="24"/>
                            <w:lang w:eastAsia="ru-RU"/>
                          </w:rPr>
                          <w:t>–2024</w:t>
                        </w:r>
                        <w:r w:rsidRPr="00EB2661">
                          <w:rPr>
                            <w:rFonts w:ascii="Times New Roman" w:eastAsia="Times New Roman" w:hAnsi="Times New Roman" w:cs="Times New Roman"/>
                            <w:b/>
                            <w:bCs/>
                            <w:iCs/>
                            <w:sz w:val="24"/>
                            <w:szCs w:val="24"/>
                            <w:lang w:eastAsia="ru-RU"/>
                          </w:rPr>
                          <w:t xml:space="preserve"> годы</w:t>
                        </w:r>
                        <w:r>
                          <w:rPr>
                            <w:rFonts w:ascii="Times New Roman" w:eastAsia="Times New Roman" w:hAnsi="Times New Roman" w:cs="Times New Roman"/>
                            <w:b/>
                            <w:bCs/>
                            <w:iCs/>
                            <w:sz w:val="24"/>
                            <w:szCs w:val="24"/>
                            <w:lang w:eastAsia="ru-RU"/>
                          </w:rPr>
                          <w:t xml:space="preserve"> и плановые назначения на 2025 год, млн рублей</w:t>
                        </w:r>
                      </w:p>
                      <w:p w14:paraId="27226B8A" w14:textId="77777777" w:rsidR="00F62D77" w:rsidRPr="000E75B1" w:rsidRDefault="00F62D77" w:rsidP="00A441A6">
                        <w:pPr>
                          <w:spacing w:after="0" w:line="240" w:lineRule="auto"/>
                          <w:jc w:val="center"/>
                          <w:rPr>
                            <w:color w:val="0D0D0D" w:themeColor="text1" w:themeTint="F2"/>
                            <w:sz w:val="23"/>
                            <w:szCs w:val="23"/>
                          </w:rPr>
                        </w:pPr>
                      </w:p>
                    </w:txbxContent>
                  </v:textbox>
                </v:rect>
              </v:group>
            </w:pict>
          </mc:Fallback>
        </mc:AlternateContent>
      </w:r>
      <w:r w:rsidRPr="00E47AA9">
        <w:rPr>
          <w:rFonts w:ascii="Times New Roman" w:hAnsi="Times New Roman" w:cs="Times New Roman"/>
          <w:noProof/>
          <w:lang w:eastAsia="ru-RU"/>
          <w14:ligatures w14:val="standardContextual"/>
        </w:rPr>
        <w:drawing>
          <wp:inline distT="0" distB="0" distL="0" distR="0" wp14:anchorId="435AD85A" wp14:editId="0F2ABCB4">
            <wp:extent cx="3829050" cy="1895475"/>
            <wp:effectExtent l="0" t="0" r="0" b="0"/>
            <wp:docPr id="1503794449"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44775354-2832-CCB7-E28F-81521B9E7F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115FB11A" w14:textId="10CE06F6" w:rsidR="00A441A6" w:rsidRPr="00E47AA9" w:rsidRDefault="00A441A6" w:rsidP="00A441A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b/>
          <w:sz w:val="28"/>
          <w:szCs w:val="28"/>
          <w:lang w:eastAsia="ru-RU"/>
        </w:rPr>
        <w:t xml:space="preserve">Налог на профессиональный доход </w:t>
      </w:r>
      <w:r w:rsidRPr="00E47AA9">
        <w:rPr>
          <w:rFonts w:ascii="Times New Roman" w:eastAsia="Times New Roman" w:hAnsi="Times New Roman" w:cs="Times New Roman"/>
          <w:sz w:val="28"/>
          <w:szCs w:val="28"/>
          <w:lang w:eastAsia="ru-RU"/>
        </w:rPr>
        <w:t xml:space="preserve">в 2024 году поступил в объеме 522,53 млн рублей, что на 21,08 млн рублей, или на 4,20 %, выше плановых назначений (501,45 млн рублей). В 2024 году по сравнению с предыдущим годом (322,93 млн рублей) поступления увеличились на 199,60 млн рублей, или на 61,81 %. </w:t>
      </w:r>
      <w:r w:rsidRPr="00E47AA9">
        <w:rPr>
          <w:rFonts w:ascii="Times New Roman" w:eastAsia="Times New Roman" w:hAnsi="Times New Roman" w:cs="Times New Roman"/>
          <w:i/>
          <w:sz w:val="28"/>
          <w:szCs w:val="28"/>
          <w:lang w:eastAsia="ru-RU"/>
        </w:rPr>
        <w:t xml:space="preserve">Справочно: исполнение по налогу к первоначальной редакции (318,09 млн рублей) – 164,28 %. В ходе исполнения краевого бюджета в </w:t>
      </w:r>
      <w:r w:rsidRPr="00E47AA9">
        <w:rPr>
          <w:rFonts w:ascii="Times New Roman" w:eastAsia="Times New Roman" w:hAnsi="Times New Roman" w:cs="Times New Roman"/>
          <w:i/>
          <w:sz w:val="28"/>
          <w:szCs w:val="28"/>
          <w:lang w:eastAsia="ru-RU"/>
        </w:rPr>
        <w:br/>
        <w:t>2024 году бюджетные назначения корректировались 2 раз</w:t>
      </w:r>
      <w:r w:rsidR="00572CD1" w:rsidRPr="00E47AA9">
        <w:rPr>
          <w:rFonts w:ascii="Times New Roman" w:eastAsia="Times New Roman" w:hAnsi="Times New Roman" w:cs="Times New Roman"/>
          <w:i/>
          <w:sz w:val="28"/>
          <w:szCs w:val="28"/>
          <w:lang w:eastAsia="ru-RU"/>
        </w:rPr>
        <w:t>а</w:t>
      </w:r>
      <w:r w:rsidRPr="00E47AA9">
        <w:rPr>
          <w:rFonts w:ascii="Times New Roman" w:eastAsia="Times New Roman" w:hAnsi="Times New Roman" w:cs="Times New Roman"/>
          <w:i/>
          <w:sz w:val="28"/>
          <w:szCs w:val="28"/>
          <w:lang w:eastAsia="ru-RU"/>
        </w:rPr>
        <w:t xml:space="preserve"> в сторону увеличения на 183,3</w:t>
      </w:r>
      <w:r w:rsidR="00452308" w:rsidRPr="00E47AA9">
        <w:rPr>
          <w:rFonts w:ascii="Times New Roman" w:eastAsia="Times New Roman" w:hAnsi="Times New Roman" w:cs="Times New Roman"/>
          <w:i/>
          <w:sz w:val="28"/>
          <w:szCs w:val="28"/>
          <w:lang w:eastAsia="ru-RU"/>
        </w:rPr>
        <w:t>6</w:t>
      </w:r>
      <w:r w:rsidRPr="00E47AA9">
        <w:rPr>
          <w:rFonts w:ascii="Times New Roman" w:eastAsia="Times New Roman" w:hAnsi="Times New Roman" w:cs="Times New Roman"/>
          <w:i/>
          <w:sz w:val="28"/>
          <w:szCs w:val="28"/>
          <w:lang w:eastAsia="ru-RU"/>
        </w:rPr>
        <w:t xml:space="preserve"> млн рублей. </w:t>
      </w:r>
    </w:p>
    <w:p w14:paraId="1F19FB21" w14:textId="77777777" w:rsidR="00A441A6" w:rsidRPr="00E47AA9" w:rsidRDefault="00A441A6" w:rsidP="00A441A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sz w:val="28"/>
          <w:szCs w:val="28"/>
          <w:lang w:eastAsia="ru-RU"/>
        </w:rPr>
        <w:t>Поступление</w:t>
      </w:r>
      <w:r w:rsidRPr="00E47AA9">
        <w:rPr>
          <w:rFonts w:ascii="Times New Roman" w:eastAsia="Times New Roman" w:hAnsi="Times New Roman" w:cs="Times New Roman"/>
          <w:b/>
          <w:sz w:val="28"/>
          <w:szCs w:val="28"/>
          <w:lang w:eastAsia="ru-RU"/>
        </w:rPr>
        <w:t xml:space="preserve"> налога на имущество организаций</w:t>
      </w:r>
      <w:r w:rsidRPr="00E47AA9">
        <w:rPr>
          <w:rFonts w:ascii="Times New Roman" w:eastAsia="Times New Roman" w:hAnsi="Times New Roman" w:cs="Times New Roman"/>
          <w:sz w:val="28"/>
          <w:szCs w:val="28"/>
          <w:lang w:eastAsia="ru-RU"/>
        </w:rPr>
        <w:t xml:space="preserve"> в отчетном году составило 15064,98 млн рублей, что на 233,57 млн рублей, или на 1,57 %</w:t>
      </w:r>
      <w:r w:rsidR="00C575ED"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выше плановых назначений (14831,41 млн рублей). </w:t>
      </w:r>
      <w:r w:rsidRPr="00E47AA9">
        <w:rPr>
          <w:rFonts w:ascii="Times New Roman" w:eastAsia="Calibri" w:hAnsi="Times New Roman" w:cs="Times New Roman"/>
          <w:sz w:val="28"/>
          <w:szCs w:val="28"/>
          <w:lang w:eastAsia="ru-RU"/>
        </w:rPr>
        <w:t xml:space="preserve">По сравнению с 2023 годом (14993,69 млн рублей) поступления в 2024 году выросли на 71,29 млн рублей, или на 0,48 %. </w:t>
      </w:r>
      <w:r w:rsidRPr="00E47AA9">
        <w:rPr>
          <w:rFonts w:ascii="Times New Roman" w:eastAsia="Times New Roman" w:hAnsi="Times New Roman" w:cs="Times New Roman"/>
          <w:i/>
          <w:sz w:val="28"/>
          <w:szCs w:val="28"/>
          <w:lang w:eastAsia="ru-RU"/>
        </w:rPr>
        <w:t xml:space="preserve">Справочно: в ходе исполнения краевого бюджета в 2024 году бюджетные назначения по данному налогу корректировались в сторону уменьшения 2 раза на общую сумму 1483,21 млн рублей, или на 9,09 %. </w:t>
      </w:r>
    </w:p>
    <w:p w14:paraId="42C3DBCF" w14:textId="77777777" w:rsidR="00A441A6" w:rsidRPr="00E47AA9" w:rsidRDefault="00A441A6" w:rsidP="00A441A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b/>
          <w:sz w:val="28"/>
          <w:szCs w:val="28"/>
          <w:lang w:eastAsia="ru-RU"/>
        </w:rPr>
        <w:lastRenderedPageBreak/>
        <w:t xml:space="preserve">Транспортный налог </w:t>
      </w:r>
      <w:r w:rsidRPr="00E47AA9">
        <w:rPr>
          <w:rFonts w:ascii="Times New Roman" w:eastAsia="Times New Roman" w:hAnsi="Times New Roman" w:cs="Times New Roman"/>
          <w:sz w:val="28"/>
          <w:szCs w:val="28"/>
          <w:lang w:eastAsia="ru-RU"/>
        </w:rPr>
        <w:t>получен</w:t>
      </w:r>
      <w:r w:rsidRPr="00E47AA9">
        <w:rPr>
          <w:rFonts w:ascii="Times New Roman" w:eastAsia="Times New Roman" w:hAnsi="Times New Roman" w:cs="Times New Roman"/>
          <w:b/>
          <w:sz w:val="28"/>
          <w:szCs w:val="28"/>
          <w:lang w:eastAsia="ru-RU"/>
        </w:rPr>
        <w:t xml:space="preserve"> </w:t>
      </w:r>
      <w:r w:rsidRPr="00E47AA9">
        <w:rPr>
          <w:rFonts w:ascii="Times New Roman" w:eastAsia="Times New Roman" w:hAnsi="Times New Roman" w:cs="Times New Roman"/>
          <w:sz w:val="28"/>
          <w:szCs w:val="28"/>
          <w:lang w:eastAsia="ru-RU"/>
        </w:rPr>
        <w:t>в объеме 2471,33 млн рублей, что на 129,09 млн рублей, или на 5,51 %</w:t>
      </w:r>
      <w:r w:rsidR="00C575ED"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выше плановых назначений (2342,24 млн рублей), что связано с гашением задолженности по данному налогу физическими лицами. Транспортный налог с организаций поступил в объеме 490,26 млн рублей, или 97,68 % плановых назначений (501,92 млн рублей); с физических лиц – 1981,07 млн рублей, или 107,65 % (1840,32 млн рублей). По сравнению с 2023 годом (2295,07 млн рублей) поступления в 2024 году увеличились на 7,68 %, или на 176,26 млн рублей. </w:t>
      </w:r>
      <w:r w:rsidRPr="00E47AA9">
        <w:rPr>
          <w:rFonts w:ascii="Times New Roman" w:eastAsia="Times New Roman" w:hAnsi="Times New Roman" w:cs="Times New Roman"/>
          <w:i/>
          <w:sz w:val="28"/>
          <w:szCs w:val="28"/>
          <w:lang w:eastAsia="ru-RU"/>
        </w:rPr>
        <w:t xml:space="preserve">Справочно: в ходе исполнения краевого бюджета в 2024 году бюджетные назначения корректировались 1 раз в сторону увеличения в сумме </w:t>
      </w:r>
      <w:r w:rsidRPr="00E47AA9">
        <w:rPr>
          <w:rFonts w:ascii="Times New Roman" w:eastAsia="Times New Roman" w:hAnsi="Times New Roman" w:cs="Times New Roman"/>
          <w:i/>
          <w:sz w:val="28"/>
          <w:szCs w:val="28"/>
          <w:lang w:eastAsia="ru-RU"/>
        </w:rPr>
        <w:br/>
        <w:t xml:space="preserve">76,97 млн рублей. </w:t>
      </w:r>
    </w:p>
    <w:p w14:paraId="6ED45E3A" w14:textId="77777777" w:rsidR="00A441A6" w:rsidRPr="00E47AA9" w:rsidRDefault="00A441A6" w:rsidP="00A441A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sz w:val="28"/>
          <w:szCs w:val="28"/>
          <w:lang w:eastAsia="ru-RU"/>
        </w:rPr>
        <w:t xml:space="preserve">Поступления в краевой бюджет от </w:t>
      </w:r>
      <w:r w:rsidRPr="00E47AA9">
        <w:rPr>
          <w:rFonts w:ascii="Times New Roman" w:eastAsia="Times New Roman" w:hAnsi="Times New Roman" w:cs="Times New Roman"/>
          <w:b/>
          <w:sz w:val="28"/>
          <w:szCs w:val="28"/>
          <w:lang w:eastAsia="ru-RU"/>
        </w:rPr>
        <w:t xml:space="preserve">налога на игорный бизнес </w:t>
      </w:r>
      <w:r w:rsidRPr="00E47AA9">
        <w:rPr>
          <w:rFonts w:ascii="Times New Roman" w:eastAsia="Times New Roman" w:hAnsi="Times New Roman" w:cs="Times New Roman"/>
          <w:sz w:val="28"/>
          <w:szCs w:val="28"/>
          <w:lang w:eastAsia="ru-RU"/>
        </w:rPr>
        <w:t>составили 168,29 млн рублей, что на 1,15 млн рублей, или на 0,69 %</w:t>
      </w:r>
      <w:r w:rsidR="00C575ED"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выше плановых назначений (167,14 млн рублей).</w:t>
      </w:r>
      <w:r w:rsidRPr="00E47AA9">
        <w:rPr>
          <w:rFonts w:ascii="Times New Roman" w:hAnsi="Times New Roman" w:cs="Times New Roman"/>
          <w:sz w:val="28"/>
          <w:szCs w:val="28"/>
        </w:rPr>
        <w:t xml:space="preserve"> </w:t>
      </w:r>
      <w:r w:rsidRPr="00E47AA9">
        <w:rPr>
          <w:rFonts w:ascii="Times New Roman" w:eastAsia="Times New Roman" w:hAnsi="Times New Roman" w:cs="Times New Roman"/>
          <w:sz w:val="28"/>
          <w:szCs w:val="28"/>
          <w:lang w:eastAsia="ru-RU"/>
        </w:rPr>
        <w:t xml:space="preserve">По сравнению с 2023 годом (121,81 млн рублей) поступления налога на игорный бизнес в 2024 году увеличилось на 38,16 %, или на 46,48 млн рублей. </w:t>
      </w:r>
      <w:r w:rsidRPr="00E47AA9">
        <w:rPr>
          <w:rFonts w:ascii="Times New Roman" w:eastAsia="Times New Roman" w:hAnsi="Times New Roman" w:cs="Times New Roman"/>
          <w:i/>
          <w:sz w:val="28"/>
          <w:szCs w:val="28"/>
          <w:lang w:eastAsia="ru-RU"/>
        </w:rPr>
        <w:t xml:space="preserve">Справочно: в ходе исполнения краевого бюджета в 2024 году бюджетные назначения корректировались 1 раз в сторону снижения в сумме 91,47 млн рублей. </w:t>
      </w:r>
    </w:p>
    <w:p w14:paraId="642FC297" w14:textId="4680BCDD" w:rsidR="00A441A6" w:rsidRPr="00E47AA9" w:rsidRDefault="00A441A6" w:rsidP="00A441A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sz w:val="28"/>
          <w:szCs w:val="28"/>
          <w:lang w:eastAsia="ru-RU"/>
        </w:rPr>
        <w:t xml:space="preserve">Поступления по </w:t>
      </w:r>
      <w:r w:rsidRPr="00E47AA9">
        <w:rPr>
          <w:rFonts w:ascii="Times New Roman" w:eastAsia="Times New Roman" w:hAnsi="Times New Roman" w:cs="Times New Roman"/>
          <w:b/>
          <w:sz w:val="28"/>
          <w:szCs w:val="28"/>
          <w:lang w:eastAsia="ru-RU"/>
        </w:rPr>
        <w:t>налогам, сборам и регулярным платежам за пользование природными ресурсами</w:t>
      </w:r>
      <w:r w:rsidRPr="00E47AA9">
        <w:rPr>
          <w:rFonts w:ascii="Times New Roman" w:eastAsia="Times New Roman" w:hAnsi="Times New Roman" w:cs="Times New Roman"/>
          <w:sz w:val="28"/>
          <w:szCs w:val="28"/>
          <w:lang w:eastAsia="ru-RU"/>
        </w:rPr>
        <w:t xml:space="preserve"> за 2024 год составили 3666,06 млн рублей, что выше плановых назначений на 444,58 млн рублей, или на 13,80 %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3221,49 млн рублей). Этот рост обусловлен увеличением объемов добычи полезных ископаемых, а также увеличением вновь полученных разрешений на вылов внутренних биологических ресурсов. По сравнению с 2023 годом (3587,90 млн рублей) поступления налогов, сборов и регулярных платежей за пользование природными ресурсами в краевой бюджет в 2024 году увеличились на 78,16 млн рублей, или на 2,18 %. </w:t>
      </w:r>
      <w:r w:rsidRPr="00E47AA9">
        <w:rPr>
          <w:rFonts w:ascii="Times New Roman" w:eastAsia="Times New Roman" w:hAnsi="Times New Roman" w:cs="Times New Roman"/>
          <w:i/>
          <w:sz w:val="28"/>
          <w:szCs w:val="28"/>
          <w:lang w:eastAsia="ru-RU"/>
        </w:rPr>
        <w:t xml:space="preserve">Справочно: в ходе исполнения краевого бюджета в 2024 году бюджетные назначения корректировались 3 раза в сторону увеличения на общую сумму 658,30 млн рублей, или на 25,68 %. </w:t>
      </w:r>
    </w:p>
    <w:p w14:paraId="17490DE0"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2024 году налог на добычу полезных ископаемых поступил в объеме 634,32 млн рублей, годовые бюджетные назначения (616,84 млн рублей) исполнены на 102,84 %, в том числе от добычи:</w:t>
      </w:r>
    </w:p>
    <w:p w14:paraId="68A5F6E1"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общераспространенных полезных ископаемых поступило 320,23 млн рублей (103,65 % к плановым назначениям);</w:t>
      </w:r>
    </w:p>
    <w:p w14:paraId="41FD11E5" w14:textId="4599965A"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прочих полезных ископаемых – 152,58 млн рублей (10</w:t>
      </w:r>
      <w:r w:rsidR="006351CF" w:rsidRPr="00E47AA9">
        <w:rPr>
          <w:rFonts w:ascii="Times New Roman" w:eastAsia="Times New Roman" w:hAnsi="Times New Roman" w:cs="Times New Roman"/>
          <w:sz w:val="28"/>
          <w:szCs w:val="28"/>
          <w:lang w:eastAsia="ru-RU"/>
        </w:rPr>
        <w:t>4,06</w:t>
      </w:r>
      <w:r w:rsidRPr="00E47AA9">
        <w:rPr>
          <w:rFonts w:ascii="Times New Roman" w:eastAsia="Times New Roman" w:hAnsi="Times New Roman" w:cs="Times New Roman"/>
          <w:sz w:val="28"/>
          <w:szCs w:val="28"/>
          <w:lang w:eastAsia="ru-RU"/>
        </w:rPr>
        <w:t> %);</w:t>
      </w:r>
    </w:p>
    <w:p w14:paraId="24A45735" w14:textId="56E8274E"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полезных ископаемых в виде угля – 120,11 млн рублей (</w:t>
      </w:r>
      <w:r w:rsidR="006351CF" w:rsidRPr="00E47AA9">
        <w:rPr>
          <w:rFonts w:ascii="Times New Roman" w:eastAsia="Times New Roman" w:hAnsi="Times New Roman" w:cs="Times New Roman"/>
          <w:sz w:val="28"/>
          <w:szCs w:val="28"/>
          <w:lang w:eastAsia="ru-RU"/>
        </w:rPr>
        <w:t>100,75</w:t>
      </w:r>
      <w:r w:rsidRPr="00E47AA9">
        <w:rPr>
          <w:rFonts w:ascii="Times New Roman" w:eastAsia="Times New Roman" w:hAnsi="Times New Roman" w:cs="Times New Roman"/>
          <w:sz w:val="28"/>
          <w:szCs w:val="28"/>
          <w:lang w:eastAsia="ru-RU"/>
        </w:rPr>
        <w:t> %);</w:t>
      </w:r>
    </w:p>
    <w:p w14:paraId="4FB25E00"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полезных ископаемых, в отношении которых при налогообложении установлен рентный коэффициент, отличный от 1 – 41,40 млн рублей (98,49 %).</w:t>
      </w:r>
    </w:p>
    <w:p w14:paraId="08CD065D"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По сбору за пользование объектами животного мира и за пользование объектами водных биологических ресурсов поступило средств в сумме 3031,74 млн рублей, годовой план исполнен на 116,40 %, в том числе за пользование объектами:</w:t>
      </w:r>
    </w:p>
    <w:p w14:paraId="3C79C187"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животного мира – 17,25 млн рублей (98,96 %);</w:t>
      </w:r>
    </w:p>
    <w:p w14:paraId="2602242C"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водных биологических ресурсов (исключая внутренние водные объекты) – 3012,71 млн рублей (116,52 %);</w:t>
      </w:r>
    </w:p>
    <w:p w14:paraId="3B327471"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водных биологических ресурсов (по внутренним водным объектам) – 1,78 млн рублей (106,21 %).</w:t>
      </w:r>
    </w:p>
    <w:p w14:paraId="19A9DF55" w14:textId="78DBA121" w:rsidR="00A441A6" w:rsidRPr="00E47AA9" w:rsidRDefault="00A441A6" w:rsidP="00A441A6">
      <w:pPr>
        <w:tabs>
          <w:tab w:val="left" w:pos="2835"/>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Государственная пошлина</w:t>
      </w:r>
      <w:r w:rsidRPr="00E47AA9">
        <w:rPr>
          <w:rFonts w:ascii="Times New Roman" w:eastAsia="Times New Roman" w:hAnsi="Times New Roman" w:cs="Times New Roman"/>
          <w:sz w:val="28"/>
          <w:szCs w:val="28"/>
          <w:lang w:eastAsia="ru-RU"/>
        </w:rPr>
        <w:t xml:space="preserve"> поступила в краевой бюджет в объеме 405,27 млн рублей, что ниже плановых назначений на 18,74 млн рублей, или на 4,42 %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42</w:t>
      </w:r>
      <w:r w:rsidR="00452308" w:rsidRPr="00E47AA9">
        <w:rPr>
          <w:rFonts w:ascii="Times New Roman" w:eastAsia="Times New Roman" w:hAnsi="Times New Roman" w:cs="Times New Roman"/>
          <w:sz w:val="28"/>
          <w:szCs w:val="28"/>
          <w:lang w:eastAsia="ru-RU"/>
        </w:rPr>
        <w:t>4</w:t>
      </w:r>
      <w:r w:rsidRPr="00E47AA9">
        <w:rPr>
          <w:rFonts w:ascii="Times New Roman" w:eastAsia="Times New Roman" w:hAnsi="Times New Roman" w:cs="Times New Roman"/>
          <w:sz w:val="28"/>
          <w:szCs w:val="28"/>
          <w:lang w:eastAsia="ru-RU"/>
        </w:rPr>
        <w:t xml:space="preserve">,01 млн рублей), в том числе: </w:t>
      </w:r>
    </w:p>
    <w:p w14:paraId="24E96FE9" w14:textId="414CB9B9"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за государственную регистрацию актов гражданского состояния и другие юридически значимые действия, совершаемые органами записи актов гражданского состояния и иными уполномоченными органами (за исключением консульских учреждений Российской Федерации) – 0,06 млн рублей, что ниже плановых назначений на 0,02 млн рублей, или на 28,77 %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0,08 млн рублей);</w:t>
      </w:r>
    </w:p>
    <w:p w14:paraId="2A7701AE"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за государственную регистрацию, а также за совершение прочих юридически значимых действий получено 316,26 млн рублей, что ниже на 12,98 млн рублей, или на 3,94 % плановых назначений (329,24 млн рублей); </w:t>
      </w:r>
    </w:p>
    <w:p w14:paraId="3288475B"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 получено 88,95 млн рублей, что на 5,74 млн рублей ниже запланированных поступлений (94,69 млн рублей). </w:t>
      </w:r>
    </w:p>
    <w:p w14:paraId="31262B0D" w14:textId="77777777" w:rsidR="00A441A6" w:rsidRPr="00E47AA9" w:rsidRDefault="00A441A6" w:rsidP="00A441A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sz w:val="28"/>
          <w:szCs w:val="28"/>
          <w:lang w:eastAsia="ru-RU"/>
        </w:rPr>
        <w:t xml:space="preserve">По сравнению с 2023 годом (434,17 млн рублей) поступления государственной пошлины в 2024 году в краевой бюджет снизились на 28,90 млн рублей, или на 6,66 %. </w:t>
      </w:r>
      <w:r w:rsidRPr="00E47AA9">
        <w:rPr>
          <w:rFonts w:ascii="Times New Roman" w:eastAsia="Times New Roman" w:hAnsi="Times New Roman" w:cs="Times New Roman"/>
          <w:i/>
          <w:sz w:val="28"/>
          <w:szCs w:val="28"/>
          <w:lang w:eastAsia="ru-RU"/>
        </w:rPr>
        <w:t xml:space="preserve">Справочно: уровень исполнения государственной пошлины к первоначальной редакции Закона № 495-КЗ (363,07 млн рублей) – 111,62 %. В результате внесения изменений плановый объем государственной пошлины на 2024 год увеличен на 60,93 млн рублей, или на 16,78 %, по сравнению с первоначальными назначениями. </w:t>
      </w:r>
    </w:p>
    <w:p w14:paraId="204E6605"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Задолженность и перерасчеты по отмененным налогам и сборам</w:t>
      </w:r>
      <w:r w:rsidRPr="00E47AA9">
        <w:rPr>
          <w:rFonts w:ascii="Times New Roman" w:eastAsia="Times New Roman" w:hAnsi="Times New Roman" w:cs="Times New Roman"/>
          <w:sz w:val="28"/>
          <w:szCs w:val="28"/>
          <w:lang w:eastAsia="ru-RU"/>
        </w:rPr>
        <w:t xml:space="preserve"> составила 0,01 млн рублей. Утвержденные плановые бюджетные назначения отсутствуют. </w:t>
      </w:r>
    </w:p>
    <w:p w14:paraId="7AAC8E8D" w14:textId="77777777" w:rsidR="00A441A6" w:rsidRPr="00E47AA9" w:rsidRDefault="00A441A6" w:rsidP="00A441A6">
      <w:pPr>
        <w:spacing w:after="0" w:line="240" w:lineRule="auto"/>
        <w:ind w:firstLine="709"/>
        <w:jc w:val="both"/>
        <w:rPr>
          <w:rFonts w:ascii="Times New Roman" w:eastAsia="Times New Roman" w:hAnsi="Times New Roman" w:cs="Times New Roman"/>
          <w:b/>
          <w:sz w:val="28"/>
          <w:szCs w:val="28"/>
          <w:lang w:eastAsia="ru-RU"/>
        </w:rPr>
      </w:pPr>
    </w:p>
    <w:p w14:paraId="48E5B507" w14:textId="77777777" w:rsidR="00A441A6" w:rsidRPr="00E47AA9" w:rsidRDefault="00A441A6" w:rsidP="00081AC1">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4.1.2. Неналоговые доходы</w:t>
      </w:r>
    </w:p>
    <w:p w14:paraId="2F5EA67C"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x-none"/>
        </w:rPr>
      </w:pPr>
      <w:r w:rsidRPr="00E47AA9">
        <w:rPr>
          <w:rFonts w:ascii="Times New Roman" w:eastAsia="Times New Roman" w:hAnsi="Times New Roman" w:cs="Times New Roman"/>
          <w:sz w:val="28"/>
          <w:szCs w:val="28"/>
          <w:lang w:val="x-none" w:eastAsia="x-none"/>
        </w:rPr>
        <w:t xml:space="preserve">Неналоговые доходы поступили в сумме </w:t>
      </w:r>
      <w:r w:rsidRPr="00E47AA9">
        <w:rPr>
          <w:rFonts w:ascii="Times New Roman" w:eastAsia="Times New Roman" w:hAnsi="Times New Roman" w:cs="Times New Roman"/>
          <w:sz w:val="28"/>
          <w:szCs w:val="28"/>
          <w:lang w:eastAsia="x-none"/>
        </w:rPr>
        <w:t xml:space="preserve">7885,53 </w:t>
      </w:r>
      <w:r w:rsidRPr="00E47AA9">
        <w:rPr>
          <w:rFonts w:ascii="Times New Roman" w:eastAsia="Times New Roman" w:hAnsi="Times New Roman" w:cs="Times New Roman"/>
          <w:sz w:val="28"/>
          <w:szCs w:val="28"/>
          <w:lang w:val="x-none" w:eastAsia="x-none"/>
        </w:rPr>
        <w:t xml:space="preserve">млн рублей, что </w:t>
      </w:r>
      <w:r w:rsidRPr="00E47AA9">
        <w:rPr>
          <w:rFonts w:ascii="Times New Roman" w:eastAsia="Times New Roman" w:hAnsi="Times New Roman" w:cs="Times New Roman"/>
          <w:sz w:val="28"/>
          <w:szCs w:val="28"/>
          <w:lang w:eastAsia="x-none"/>
        </w:rPr>
        <w:t>выше плановых назначений (7247,85 млн рублей) на 637,68 млн рублей, или на 8,80 %</w:t>
      </w:r>
      <w:r w:rsidRPr="00E47AA9">
        <w:rPr>
          <w:rFonts w:ascii="Times New Roman" w:eastAsia="Times New Roman" w:hAnsi="Times New Roman" w:cs="Times New Roman"/>
          <w:sz w:val="28"/>
          <w:szCs w:val="28"/>
          <w:lang w:val="x-none" w:eastAsia="x-none"/>
        </w:rPr>
        <w:t>.</w:t>
      </w:r>
      <w:r w:rsidRPr="00E47AA9">
        <w:rPr>
          <w:rFonts w:ascii="Times New Roman" w:eastAsia="Times New Roman" w:hAnsi="Times New Roman" w:cs="Times New Roman"/>
          <w:sz w:val="28"/>
          <w:szCs w:val="28"/>
          <w:lang w:eastAsia="x-none"/>
        </w:rPr>
        <w:t xml:space="preserve"> В структуре поступивших налоговых и неналоговых доходов краевого бюджета неналоговые доходы составляют 4,14 %.</w:t>
      </w:r>
    </w:p>
    <w:p w14:paraId="5D25ADD3"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Поступления неналоговых доходов в 2023 – 2024 годах, а также справочно утвержденные плановые назначения на 2025 год приведены в следующей таблице. </w:t>
      </w:r>
    </w:p>
    <w:tbl>
      <w:tblPr>
        <w:tblW w:w="9922" w:type="dxa"/>
        <w:tblInd w:w="-572" w:type="dxa"/>
        <w:tblLook w:val="04A0" w:firstRow="1" w:lastRow="0" w:firstColumn="1" w:lastColumn="0" w:noHBand="0" w:noVBand="1"/>
      </w:tblPr>
      <w:tblGrid>
        <w:gridCol w:w="2835"/>
        <w:gridCol w:w="960"/>
        <w:gridCol w:w="960"/>
        <w:gridCol w:w="960"/>
        <w:gridCol w:w="960"/>
        <w:gridCol w:w="1121"/>
        <w:gridCol w:w="1060"/>
        <w:gridCol w:w="1066"/>
      </w:tblGrid>
      <w:tr w:rsidR="00E47AA9" w:rsidRPr="00E47AA9" w14:paraId="509F0B71" w14:textId="77777777" w:rsidTr="00353702">
        <w:trPr>
          <w:trHeight w:val="300"/>
          <w:tblHeader/>
        </w:trPr>
        <w:tc>
          <w:tcPr>
            <w:tcW w:w="2835" w:type="dxa"/>
            <w:tcBorders>
              <w:bottom w:val="single" w:sz="4" w:space="0" w:color="auto"/>
            </w:tcBorders>
            <w:shd w:val="clear" w:color="auto" w:fill="auto"/>
            <w:vAlign w:val="center"/>
          </w:tcPr>
          <w:p w14:paraId="098A5C23"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p>
        </w:tc>
        <w:tc>
          <w:tcPr>
            <w:tcW w:w="1920" w:type="dxa"/>
            <w:gridSpan w:val="2"/>
            <w:tcBorders>
              <w:bottom w:val="single" w:sz="4" w:space="0" w:color="auto"/>
            </w:tcBorders>
            <w:shd w:val="clear" w:color="auto" w:fill="auto"/>
            <w:vAlign w:val="center"/>
          </w:tcPr>
          <w:p w14:paraId="1BFD4E15"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p>
        </w:tc>
        <w:tc>
          <w:tcPr>
            <w:tcW w:w="1920" w:type="dxa"/>
            <w:gridSpan w:val="2"/>
            <w:tcBorders>
              <w:bottom w:val="single" w:sz="4" w:space="0" w:color="auto"/>
            </w:tcBorders>
            <w:shd w:val="clear" w:color="auto" w:fill="auto"/>
            <w:vAlign w:val="center"/>
          </w:tcPr>
          <w:p w14:paraId="5FA94B47"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p>
        </w:tc>
        <w:tc>
          <w:tcPr>
            <w:tcW w:w="1121" w:type="dxa"/>
            <w:tcBorders>
              <w:bottom w:val="single" w:sz="4" w:space="0" w:color="auto"/>
            </w:tcBorders>
            <w:shd w:val="clear" w:color="auto" w:fill="auto"/>
            <w:vAlign w:val="center"/>
          </w:tcPr>
          <w:p w14:paraId="7CB9BFDA"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p>
        </w:tc>
        <w:tc>
          <w:tcPr>
            <w:tcW w:w="2126" w:type="dxa"/>
            <w:gridSpan w:val="2"/>
            <w:tcBorders>
              <w:bottom w:val="single" w:sz="4" w:space="0" w:color="auto"/>
            </w:tcBorders>
            <w:shd w:val="clear" w:color="auto" w:fill="auto"/>
            <w:vAlign w:val="center"/>
          </w:tcPr>
          <w:p w14:paraId="7D01FEF6"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0B7FFBF3" w14:textId="77777777" w:rsidTr="00353702">
        <w:trPr>
          <w:trHeight w:val="252"/>
          <w:tblHeader/>
        </w:trPr>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86D36F"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доходов</w:t>
            </w:r>
          </w:p>
        </w:tc>
        <w:tc>
          <w:tcPr>
            <w:tcW w:w="192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9F395"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2023 год</w:t>
            </w:r>
          </w:p>
        </w:tc>
        <w:tc>
          <w:tcPr>
            <w:tcW w:w="192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B2860E"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2024 год</w:t>
            </w:r>
          </w:p>
        </w:tc>
        <w:tc>
          <w:tcPr>
            <w:tcW w:w="11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CD8DBF"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2025 год</w:t>
            </w:r>
          </w:p>
        </w:tc>
        <w:tc>
          <w:tcPr>
            <w:tcW w:w="212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C396E1"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Отклонение </w:t>
            </w:r>
          </w:p>
        </w:tc>
      </w:tr>
      <w:tr w:rsidR="00E47AA9" w:rsidRPr="00E47AA9" w14:paraId="68A43C3B" w14:textId="77777777" w:rsidTr="00353702">
        <w:trPr>
          <w:trHeight w:val="214"/>
          <w:tblHeader/>
        </w:trPr>
        <w:tc>
          <w:tcPr>
            <w:tcW w:w="2835" w:type="dxa"/>
            <w:vMerge/>
            <w:tcBorders>
              <w:top w:val="single" w:sz="4" w:space="0" w:color="auto"/>
              <w:left w:val="single" w:sz="4" w:space="0" w:color="auto"/>
              <w:bottom w:val="single" w:sz="4" w:space="0" w:color="auto"/>
              <w:right w:val="single" w:sz="4" w:space="0" w:color="auto"/>
            </w:tcBorders>
            <w:vAlign w:val="center"/>
            <w:hideMark/>
          </w:tcPr>
          <w:p w14:paraId="47F15452"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p>
        </w:tc>
        <w:tc>
          <w:tcPr>
            <w:tcW w:w="1920" w:type="dxa"/>
            <w:gridSpan w:val="2"/>
            <w:vMerge/>
            <w:tcBorders>
              <w:top w:val="single" w:sz="4" w:space="0" w:color="auto"/>
              <w:left w:val="single" w:sz="4" w:space="0" w:color="auto"/>
              <w:bottom w:val="single" w:sz="4" w:space="0" w:color="auto"/>
              <w:right w:val="single" w:sz="4" w:space="0" w:color="auto"/>
            </w:tcBorders>
            <w:vAlign w:val="center"/>
            <w:hideMark/>
          </w:tcPr>
          <w:p w14:paraId="103CACBA"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p>
        </w:tc>
        <w:tc>
          <w:tcPr>
            <w:tcW w:w="1920" w:type="dxa"/>
            <w:gridSpan w:val="2"/>
            <w:vMerge/>
            <w:tcBorders>
              <w:top w:val="single" w:sz="4" w:space="0" w:color="auto"/>
              <w:left w:val="single" w:sz="4" w:space="0" w:color="auto"/>
              <w:bottom w:val="single" w:sz="4" w:space="0" w:color="auto"/>
              <w:right w:val="single" w:sz="4" w:space="0" w:color="auto"/>
            </w:tcBorders>
            <w:vAlign w:val="center"/>
            <w:hideMark/>
          </w:tcPr>
          <w:p w14:paraId="02BB145F"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p>
        </w:tc>
        <w:tc>
          <w:tcPr>
            <w:tcW w:w="1121" w:type="dxa"/>
            <w:vMerge/>
            <w:tcBorders>
              <w:top w:val="single" w:sz="4" w:space="0" w:color="auto"/>
              <w:left w:val="single" w:sz="4" w:space="0" w:color="auto"/>
              <w:bottom w:val="single" w:sz="4" w:space="0" w:color="auto"/>
              <w:right w:val="single" w:sz="4" w:space="0" w:color="auto"/>
            </w:tcBorders>
            <w:vAlign w:val="center"/>
            <w:hideMark/>
          </w:tcPr>
          <w:p w14:paraId="5E0927D9"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p>
        </w:tc>
        <w:tc>
          <w:tcPr>
            <w:tcW w:w="212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04A978A"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исполнения 2024 год от 2023 года</w:t>
            </w:r>
          </w:p>
        </w:tc>
      </w:tr>
      <w:tr w:rsidR="00E47AA9" w:rsidRPr="00E47AA9" w14:paraId="21268AFB" w14:textId="77777777" w:rsidTr="00353702">
        <w:trPr>
          <w:trHeight w:val="510"/>
          <w:tblHeader/>
        </w:trPr>
        <w:tc>
          <w:tcPr>
            <w:tcW w:w="2835" w:type="dxa"/>
            <w:vMerge/>
            <w:tcBorders>
              <w:top w:val="single" w:sz="4" w:space="0" w:color="auto"/>
              <w:left w:val="single" w:sz="4" w:space="0" w:color="auto"/>
              <w:bottom w:val="single" w:sz="4" w:space="0" w:color="auto"/>
              <w:right w:val="single" w:sz="4" w:space="0" w:color="auto"/>
            </w:tcBorders>
            <w:vAlign w:val="center"/>
            <w:hideMark/>
          </w:tcPr>
          <w:p w14:paraId="7FA79EFD"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C8B3DE7"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утверж-дено</w:t>
            </w:r>
            <w:proofErr w:type="spellEnd"/>
            <w:proofErr w:type="gramEnd"/>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4D2B9A2"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испол-нено</w:t>
            </w:r>
            <w:proofErr w:type="spellEnd"/>
            <w:proofErr w:type="gramEnd"/>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3285937"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утверж-дено</w:t>
            </w:r>
            <w:proofErr w:type="spellEnd"/>
            <w:proofErr w:type="gramEnd"/>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DF352E5"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испол-нено</w:t>
            </w:r>
            <w:proofErr w:type="spellEnd"/>
            <w:proofErr w:type="gramEnd"/>
          </w:p>
        </w:tc>
        <w:tc>
          <w:tcPr>
            <w:tcW w:w="1121" w:type="dxa"/>
            <w:vMerge/>
            <w:tcBorders>
              <w:top w:val="single" w:sz="4" w:space="0" w:color="auto"/>
              <w:left w:val="single" w:sz="4" w:space="0" w:color="auto"/>
              <w:bottom w:val="single" w:sz="4" w:space="0" w:color="auto"/>
              <w:right w:val="single" w:sz="4" w:space="0" w:color="auto"/>
            </w:tcBorders>
            <w:vAlign w:val="center"/>
            <w:hideMark/>
          </w:tcPr>
          <w:p w14:paraId="3ABFF2B6"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70CF0096"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сумма</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0567DD7" w14:textId="77777777" w:rsidR="00A441A6" w:rsidRPr="00E47AA9" w:rsidRDefault="00A441A6"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w:t>
            </w:r>
          </w:p>
        </w:tc>
      </w:tr>
      <w:tr w:rsidR="00E47AA9" w:rsidRPr="00E47AA9" w14:paraId="172BD1F3" w14:textId="77777777" w:rsidTr="00353702">
        <w:trPr>
          <w:trHeight w:val="300"/>
        </w:trPr>
        <w:tc>
          <w:tcPr>
            <w:tcW w:w="2835" w:type="dxa"/>
            <w:tcBorders>
              <w:top w:val="nil"/>
              <w:left w:val="single" w:sz="4" w:space="0" w:color="auto"/>
              <w:bottom w:val="single" w:sz="4" w:space="0" w:color="auto"/>
              <w:right w:val="single" w:sz="4" w:space="0" w:color="auto"/>
            </w:tcBorders>
            <w:shd w:val="clear" w:color="auto" w:fill="E2EFD9" w:themeFill="accent6" w:themeFillTint="33"/>
            <w:vAlign w:val="center"/>
            <w:hideMark/>
          </w:tcPr>
          <w:p w14:paraId="5EAE8BE9" w14:textId="77777777" w:rsidR="00A441A6" w:rsidRPr="00E47AA9" w:rsidRDefault="00A441A6" w:rsidP="00353702">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НЕНАЛОГОВЫЕ ДОХОДЫ</w:t>
            </w:r>
          </w:p>
        </w:tc>
        <w:tc>
          <w:tcPr>
            <w:tcW w:w="960" w:type="dxa"/>
            <w:tcBorders>
              <w:top w:val="nil"/>
              <w:left w:val="nil"/>
              <w:bottom w:val="single" w:sz="4" w:space="0" w:color="auto"/>
              <w:right w:val="single" w:sz="4" w:space="0" w:color="auto"/>
            </w:tcBorders>
            <w:shd w:val="clear" w:color="auto" w:fill="E2EFD9" w:themeFill="accent6" w:themeFillTint="33"/>
            <w:vAlign w:val="center"/>
            <w:hideMark/>
          </w:tcPr>
          <w:p w14:paraId="693A437B" w14:textId="77777777" w:rsidR="00A441A6" w:rsidRPr="00E47AA9" w:rsidRDefault="00A441A6"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4 100,59</w:t>
            </w:r>
          </w:p>
        </w:tc>
        <w:tc>
          <w:tcPr>
            <w:tcW w:w="960" w:type="dxa"/>
            <w:tcBorders>
              <w:top w:val="nil"/>
              <w:left w:val="nil"/>
              <w:bottom w:val="single" w:sz="4" w:space="0" w:color="auto"/>
              <w:right w:val="single" w:sz="4" w:space="0" w:color="auto"/>
            </w:tcBorders>
            <w:shd w:val="clear" w:color="auto" w:fill="E2EFD9" w:themeFill="accent6" w:themeFillTint="33"/>
            <w:vAlign w:val="center"/>
            <w:hideMark/>
          </w:tcPr>
          <w:p w14:paraId="7B3BBDB7" w14:textId="77777777" w:rsidR="00A441A6" w:rsidRPr="00E47AA9" w:rsidRDefault="00A441A6"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5 887,84</w:t>
            </w:r>
          </w:p>
        </w:tc>
        <w:tc>
          <w:tcPr>
            <w:tcW w:w="960" w:type="dxa"/>
            <w:tcBorders>
              <w:top w:val="nil"/>
              <w:left w:val="nil"/>
              <w:bottom w:val="single" w:sz="4" w:space="0" w:color="auto"/>
              <w:right w:val="single" w:sz="4" w:space="0" w:color="auto"/>
            </w:tcBorders>
            <w:shd w:val="clear" w:color="auto" w:fill="E2EFD9" w:themeFill="accent6" w:themeFillTint="33"/>
            <w:vAlign w:val="center"/>
            <w:hideMark/>
          </w:tcPr>
          <w:p w14:paraId="3DEA153C" w14:textId="77777777" w:rsidR="00A441A6" w:rsidRPr="00E47AA9" w:rsidRDefault="00A441A6"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7 247,85</w:t>
            </w:r>
          </w:p>
        </w:tc>
        <w:tc>
          <w:tcPr>
            <w:tcW w:w="960" w:type="dxa"/>
            <w:tcBorders>
              <w:top w:val="nil"/>
              <w:left w:val="nil"/>
              <w:bottom w:val="single" w:sz="4" w:space="0" w:color="auto"/>
              <w:right w:val="single" w:sz="4" w:space="0" w:color="auto"/>
            </w:tcBorders>
            <w:shd w:val="clear" w:color="auto" w:fill="E2EFD9" w:themeFill="accent6" w:themeFillTint="33"/>
            <w:vAlign w:val="center"/>
            <w:hideMark/>
          </w:tcPr>
          <w:p w14:paraId="583D6D19" w14:textId="77777777" w:rsidR="00A441A6" w:rsidRPr="00E47AA9" w:rsidRDefault="00A441A6"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7 885,53</w:t>
            </w:r>
          </w:p>
        </w:tc>
        <w:tc>
          <w:tcPr>
            <w:tcW w:w="1121" w:type="dxa"/>
            <w:tcBorders>
              <w:top w:val="nil"/>
              <w:left w:val="nil"/>
              <w:bottom w:val="single" w:sz="4" w:space="0" w:color="auto"/>
              <w:right w:val="single" w:sz="4" w:space="0" w:color="auto"/>
            </w:tcBorders>
            <w:shd w:val="clear" w:color="auto" w:fill="E2EFD9" w:themeFill="accent6" w:themeFillTint="33"/>
            <w:vAlign w:val="center"/>
            <w:hideMark/>
          </w:tcPr>
          <w:p w14:paraId="478F2ACD" w14:textId="77777777" w:rsidR="00A441A6" w:rsidRPr="00E47AA9" w:rsidRDefault="00A441A6"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3 378,57</w:t>
            </w:r>
          </w:p>
        </w:tc>
        <w:tc>
          <w:tcPr>
            <w:tcW w:w="1060" w:type="dxa"/>
            <w:tcBorders>
              <w:top w:val="nil"/>
              <w:left w:val="nil"/>
              <w:bottom w:val="single" w:sz="4" w:space="0" w:color="auto"/>
              <w:right w:val="single" w:sz="4" w:space="0" w:color="auto"/>
            </w:tcBorders>
            <w:shd w:val="clear" w:color="auto" w:fill="E2EFD9" w:themeFill="accent6" w:themeFillTint="33"/>
            <w:vAlign w:val="center"/>
            <w:hideMark/>
          </w:tcPr>
          <w:p w14:paraId="5A69E8B1" w14:textId="77777777" w:rsidR="00A441A6" w:rsidRPr="00E47AA9" w:rsidRDefault="00A441A6"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1 997,69</w:t>
            </w:r>
          </w:p>
        </w:tc>
        <w:tc>
          <w:tcPr>
            <w:tcW w:w="1066" w:type="dxa"/>
            <w:tcBorders>
              <w:top w:val="nil"/>
              <w:left w:val="nil"/>
              <w:bottom w:val="single" w:sz="4" w:space="0" w:color="auto"/>
              <w:right w:val="single" w:sz="4" w:space="0" w:color="auto"/>
            </w:tcBorders>
            <w:shd w:val="clear" w:color="auto" w:fill="E2EFD9" w:themeFill="accent6" w:themeFillTint="33"/>
            <w:vAlign w:val="center"/>
            <w:hideMark/>
          </w:tcPr>
          <w:p w14:paraId="2C10AF8F" w14:textId="77777777" w:rsidR="00A441A6" w:rsidRPr="00E47AA9" w:rsidRDefault="00A441A6"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133,93</w:t>
            </w:r>
          </w:p>
        </w:tc>
      </w:tr>
      <w:tr w:rsidR="00E47AA9" w:rsidRPr="00E47AA9" w14:paraId="79539906" w14:textId="77777777" w:rsidTr="00353702">
        <w:trPr>
          <w:trHeight w:val="765"/>
        </w:trPr>
        <w:tc>
          <w:tcPr>
            <w:tcW w:w="2835" w:type="dxa"/>
            <w:tcBorders>
              <w:top w:val="nil"/>
              <w:left w:val="single" w:sz="4" w:space="0" w:color="auto"/>
              <w:bottom w:val="single" w:sz="4" w:space="0" w:color="auto"/>
              <w:right w:val="single" w:sz="4" w:space="0" w:color="auto"/>
            </w:tcBorders>
            <w:shd w:val="clear" w:color="auto" w:fill="auto"/>
            <w:vAlign w:val="center"/>
            <w:hideMark/>
          </w:tcPr>
          <w:p w14:paraId="07221852"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Доходы от использования имущества, находящегося в государственной и муниципальной собственности</w:t>
            </w:r>
          </w:p>
        </w:tc>
        <w:tc>
          <w:tcPr>
            <w:tcW w:w="960" w:type="dxa"/>
            <w:tcBorders>
              <w:top w:val="nil"/>
              <w:left w:val="nil"/>
              <w:bottom w:val="single" w:sz="4" w:space="0" w:color="auto"/>
              <w:right w:val="single" w:sz="4" w:space="0" w:color="auto"/>
            </w:tcBorders>
            <w:shd w:val="clear" w:color="000000" w:fill="FFFFFF"/>
            <w:vAlign w:val="bottom"/>
            <w:hideMark/>
          </w:tcPr>
          <w:p w14:paraId="420BA861"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1 534,28</w:t>
            </w:r>
          </w:p>
        </w:tc>
        <w:tc>
          <w:tcPr>
            <w:tcW w:w="960" w:type="dxa"/>
            <w:tcBorders>
              <w:top w:val="nil"/>
              <w:left w:val="nil"/>
              <w:bottom w:val="single" w:sz="4" w:space="0" w:color="auto"/>
              <w:right w:val="single" w:sz="4" w:space="0" w:color="auto"/>
            </w:tcBorders>
            <w:shd w:val="clear" w:color="000000" w:fill="FFFFFF"/>
            <w:vAlign w:val="bottom"/>
            <w:hideMark/>
          </w:tcPr>
          <w:p w14:paraId="5447599E"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2 640,34</w:t>
            </w:r>
          </w:p>
        </w:tc>
        <w:tc>
          <w:tcPr>
            <w:tcW w:w="960" w:type="dxa"/>
            <w:tcBorders>
              <w:top w:val="nil"/>
              <w:left w:val="nil"/>
              <w:bottom w:val="single" w:sz="4" w:space="0" w:color="auto"/>
              <w:right w:val="single" w:sz="4" w:space="0" w:color="auto"/>
            </w:tcBorders>
            <w:shd w:val="clear" w:color="000000" w:fill="FFFFFF"/>
            <w:vAlign w:val="bottom"/>
            <w:hideMark/>
          </w:tcPr>
          <w:p w14:paraId="5045EE12"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3 007,07</w:t>
            </w:r>
          </w:p>
        </w:tc>
        <w:tc>
          <w:tcPr>
            <w:tcW w:w="960" w:type="dxa"/>
            <w:tcBorders>
              <w:top w:val="nil"/>
              <w:left w:val="nil"/>
              <w:bottom w:val="single" w:sz="4" w:space="0" w:color="auto"/>
              <w:right w:val="single" w:sz="4" w:space="0" w:color="auto"/>
            </w:tcBorders>
            <w:shd w:val="clear" w:color="000000" w:fill="FFFFFF"/>
            <w:vAlign w:val="bottom"/>
            <w:hideMark/>
          </w:tcPr>
          <w:p w14:paraId="25CB030E"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3 014,18</w:t>
            </w:r>
          </w:p>
        </w:tc>
        <w:tc>
          <w:tcPr>
            <w:tcW w:w="1121" w:type="dxa"/>
            <w:tcBorders>
              <w:top w:val="nil"/>
              <w:left w:val="nil"/>
              <w:bottom w:val="single" w:sz="4" w:space="0" w:color="auto"/>
              <w:right w:val="single" w:sz="4" w:space="0" w:color="auto"/>
            </w:tcBorders>
            <w:shd w:val="clear" w:color="000000" w:fill="FFFFFF"/>
            <w:vAlign w:val="bottom"/>
            <w:hideMark/>
          </w:tcPr>
          <w:p w14:paraId="7840F3BE"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1 207,98</w:t>
            </w:r>
          </w:p>
        </w:tc>
        <w:tc>
          <w:tcPr>
            <w:tcW w:w="1060" w:type="dxa"/>
            <w:tcBorders>
              <w:top w:val="nil"/>
              <w:left w:val="nil"/>
              <w:bottom w:val="single" w:sz="4" w:space="0" w:color="auto"/>
              <w:right w:val="single" w:sz="4" w:space="0" w:color="auto"/>
            </w:tcBorders>
            <w:shd w:val="clear" w:color="auto" w:fill="auto"/>
            <w:vAlign w:val="bottom"/>
            <w:hideMark/>
          </w:tcPr>
          <w:p w14:paraId="6ED3C10C"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373,84</w:t>
            </w:r>
          </w:p>
        </w:tc>
        <w:tc>
          <w:tcPr>
            <w:tcW w:w="1066" w:type="dxa"/>
            <w:tcBorders>
              <w:top w:val="nil"/>
              <w:left w:val="nil"/>
              <w:bottom w:val="single" w:sz="4" w:space="0" w:color="auto"/>
              <w:right w:val="single" w:sz="4" w:space="0" w:color="auto"/>
            </w:tcBorders>
            <w:shd w:val="clear" w:color="auto" w:fill="auto"/>
            <w:vAlign w:val="bottom"/>
            <w:hideMark/>
          </w:tcPr>
          <w:p w14:paraId="4CA1E178"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114,16</w:t>
            </w:r>
          </w:p>
        </w:tc>
      </w:tr>
      <w:tr w:rsidR="00E47AA9" w:rsidRPr="00E47AA9" w14:paraId="499160A2" w14:textId="77777777" w:rsidTr="00353702">
        <w:trPr>
          <w:trHeight w:val="510"/>
        </w:trPr>
        <w:tc>
          <w:tcPr>
            <w:tcW w:w="2835" w:type="dxa"/>
            <w:tcBorders>
              <w:top w:val="nil"/>
              <w:left w:val="single" w:sz="4" w:space="0" w:color="auto"/>
              <w:bottom w:val="single" w:sz="4" w:space="0" w:color="auto"/>
              <w:right w:val="single" w:sz="4" w:space="0" w:color="auto"/>
            </w:tcBorders>
            <w:shd w:val="clear" w:color="auto" w:fill="auto"/>
            <w:vAlign w:val="center"/>
            <w:hideMark/>
          </w:tcPr>
          <w:p w14:paraId="1722729E"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Платежи при пользовании природными ресурсами</w:t>
            </w:r>
          </w:p>
        </w:tc>
        <w:tc>
          <w:tcPr>
            <w:tcW w:w="960" w:type="dxa"/>
            <w:tcBorders>
              <w:top w:val="nil"/>
              <w:left w:val="nil"/>
              <w:bottom w:val="single" w:sz="4" w:space="0" w:color="auto"/>
              <w:right w:val="single" w:sz="4" w:space="0" w:color="auto"/>
            </w:tcBorders>
            <w:shd w:val="clear" w:color="000000" w:fill="FFFFFF"/>
            <w:vAlign w:val="bottom"/>
            <w:hideMark/>
          </w:tcPr>
          <w:p w14:paraId="1F93DF8F"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515,37</w:t>
            </w:r>
          </w:p>
        </w:tc>
        <w:tc>
          <w:tcPr>
            <w:tcW w:w="960" w:type="dxa"/>
            <w:tcBorders>
              <w:top w:val="nil"/>
              <w:left w:val="nil"/>
              <w:bottom w:val="single" w:sz="4" w:space="0" w:color="auto"/>
              <w:right w:val="single" w:sz="4" w:space="0" w:color="auto"/>
            </w:tcBorders>
            <w:shd w:val="clear" w:color="000000" w:fill="FFFFFF"/>
            <w:vAlign w:val="bottom"/>
            <w:hideMark/>
          </w:tcPr>
          <w:p w14:paraId="06F4215B"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600,61</w:t>
            </w:r>
          </w:p>
        </w:tc>
        <w:tc>
          <w:tcPr>
            <w:tcW w:w="960" w:type="dxa"/>
            <w:tcBorders>
              <w:top w:val="nil"/>
              <w:left w:val="nil"/>
              <w:bottom w:val="single" w:sz="4" w:space="0" w:color="auto"/>
              <w:right w:val="single" w:sz="4" w:space="0" w:color="auto"/>
            </w:tcBorders>
            <w:shd w:val="clear" w:color="000000" w:fill="FFFFFF"/>
            <w:vAlign w:val="bottom"/>
            <w:hideMark/>
          </w:tcPr>
          <w:p w14:paraId="5EB06092"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899,36</w:t>
            </w:r>
          </w:p>
        </w:tc>
        <w:tc>
          <w:tcPr>
            <w:tcW w:w="960" w:type="dxa"/>
            <w:tcBorders>
              <w:top w:val="nil"/>
              <w:left w:val="nil"/>
              <w:bottom w:val="single" w:sz="4" w:space="0" w:color="auto"/>
              <w:right w:val="single" w:sz="4" w:space="0" w:color="auto"/>
            </w:tcBorders>
            <w:shd w:val="clear" w:color="000000" w:fill="FFFFFF"/>
            <w:vAlign w:val="bottom"/>
            <w:hideMark/>
          </w:tcPr>
          <w:p w14:paraId="2F75A9F1"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929,07</w:t>
            </w:r>
          </w:p>
        </w:tc>
        <w:tc>
          <w:tcPr>
            <w:tcW w:w="1121" w:type="dxa"/>
            <w:tcBorders>
              <w:top w:val="nil"/>
              <w:left w:val="nil"/>
              <w:bottom w:val="single" w:sz="4" w:space="0" w:color="auto"/>
              <w:right w:val="single" w:sz="4" w:space="0" w:color="auto"/>
            </w:tcBorders>
            <w:shd w:val="clear" w:color="000000" w:fill="FFFFFF"/>
            <w:vAlign w:val="bottom"/>
            <w:hideMark/>
          </w:tcPr>
          <w:p w14:paraId="5005416A"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619,85</w:t>
            </w:r>
          </w:p>
        </w:tc>
        <w:tc>
          <w:tcPr>
            <w:tcW w:w="1060" w:type="dxa"/>
            <w:tcBorders>
              <w:top w:val="nil"/>
              <w:left w:val="nil"/>
              <w:bottom w:val="single" w:sz="4" w:space="0" w:color="auto"/>
              <w:right w:val="single" w:sz="4" w:space="0" w:color="auto"/>
            </w:tcBorders>
            <w:shd w:val="clear" w:color="auto" w:fill="auto"/>
            <w:vAlign w:val="bottom"/>
            <w:hideMark/>
          </w:tcPr>
          <w:p w14:paraId="74AB688E"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328,46</w:t>
            </w:r>
          </w:p>
        </w:tc>
        <w:tc>
          <w:tcPr>
            <w:tcW w:w="1066" w:type="dxa"/>
            <w:tcBorders>
              <w:top w:val="nil"/>
              <w:left w:val="nil"/>
              <w:bottom w:val="single" w:sz="4" w:space="0" w:color="auto"/>
              <w:right w:val="single" w:sz="4" w:space="0" w:color="auto"/>
            </w:tcBorders>
            <w:shd w:val="clear" w:color="auto" w:fill="auto"/>
            <w:vAlign w:val="bottom"/>
            <w:hideMark/>
          </w:tcPr>
          <w:p w14:paraId="6ED702C0"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154,69</w:t>
            </w:r>
          </w:p>
        </w:tc>
      </w:tr>
      <w:tr w:rsidR="00E47AA9" w:rsidRPr="00E47AA9" w14:paraId="5417B5E4" w14:textId="77777777" w:rsidTr="00353702">
        <w:trPr>
          <w:trHeight w:val="510"/>
        </w:trPr>
        <w:tc>
          <w:tcPr>
            <w:tcW w:w="2835" w:type="dxa"/>
            <w:tcBorders>
              <w:top w:val="nil"/>
              <w:left w:val="single" w:sz="4" w:space="0" w:color="auto"/>
              <w:bottom w:val="single" w:sz="4" w:space="0" w:color="auto"/>
              <w:right w:val="single" w:sz="4" w:space="0" w:color="auto"/>
            </w:tcBorders>
            <w:shd w:val="clear" w:color="auto" w:fill="auto"/>
            <w:vAlign w:val="center"/>
            <w:hideMark/>
          </w:tcPr>
          <w:p w14:paraId="6934FB72"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Доходы от оказания платных услуг и компенсации затрат государства</w:t>
            </w:r>
          </w:p>
        </w:tc>
        <w:tc>
          <w:tcPr>
            <w:tcW w:w="960" w:type="dxa"/>
            <w:tcBorders>
              <w:top w:val="nil"/>
              <w:left w:val="nil"/>
              <w:bottom w:val="single" w:sz="4" w:space="0" w:color="auto"/>
              <w:right w:val="single" w:sz="4" w:space="0" w:color="auto"/>
            </w:tcBorders>
            <w:shd w:val="clear" w:color="000000" w:fill="FFFFFF"/>
            <w:vAlign w:val="bottom"/>
            <w:hideMark/>
          </w:tcPr>
          <w:p w14:paraId="309F2107"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275,37</w:t>
            </w:r>
          </w:p>
        </w:tc>
        <w:tc>
          <w:tcPr>
            <w:tcW w:w="960" w:type="dxa"/>
            <w:tcBorders>
              <w:top w:val="nil"/>
              <w:left w:val="nil"/>
              <w:bottom w:val="single" w:sz="4" w:space="0" w:color="auto"/>
              <w:right w:val="single" w:sz="4" w:space="0" w:color="auto"/>
            </w:tcBorders>
            <w:shd w:val="clear" w:color="000000" w:fill="FFFFFF"/>
            <w:vAlign w:val="bottom"/>
            <w:hideMark/>
          </w:tcPr>
          <w:p w14:paraId="63C2D080"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554,67</w:t>
            </w:r>
          </w:p>
        </w:tc>
        <w:tc>
          <w:tcPr>
            <w:tcW w:w="960" w:type="dxa"/>
            <w:tcBorders>
              <w:top w:val="nil"/>
              <w:left w:val="nil"/>
              <w:bottom w:val="single" w:sz="4" w:space="0" w:color="auto"/>
              <w:right w:val="single" w:sz="4" w:space="0" w:color="auto"/>
            </w:tcBorders>
            <w:shd w:val="clear" w:color="000000" w:fill="FFFFFF"/>
            <w:vAlign w:val="bottom"/>
            <w:hideMark/>
          </w:tcPr>
          <w:p w14:paraId="43C598DD"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557,86</w:t>
            </w:r>
          </w:p>
        </w:tc>
        <w:tc>
          <w:tcPr>
            <w:tcW w:w="960" w:type="dxa"/>
            <w:tcBorders>
              <w:top w:val="nil"/>
              <w:left w:val="nil"/>
              <w:bottom w:val="single" w:sz="4" w:space="0" w:color="auto"/>
              <w:right w:val="single" w:sz="4" w:space="0" w:color="auto"/>
            </w:tcBorders>
            <w:shd w:val="clear" w:color="000000" w:fill="FFFFFF"/>
            <w:vAlign w:val="bottom"/>
            <w:hideMark/>
          </w:tcPr>
          <w:p w14:paraId="0E863260"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955,91</w:t>
            </w:r>
          </w:p>
        </w:tc>
        <w:tc>
          <w:tcPr>
            <w:tcW w:w="1121" w:type="dxa"/>
            <w:tcBorders>
              <w:top w:val="nil"/>
              <w:left w:val="nil"/>
              <w:bottom w:val="single" w:sz="4" w:space="0" w:color="auto"/>
              <w:right w:val="single" w:sz="4" w:space="0" w:color="auto"/>
            </w:tcBorders>
            <w:shd w:val="clear" w:color="000000" w:fill="FFFFFF"/>
            <w:vAlign w:val="bottom"/>
            <w:hideMark/>
          </w:tcPr>
          <w:p w14:paraId="4D47496B"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98,48</w:t>
            </w:r>
          </w:p>
        </w:tc>
        <w:tc>
          <w:tcPr>
            <w:tcW w:w="1060" w:type="dxa"/>
            <w:tcBorders>
              <w:top w:val="nil"/>
              <w:left w:val="nil"/>
              <w:bottom w:val="single" w:sz="4" w:space="0" w:color="auto"/>
              <w:right w:val="single" w:sz="4" w:space="0" w:color="auto"/>
            </w:tcBorders>
            <w:shd w:val="clear" w:color="auto" w:fill="auto"/>
            <w:vAlign w:val="bottom"/>
            <w:hideMark/>
          </w:tcPr>
          <w:p w14:paraId="42D85EB8"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401,24</w:t>
            </w:r>
          </w:p>
        </w:tc>
        <w:tc>
          <w:tcPr>
            <w:tcW w:w="1066" w:type="dxa"/>
            <w:tcBorders>
              <w:top w:val="nil"/>
              <w:left w:val="nil"/>
              <w:bottom w:val="single" w:sz="4" w:space="0" w:color="auto"/>
              <w:right w:val="single" w:sz="4" w:space="0" w:color="auto"/>
            </w:tcBorders>
            <w:shd w:val="clear" w:color="auto" w:fill="auto"/>
            <w:vAlign w:val="bottom"/>
            <w:hideMark/>
          </w:tcPr>
          <w:p w14:paraId="01B69250"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172,34</w:t>
            </w:r>
          </w:p>
        </w:tc>
      </w:tr>
      <w:tr w:rsidR="00E47AA9" w:rsidRPr="00E47AA9" w14:paraId="51C1842E" w14:textId="77777777" w:rsidTr="00353702">
        <w:trPr>
          <w:trHeight w:val="510"/>
        </w:trPr>
        <w:tc>
          <w:tcPr>
            <w:tcW w:w="2835" w:type="dxa"/>
            <w:tcBorders>
              <w:top w:val="nil"/>
              <w:left w:val="single" w:sz="4" w:space="0" w:color="auto"/>
              <w:bottom w:val="single" w:sz="4" w:space="0" w:color="auto"/>
              <w:right w:val="single" w:sz="4" w:space="0" w:color="auto"/>
            </w:tcBorders>
            <w:shd w:val="clear" w:color="auto" w:fill="auto"/>
            <w:vAlign w:val="center"/>
            <w:hideMark/>
          </w:tcPr>
          <w:p w14:paraId="2CA9D9D4"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Доходы от продажи материальных и нематериальных активов</w:t>
            </w:r>
          </w:p>
        </w:tc>
        <w:tc>
          <w:tcPr>
            <w:tcW w:w="960" w:type="dxa"/>
            <w:tcBorders>
              <w:top w:val="nil"/>
              <w:left w:val="nil"/>
              <w:bottom w:val="single" w:sz="4" w:space="0" w:color="auto"/>
              <w:right w:val="single" w:sz="4" w:space="0" w:color="auto"/>
            </w:tcBorders>
            <w:shd w:val="clear" w:color="000000" w:fill="FFFFFF"/>
            <w:vAlign w:val="bottom"/>
            <w:hideMark/>
          </w:tcPr>
          <w:p w14:paraId="0B165703"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65,22</w:t>
            </w:r>
          </w:p>
        </w:tc>
        <w:tc>
          <w:tcPr>
            <w:tcW w:w="960" w:type="dxa"/>
            <w:tcBorders>
              <w:top w:val="nil"/>
              <w:left w:val="nil"/>
              <w:bottom w:val="single" w:sz="4" w:space="0" w:color="auto"/>
              <w:right w:val="single" w:sz="4" w:space="0" w:color="auto"/>
            </w:tcBorders>
            <w:shd w:val="clear" w:color="000000" w:fill="FFFFFF"/>
            <w:vAlign w:val="bottom"/>
            <w:hideMark/>
          </w:tcPr>
          <w:p w14:paraId="7314BC05"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219,52</w:t>
            </w:r>
          </w:p>
        </w:tc>
        <w:tc>
          <w:tcPr>
            <w:tcW w:w="960" w:type="dxa"/>
            <w:tcBorders>
              <w:top w:val="nil"/>
              <w:left w:val="nil"/>
              <w:bottom w:val="single" w:sz="4" w:space="0" w:color="auto"/>
              <w:right w:val="single" w:sz="4" w:space="0" w:color="auto"/>
            </w:tcBorders>
            <w:shd w:val="clear" w:color="000000" w:fill="FFFFFF"/>
            <w:vAlign w:val="bottom"/>
            <w:hideMark/>
          </w:tcPr>
          <w:p w14:paraId="7D7DF2EA"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212,97</w:t>
            </w:r>
          </w:p>
        </w:tc>
        <w:tc>
          <w:tcPr>
            <w:tcW w:w="960" w:type="dxa"/>
            <w:tcBorders>
              <w:top w:val="nil"/>
              <w:left w:val="nil"/>
              <w:bottom w:val="single" w:sz="4" w:space="0" w:color="auto"/>
              <w:right w:val="single" w:sz="4" w:space="0" w:color="auto"/>
            </w:tcBorders>
            <w:shd w:val="clear" w:color="000000" w:fill="FFFFFF"/>
            <w:vAlign w:val="bottom"/>
            <w:hideMark/>
          </w:tcPr>
          <w:p w14:paraId="63DCF8D0"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212,97</w:t>
            </w:r>
          </w:p>
        </w:tc>
        <w:tc>
          <w:tcPr>
            <w:tcW w:w="1121" w:type="dxa"/>
            <w:tcBorders>
              <w:top w:val="nil"/>
              <w:left w:val="nil"/>
              <w:bottom w:val="single" w:sz="4" w:space="0" w:color="auto"/>
              <w:right w:val="single" w:sz="4" w:space="0" w:color="auto"/>
            </w:tcBorders>
            <w:shd w:val="clear" w:color="000000" w:fill="FFFFFF"/>
            <w:vAlign w:val="bottom"/>
            <w:hideMark/>
          </w:tcPr>
          <w:p w14:paraId="2F421C81"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44,99</w:t>
            </w:r>
          </w:p>
        </w:tc>
        <w:tc>
          <w:tcPr>
            <w:tcW w:w="1060" w:type="dxa"/>
            <w:tcBorders>
              <w:top w:val="nil"/>
              <w:left w:val="nil"/>
              <w:bottom w:val="single" w:sz="4" w:space="0" w:color="auto"/>
              <w:right w:val="single" w:sz="4" w:space="0" w:color="auto"/>
            </w:tcBorders>
            <w:shd w:val="clear" w:color="auto" w:fill="auto"/>
            <w:vAlign w:val="bottom"/>
            <w:hideMark/>
          </w:tcPr>
          <w:p w14:paraId="164C4BA5"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-6,55</w:t>
            </w:r>
          </w:p>
        </w:tc>
        <w:tc>
          <w:tcPr>
            <w:tcW w:w="1066" w:type="dxa"/>
            <w:tcBorders>
              <w:top w:val="nil"/>
              <w:left w:val="nil"/>
              <w:bottom w:val="single" w:sz="4" w:space="0" w:color="auto"/>
              <w:right w:val="single" w:sz="4" w:space="0" w:color="auto"/>
            </w:tcBorders>
            <w:shd w:val="clear" w:color="auto" w:fill="auto"/>
            <w:vAlign w:val="bottom"/>
            <w:hideMark/>
          </w:tcPr>
          <w:p w14:paraId="07FEB710"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97,02</w:t>
            </w:r>
          </w:p>
        </w:tc>
      </w:tr>
      <w:tr w:rsidR="00E47AA9" w:rsidRPr="00E47AA9" w14:paraId="5951C660" w14:textId="77777777" w:rsidTr="00353702">
        <w:trPr>
          <w:trHeight w:val="300"/>
        </w:trPr>
        <w:tc>
          <w:tcPr>
            <w:tcW w:w="2835" w:type="dxa"/>
            <w:tcBorders>
              <w:top w:val="nil"/>
              <w:left w:val="single" w:sz="4" w:space="0" w:color="auto"/>
              <w:bottom w:val="single" w:sz="4" w:space="0" w:color="auto"/>
              <w:right w:val="single" w:sz="4" w:space="0" w:color="auto"/>
            </w:tcBorders>
            <w:shd w:val="clear" w:color="auto" w:fill="auto"/>
            <w:vAlign w:val="center"/>
            <w:hideMark/>
          </w:tcPr>
          <w:p w14:paraId="07F8A85D"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Административные платежи и сборы</w:t>
            </w:r>
          </w:p>
        </w:tc>
        <w:tc>
          <w:tcPr>
            <w:tcW w:w="960" w:type="dxa"/>
            <w:tcBorders>
              <w:top w:val="nil"/>
              <w:left w:val="nil"/>
              <w:bottom w:val="single" w:sz="4" w:space="0" w:color="auto"/>
              <w:right w:val="single" w:sz="4" w:space="0" w:color="auto"/>
            </w:tcBorders>
            <w:shd w:val="clear" w:color="000000" w:fill="FFFFFF"/>
            <w:vAlign w:val="bottom"/>
            <w:hideMark/>
          </w:tcPr>
          <w:p w14:paraId="695FAE7B"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2,44</w:t>
            </w:r>
          </w:p>
        </w:tc>
        <w:tc>
          <w:tcPr>
            <w:tcW w:w="960" w:type="dxa"/>
            <w:tcBorders>
              <w:top w:val="nil"/>
              <w:left w:val="nil"/>
              <w:bottom w:val="single" w:sz="4" w:space="0" w:color="auto"/>
              <w:right w:val="single" w:sz="4" w:space="0" w:color="auto"/>
            </w:tcBorders>
            <w:shd w:val="clear" w:color="000000" w:fill="FFFFFF"/>
            <w:vAlign w:val="bottom"/>
            <w:hideMark/>
          </w:tcPr>
          <w:p w14:paraId="16B59574"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2,51</w:t>
            </w:r>
          </w:p>
        </w:tc>
        <w:tc>
          <w:tcPr>
            <w:tcW w:w="960" w:type="dxa"/>
            <w:tcBorders>
              <w:top w:val="nil"/>
              <w:left w:val="nil"/>
              <w:bottom w:val="single" w:sz="4" w:space="0" w:color="auto"/>
              <w:right w:val="single" w:sz="4" w:space="0" w:color="auto"/>
            </w:tcBorders>
            <w:shd w:val="clear" w:color="000000" w:fill="FFFFFF"/>
            <w:vAlign w:val="bottom"/>
            <w:hideMark/>
          </w:tcPr>
          <w:p w14:paraId="4F3344C7"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0,21</w:t>
            </w:r>
          </w:p>
        </w:tc>
        <w:tc>
          <w:tcPr>
            <w:tcW w:w="960" w:type="dxa"/>
            <w:tcBorders>
              <w:top w:val="nil"/>
              <w:left w:val="nil"/>
              <w:bottom w:val="single" w:sz="4" w:space="0" w:color="auto"/>
              <w:right w:val="single" w:sz="4" w:space="0" w:color="auto"/>
            </w:tcBorders>
            <w:shd w:val="clear" w:color="000000" w:fill="FFFFFF"/>
            <w:vAlign w:val="bottom"/>
            <w:hideMark/>
          </w:tcPr>
          <w:p w14:paraId="7CE264A0"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0,22</w:t>
            </w:r>
          </w:p>
        </w:tc>
        <w:tc>
          <w:tcPr>
            <w:tcW w:w="1121" w:type="dxa"/>
            <w:tcBorders>
              <w:top w:val="nil"/>
              <w:left w:val="nil"/>
              <w:bottom w:val="single" w:sz="4" w:space="0" w:color="auto"/>
              <w:right w:val="single" w:sz="4" w:space="0" w:color="auto"/>
            </w:tcBorders>
            <w:shd w:val="clear" w:color="000000" w:fill="FFFFFF"/>
            <w:vAlign w:val="bottom"/>
            <w:hideMark/>
          </w:tcPr>
          <w:p w14:paraId="143B4244"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0,34</w:t>
            </w:r>
          </w:p>
        </w:tc>
        <w:tc>
          <w:tcPr>
            <w:tcW w:w="1060" w:type="dxa"/>
            <w:tcBorders>
              <w:top w:val="nil"/>
              <w:left w:val="nil"/>
              <w:bottom w:val="single" w:sz="4" w:space="0" w:color="auto"/>
              <w:right w:val="single" w:sz="4" w:space="0" w:color="auto"/>
            </w:tcBorders>
            <w:shd w:val="clear" w:color="auto" w:fill="auto"/>
            <w:vAlign w:val="bottom"/>
            <w:hideMark/>
          </w:tcPr>
          <w:p w14:paraId="4069F329"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-2,29</w:t>
            </w:r>
          </w:p>
        </w:tc>
        <w:tc>
          <w:tcPr>
            <w:tcW w:w="1066" w:type="dxa"/>
            <w:tcBorders>
              <w:top w:val="nil"/>
              <w:left w:val="nil"/>
              <w:bottom w:val="single" w:sz="4" w:space="0" w:color="auto"/>
              <w:right w:val="single" w:sz="4" w:space="0" w:color="auto"/>
            </w:tcBorders>
            <w:shd w:val="clear" w:color="auto" w:fill="auto"/>
            <w:vAlign w:val="bottom"/>
            <w:hideMark/>
          </w:tcPr>
          <w:p w14:paraId="3BA2382C"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8,77</w:t>
            </w:r>
          </w:p>
        </w:tc>
      </w:tr>
      <w:tr w:rsidR="00E47AA9" w:rsidRPr="00E47AA9" w14:paraId="6EB56AD5" w14:textId="77777777" w:rsidTr="00353702">
        <w:trPr>
          <w:trHeight w:val="300"/>
        </w:trPr>
        <w:tc>
          <w:tcPr>
            <w:tcW w:w="2835" w:type="dxa"/>
            <w:tcBorders>
              <w:top w:val="nil"/>
              <w:left w:val="single" w:sz="4" w:space="0" w:color="auto"/>
              <w:bottom w:val="single" w:sz="4" w:space="0" w:color="auto"/>
              <w:right w:val="single" w:sz="4" w:space="0" w:color="auto"/>
            </w:tcBorders>
            <w:shd w:val="clear" w:color="auto" w:fill="auto"/>
            <w:vAlign w:val="center"/>
            <w:hideMark/>
          </w:tcPr>
          <w:p w14:paraId="31343B46"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Штрафы, санкции, возмещение ущерба</w:t>
            </w:r>
          </w:p>
        </w:tc>
        <w:tc>
          <w:tcPr>
            <w:tcW w:w="960" w:type="dxa"/>
            <w:tcBorders>
              <w:top w:val="nil"/>
              <w:left w:val="nil"/>
              <w:bottom w:val="single" w:sz="4" w:space="0" w:color="auto"/>
              <w:right w:val="single" w:sz="4" w:space="0" w:color="auto"/>
            </w:tcBorders>
            <w:shd w:val="clear" w:color="000000" w:fill="FFFFFF"/>
            <w:vAlign w:val="bottom"/>
            <w:hideMark/>
          </w:tcPr>
          <w:p w14:paraId="3BD2C392"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1 705,85</w:t>
            </w:r>
          </w:p>
        </w:tc>
        <w:tc>
          <w:tcPr>
            <w:tcW w:w="960" w:type="dxa"/>
            <w:tcBorders>
              <w:top w:val="nil"/>
              <w:left w:val="nil"/>
              <w:bottom w:val="single" w:sz="4" w:space="0" w:color="auto"/>
              <w:right w:val="single" w:sz="4" w:space="0" w:color="auto"/>
            </w:tcBorders>
            <w:shd w:val="clear" w:color="000000" w:fill="FFFFFF"/>
            <w:vAlign w:val="bottom"/>
            <w:hideMark/>
          </w:tcPr>
          <w:p w14:paraId="1FA59B65"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1 869,91</w:t>
            </w:r>
          </w:p>
        </w:tc>
        <w:tc>
          <w:tcPr>
            <w:tcW w:w="960" w:type="dxa"/>
            <w:tcBorders>
              <w:top w:val="nil"/>
              <w:left w:val="nil"/>
              <w:bottom w:val="single" w:sz="4" w:space="0" w:color="auto"/>
              <w:right w:val="single" w:sz="4" w:space="0" w:color="auto"/>
            </w:tcBorders>
            <w:shd w:val="clear" w:color="000000" w:fill="FFFFFF"/>
            <w:vAlign w:val="bottom"/>
            <w:hideMark/>
          </w:tcPr>
          <w:p w14:paraId="2F4745FD"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2 531,64</w:t>
            </w:r>
          </w:p>
        </w:tc>
        <w:tc>
          <w:tcPr>
            <w:tcW w:w="960" w:type="dxa"/>
            <w:tcBorders>
              <w:top w:val="nil"/>
              <w:left w:val="nil"/>
              <w:bottom w:val="single" w:sz="4" w:space="0" w:color="auto"/>
              <w:right w:val="single" w:sz="4" w:space="0" w:color="auto"/>
            </w:tcBorders>
            <w:shd w:val="clear" w:color="000000" w:fill="FFFFFF"/>
            <w:vAlign w:val="bottom"/>
            <w:hideMark/>
          </w:tcPr>
          <w:p w14:paraId="5C54BBA6"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2 734,01</w:t>
            </w:r>
          </w:p>
        </w:tc>
        <w:tc>
          <w:tcPr>
            <w:tcW w:w="1121" w:type="dxa"/>
            <w:tcBorders>
              <w:top w:val="nil"/>
              <w:left w:val="nil"/>
              <w:bottom w:val="single" w:sz="4" w:space="0" w:color="auto"/>
              <w:right w:val="single" w:sz="4" w:space="0" w:color="auto"/>
            </w:tcBorders>
            <w:shd w:val="clear" w:color="000000" w:fill="FFFFFF"/>
            <w:vAlign w:val="bottom"/>
            <w:hideMark/>
          </w:tcPr>
          <w:p w14:paraId="39AFA6BF"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1 406,93</w:t>
            </w:r>
          </w:p>
        </w:tc>
        <w:tc>
          <w:tcPr>
            <w:tcW w:w="1060" w:type="dxa"/>
            <w:tcBorders>
              <w:top w:val="nil"/>
              <w:left w:val="nil"/>
              <w:bottom w:val="single" w:sz="4" w:space="0" w:color="auto"/>
              <w:right w:val="single" w:sz="4" w:space="0" w:color="auto"/>
            </w:tcBorders>
            <w:shd w:val="clear" w:color="auto" w:fill="auto"/>
            <w:vAlign w:val="bottom"/>
            <w:hideMark/>
          </w:tcPr>
          <w:p w14:paraId="229CC641"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864,10</w:t>
            </w:r>
          </w:p>
        </w:tc>
        <w:tc>
          <w:tcPr>
            <w:tcW w:w="1066" w:type="dxa"/>
            <w:tcBorders>
              <w:top w:val="nil"/>
              <w:left w:val="nil"/>
              <w:bottom w:val="single" w:sz="4" w:space="0" w:color="auto"/>
              <w:right w:val="single" w:sz="4" w:space="0" w:color="auto"/>
            </w:tcBorders>
            <w:shd w:val="clear" w:color="auto" w:fill="auto"/>
            <w:vAlign w:val="bottom"/>
            <w:hideMark/>
          </w:tcPr>
          <w:p w14:paraId="736E6F6C"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146,21</w:t>
            </w:r>
          </w:p>
        </w:tc>
      </w:tr>
      <w:tr w:rsidR="00E47AA9" w:rsidRPr="00E47AA9" w14:paraId="0538878F" w14:textId="77777777" w:rsidTr="00353702">
        <w:trPr>
          <w:trHeight w:val="300"/>
        </w:trPr>
        <w:tc>
          <w:tcPr>
            <w:tcW w:w="2835" w:type="dxa"/>
            <w:tcBorders>
              <w:top w:val="nil"/>
              <w:left w:val="single" w:sz="4" w:space="0" w:color="auto"/>
              <w:bottom w:val="single" w:sz="4" w:space="0" w:color="auto"/>
              <w:right w:val="single" w:sz="4" w:space="0" w:color="auto"/>
            </w:tcBorders>
            <w:shd w:val="clear" w:color="auto" w:fill="auto"/>
            <w:vAlign w:val="center"/>
            <w:hideMark/>
          </w:tcPr>
          <w:p w14:paraId="40D05D19" w14:textId="77777777" w:rsidR="00A441A6" w:rsidRPr="00E47AA9" w:rsidRDefault="00A441A6" w:rsidP="00353702">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Прочие неналоговые доходы</w:t>
            </w:r>
          </w:p>
        </w:tc>
        <w:tc>
          <w:tcPr>
            <w:tcW w:w="960" w:type="dxa"/>
            <w:tcBorders>
              <w:top w:val="nil"/>
              <w:left w:val="nil"/>
              <w:bottom w:val="single" w:sz="4" w:space="0" w:color="auto"/>
              <w:right w:val="single" w:sz="4" w:space="0" w:color="auto"/>
            </w:tcBorders>
            <w:shd w:val="clear" w:color="000000" w:fill="FFFFFF"/>
            <w:vAlign w:val="bottom"/>
            <w:hideMark/>
          </w:tcPr>
          <w:p w14:paraId="14905B55"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2,06</w:t>
            </w:r>
          </w:p>
        </w:tc>
        <w:tc>
          <w:tcPr>
            <w:tcW w:w="960" w:type="dxa"/>
            <w:tcBorders>
              <w:top w:val="nil"/>
              <w:left w:val="nil"/>
              <w:bottom w:val="single" w:sz="4" w:space="0" w:color="auto"/>
              <w:right w:val="single" w:sz="4" w:space="0" w:color="auto"/>
            </w:tcBorders>
            <w:shd w:val="clear" w:color="000000" w:fill="FFFFFF"/>
            <w:vAlign w:val="bottom"/>
            <w:hideMark/>
          </w:tcPr>
          <w:p w14:paraId="010C77CB"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0,28</w:t>
            </w:r>
          </w:p>
        </w:tc>
        <w:tc>
          <w:tcPr>
            <w:tcW w:w="960" w:type="dxa"/>
            <w:tcBorders>
              <w:top w:val="nil"/>
              <w:left w:val="nil"/>
              <w:bottom w:val="single" w:sz="4" w:space="0" w:color="auto"/>
              <w:right w:val="single" w:sz="4" w:space="0" w:color="auto"/>
            </w:tcBorders>
            <w:shd w:val="clear" w:color="000000" w:fill="FFFFFF"/>
            <w:vAlign w:val="bottom"/>
            <w:hideMark/>
          </w:tcPr>
          <w:p w14:paraId="565C44CB"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38,74</w:t>
            </w:r>
          </w:p>
        </w:tc>
        <w:tc>
          <w:tcPr>
            <w:tcW w:w="960" w:type="dxa"/>
            <w:tcBorders>
              <w:top w:val="nil"/>
              <w:left w:val="nil"/>
              <w:bottom w:val="single" w:sz="4" w:space="0" w:color="auto"/>
              <w:right w:val="single" w:sz="4" w:space="0" w:color="auto"/>
            </w:tcBorders>
            <w:shd w:val="clear" w:color="000000" w:fill="FFFFFF"/>
            <w:vAlign w:val="bottom"/>
            <w:hideMark/>
          </w:tcPr>
          <w:p w14:paraId="2CC7F35E"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39,17</w:t>
            </w:r>
          </w:p>
        </w:tc>
        <w:tc>
          <w:tcPr>
            <w:tcW w:w="1121" w:type="dxa"/>
            <w:tcBorders>
              <w:top w:val="nil"/>
              <w:left w:val="nil"/>
              <w:bottom w:val="single" w:sz="4" w:space="0" w:color="auto"/>
              <w:right w:val="single" w:sz="4" w:space="0" w:color="auto"/>
            </w:tcBorders>
            <w:shd w:val="clear" w:color="000000" w:fill="FFFFFF"/>
            <w:vAlign w:val="bottom"/>
            <w:hideMark/>
          </w:tcPr>
          <w:p w14:paraId="0DD0375E"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1060" w:type="dxa"/>
            <w:tcBorders>
              <w:top w:val="nil"/>
              <w:left w:val="nil"/>
              <w:bottom w:val="single" w:sz="4" w:space="0" w:color="auto"/>
              <w:right w:val="single" w:sz="4" w:space="0" w:color="auto"/>
            </w:tcBorders>
            <w:shd w:val="clear" w:color="auto" w:fill="auto"/>
            <w:vAlign w:val="bottom"/>
            <w:hideMark/>
          </w:tcPr>
          <w:p w14:paraId="07E8B8F0"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38,89</w:t>
            </w:r>
          </w:p>
        </w:tc>
        <w:tc>
          <w:tcPr>
            <w:tcW w:w="1066" w:type="dxa"/>
            <w:tcBorders>
              <w:top w:val="nil"/>
              <w:left w:val="nil"/>
              <w:bottom w:val="single" w:sz="4" w:space="0" w:color="auto"/>
              <w:right w:val="single" w:sz="4" w:space="0" w:color="auto"/>
            </w:tcBorders>
            <w:shd w:val="clear" w:color="auto" w:fill="auto"/>
            <w:vAlign w:val="bottom"/>
            <w:hideMark/>
          </w:tcPr>
          <w:p w14:paraId="060B93FA" w14:textId="77777777" w:rsidR="00A441A6" w:rsidRPr="00E47AA9" w:rsidRDefault="00A441A6"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13 989,29</w:t>
            </w:r>
          </w:p>
        </w:tc>
      </w:tr>
    </w:tbl>
    <w:p w14:paraId="64B53317"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val="x-none" w:eastAsia="x-none"/>
        </w:rPr>
      </w:pPr>
    </w:p>
    <w:p w14:paraId="1675F7C3"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x-none"/>
        </w:rPr>
      </w:pPr>
      <w:r w:rsidRPr="00E47AA9">
        <w:rPr>
          <w:rFonts w:ascii="Times New Roman" w:eastAsia="Times New Roman" w:hAnsi="Times New Roman" w:cs="Times New Roman"/>
          <w:sz w:val="28"/>
          <w:szCs w:val="28"/>
          <w:lang w:val="x-none" w:eastAsia="x-none"/>
        </w:rPr>
        <w:t>Исполнение неналоговых доходов в разрезе основных видов характеризуются следующими данными.</w:t>
      </w:r>
    </w:p>
    <w:p w14:paraId="46AEB7BA" w14:textId="77777777" w:rsidR="00A441A6" w:rsidRPr="00E47AA9" w:rsidRDefault="00A441A6" w:rsidP="00A441A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b/>
          <w:sz w:val="28"/>
          <w:szCs w:val="28"/>
          <w:lang w:eastAsia="ru-RU"/>
        </w:rPr>
        <w:t>Доходы от использования имущества, находящегося в государственной и муниципальной собственности,</w:t>
      </w:r>
      <w:r w:rsidRPr="00E47AA9">
        <w:rPr>
          <w:rFonts w:ascii="Times New Roman" w:eastAsia="Times New Roman" w:hAnsi="Times New Roman" w:cs="Times New Roman"/>
          <w:sz w:val="28"/>
          <w:szCs w:val="28"/>
          <w:lang w:eastAsia="ru-RU"/>
        </w:rPr>
        <w:t xml:space="preserve"> составили 3014,18 млн рублей, годовые бюджетные назначения исполнены на 100,24 % (3007,07 млн рублей). Сверх годового плана поступило 7,11 млн рублей. </w:t>
      </w:r>
      <w:r w:rsidRPr="00E47AA9">
        <w:rPr>
          <w:rFonts w:ascii="Times New Roman" w:eastAsia="Times New Roman" w:hAnsi="Times New Roman" w:cs="Times New Roman"/>
          <w:i/>
          <w:sz w:val="28"/>
          <w:szCs w:val="28"/>
          <w:lang w:eastAsia="ru-RU"/>
        </w:rPr>
        <w:t xml:space="preserve">Справочно: в первоначальной редакции Закона № 495-КЗ поступления от использования имущества, находящегося в государственной и муниципальной собственности, утверждены в сумме 936,03 млн рублей. В ходе исполнения краевого бюджета в 2024 году бюджетные назначения корректировались </w:t>
      </w:r>
      <w:r w:rsidRPr="00E47AA9">
        <w:rPr>
          <w:rFonts w:ascii="Times New Roman" w:eastAsia="Times New Roman" w:hAnsi="Times New Roman" w:cs="Times New Roman"/>
          <w:i/>
          <w:sz w:val="28"/>
          <w:szCs w:val="28"/>
          <w:lang w:eastAsia="ru-RU"/>
        </w:rPr>
        <w:br/>
        <w:t>3 раза в сторону увеличения на сумму 2071,04 млн рублей.</w:t>
      </w:r>
    </w:p>
    <w:p w14:paraId="37CB23C7" w14:textId="77777777" w:rsidR="00A441A6" w:rsidRPr="00E47AA9" w:rsidRDefault="00A441A6" w:rsidP="00A441A6">
      <w:pPr>
        <w:spacing w:after="0" w:line="240" w:lineRule="auto"/>
        <w:ind w:firstLine="709"/>
        <w:jc w:val="both"/>
        <w:rPr>
          <w:rFonts w:ascii="Times New Roman" w:eastAsia="Times New Roman" w:hAnsi="Times New Roman" w:cs="Times New Roman"/>
          <w:iCs/>
          <w:sz w:val="28"/>
          <w:szCs w:val="28"/>
          <w:lang w:eastAsia="ru-RU"/>
        </w:rPr>
      </w:pPr>
      <w:r w:rsidRPr="00E47AA9">
        <w:rPr>
          <w:rFonts w:ascii="Times New Roman" w:eastAsia="Times New Roman" w:hAnsi="Times New Roman" w:cs="Times New Roman"/>
          <w:iCs/>
          <w:sz w:val="28"/>
          <w:szCs w:val="28"/>
          <w:lang w:eastAsia="ru-RU"/>
        </w:rPr>
        <w:t>В состав доходов от использования государственного имущества входят следующие доходы</w:t>
      </w:r>
      <w:r w:rsidR="00C575ED" w:rsidRPr="00E47AA9">
        <w:rPr>
          <w:rFonts w:ascii="Times New Roman" w:eastAsia="Times New Roman" w:hAnsi="Times New Roman" w:cs="Times New Roman"/>
          <w:iCs/>
          <w:sz w:val="28"/>
          <w:szCs w:val="28"/>
          <w:lang w:eastAsia="ru-RU"/>
        </w:rPr>
        <w:t>.</w:t>
      </w:r>
    </w:p>
    <w:p w14:paraId="07284E88" w14:textId="77777777" w:rsidR="00A441A6" w:rsidRPr="00E47AA9" w:rsidRDefault="00A441A6" w:rsidP="00A441A6">
      <w:pPr>
        <w:spacing w:after="0" w:line="240" w:lineRule="auto"/>
        <w:ind w:firstLine="709"/>
        <w:jc w:val="both"/>
        <w:rPr>
          <w:rFonts w:ascii="Times New Roman" w:eastAsia="Times New Roman" w:hAnsi="Times New Roman" w:cs="Times New Roman"/>
          <w:iCs/>
          <w:sz w:val="28"/>
          <w:szCs w:val="28"/>
          <w:lang w:eastAsia="ru-RU"/>
        </w:rPr>
      </w:pPr>
      <w:r w:rsidRPr="00E47AA9">
        <w:rPr>
          <w:rFonts w:ascii="Times New Roman" w:eastAsia="Times New Roman" w:hAnsi="Times New Roman" w:cs="Times New Roman"/>
          <w:iCs/>
          <w:sz w:val="28"/>
          <w:szCs w:val="28"/>
          <w:u w:val="single"/>
          <w:lang w:eastAsia="ru-RU"/>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субъектам Российской Федерации,</w:t>
      </w:r>
      <w:r w:rsidRPr="00E47AA9">
        <w:rPr>
          <w:rFonts w:ascii="Times New Roman" w:eastAsia="Times New Roman" w:hAnsi="Times New Roman" w:cs="Times New Roman"/>
          <w:iCs/>
          <w:sz w:val="28"/>
          <w:szCs w:val="28"/>
          <w:lang w:eastAsia="ru-RU"/>
        </w:rPr>
        <w:t xml:space="preserve"> поступили в полном объеме в сумме 43,86 млн рублей </w:t>
      </w:r>
      <w:r w:rsidR="00C575ED" w:rsidRPr="00E47AA9">
        <w:rPr>
          <w:rFonts w:ascii="Times New Roman" w:eastAsia="Times New Roman" w:hAnsi="Times New Roman" w:cs="Times New Roman"/>
          <w:iCs/>
          <w:sz w:val="28"/>
          <w:szCs w:val="28"/>
          <w:lang w:eastAsia="ru-RU"/>
        </w:rPr>
        <w:t>–</w:t>
      </w:r>
      <w:r w:rsidRPr="00E47AA9">
        <w:rPr>
          <w:rFonts w:ascii="Times New Roman" w:eastAsia="Times New Roman" w:hAnsi="Times New Roman" w:cs="Times New Roman"/>
          <w:iCs/>
          <w:sz w:val="28"/>
          <w:szCs w:val="28"/>
          <w:lang w:eastAsia="ru-RU"/>
        </w:rPr>
        <w:t xml:space="preserve"> перечислены дивиденды по результатам 2023 года в соответствии с решением годового общего собрания акционеров ОА "Романовское" и </w:t>
      </w:r>
      <w:r w:rsidRPr="00E47AA9">
        <w:rPr>
          <w:rFonts w:ascii="Times New Roman" w:hAnsi="Times New Roman" w:cs="Times New Roman"/>
          <w:sz w:val="28"/>
          <w:szCs w:val="28"/>
        </w:rPr>
        <w:t>АО</w:t>
      </w:r>
      <w:r w:rsidRPr="00E47AA9">
        <w:rPr>
          <w:rFonts w:ascii="Times New Roman" w:eastAsia="Times New Roman" w:hAnsi="Times New Roman" w:cs="Times New Roman"/>
          <w:iCs/>
          <w:sz w:val="28"/>
          <w:szCs w:val="28"/>
          <w:lang w:eastAsia="ru-RU"/>
        </w:rPr>
        <w:t xml:space="preserve"> "Корпорация развития жилищного строительства". </w:t>
      </w:r>
    </w:p>
    <w:p w14:paraId="30596497"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u w:val="single"/>
          <w:lang w:eastAsia="ru-RU"/>
        </w:rPr>
        <w:t>Доходы от размещения средств бюджетов</w:t>
      </w:r>
      <w:r w:rsidRPr="00E47AA9">
        <w:rPr>
          <w:rFonts w:ascii="Times New Roman" w:eastAsia="Times New Roman" w:hAnsi="Times New Roman" w:cs="Times New Roman"/>
          <w:sz w:val="28"/>
          <w:szCs w:val="28"/>
          <w:lang w:eastAsia="ru-RU"/>
        </w:rPr>
        <w:t xml:space="preserve"> </w:t>
      </w:r>
      <w:r w:rsidR="00C575ED" w:rsidRPr="00E47AA9">
        <w:rPr>
          <w:rFonts w:ascii="Times New Roman" w:eastAsia="Times New Roman" w:hAnsi="Times New Roman" w:cs="Times New Roman"/>
          <w:sz w:val="28"/>
          <w:szCs w:val="28"/>
          <w:lang w:eastAsia="ru-RU"/>
        </w:rPr>
        <w:t>поступили в планируемом объеме –</w:t>
      </w:r>
      <w:r w:rsidRPr="00E47AA9">
        <w:rPr>
          <w:rFonts w:ascii="Times New Roman" w:eastAsia="Times New Roman" w:hAnsi="Times New Roman" w:cs="Times New Roman"/>
          <w:sz w:val="28"/>
          <w:szCs w:val="28"/>
          <w:lang w:eastAsia="ru-RU"/>
        </w:rPr>
        <w:t xml:space="preserve"> 2801,30 млн рублей. В отчетном финансовом году министерством финансов Приморского края (главный администратор доходов) бюджетные средства на депозитных счетах в кредитных организациях не размещались </w:t>
      </w:r>
      <w:r w:rsidRPr="00E47AA9">
        <w:rPr>
          <w:rFonts w:ascii="Times New Roman" w:eastAsia="Times New Roman" w:hAnsi="Times New Roman" w:cs="Times New Roman"/>
          <w:sz w:val="28"/>
          <w:szCs w:val="28"/>
          <w:lang w:eastAsia="ru-RU"/>
        </w:rPr>
        <w:lastRenderedPageBreak/>
        <w:t xml:space="preserve">(статья 236 Бюджетного кодекса Российской Федерации). Согласно </w:t>
      </w:r>
      <w:r w:rsidRPr="00E47AA9">
        <w:rPr>
          <w:rFonts w:ascii="Times New Roman" w:eastAsia="Times New Roman" w:hAnsi="Times New Roman" w:cs="Times New Roman"/>
          <w:sz w:val="28"/>
          <w:szCs w:val="28"/>
          <w:lang w:eastAsia="ru-RU"/>
        </w:rPr>
        <w:br/>
        <w:t>части 4 статьи 242.13 Бюджетного кодекса Российской Федерации средства, полученные от размещения временно свободных средств единого казначейского счета, зачисляются на соответствующие казначейские счета. Доходы от операций по управлению остатками средств на едином казначейском счете, поступившие в краевой бюджет в 2024 году, составили 2801,30 млн рублей.</w:t>
      </w:r>
    </w:p>
    <w:p w14:paraId="7074BCA2" w14:textId="6CB005B7" w:rsidR="00A441A6" w:rsidRPr="00E47AA9" w:rsidRDefault="00A441A6" w:rsidP="00A441A6">
      <w:pPr>
        <w:spacing w:after="0" w:line="240" w:lineRule="auto"/>
        <w:ind w:firstLine="709"/>
        <w:jc w:val="both"/>
        <w:rPr>
          <w:rFonts w:ascii="Times New Roman" w:eastAsia="Times New Roman" w:hAnsi="Times New Roman" w:cs="Times New Roman"/>
          <w:iCs/>
          <w:sz w:val="28"/>
          <w:szCs w:val="28"/>
          <w:lang w:eastAsia="ru-RU"/>
        </w:rPr>
      </w:pPr>
      <w:r w:rsidRPr="00E47AA9">
        <w:rPr>
          <w:rFonts w:ascii="Times New Roman" w:eastAsia="Times New Roman" w:hAnsi="Times New Roman" w:cs="Times New Roman"/>
          <w:iCs/>
          <w:sz w:val="28"/>
          <w:szCs w:val="28"/>
          <w:u w:val="single"/>
          <w:lang w:eastAsia="ru-RU"/>
        </w:rPr>
        <w:t>Проценты, полученные от предоставления бюджетных кредитов внутри страны</w:t>
      </w:r>
      <w:r w:rsidRPr="00E47AA9">
        <w:rPr>
          <w:rFonts w:ascii="Times New Roman" w:eastAsia="Times New Roman" w:hAnsi="Times New Roman" w:cs="Times New Roman"/>
          <w:iCs/>
          <w:sz w:val="28"/>
          <w:szCs w:val="28"/>
          <w:lang w:eastAsia="ru-RU"/>
        </w:rPr>
        <w:t xml:space="preserve">, составили 2,19 млн рублей, или 99,12 % (план </w:t>
      </w:r>
      <w:r w:rsidR="001D6C53" w:rsidRPr="00E47AA9">
        <w:rPr>
          <w:rFonts w:ascii="Times New Roman" w:eastAsia="Times New Roman" w:hAnsi="Times New Roman" w:cs="Times New Roman"/>
          <w:iCs/>
          <w:sz w:val="28"/>
          <w:szCs w:val="28"/>
          <w:lang w:eastAsia="ru-RU"/>
        </w:rPr>
        <w:t xml:space="preserve">– </w:t>
      </w:r>
      <w:r w:rsidRPr="00E47AA9">
        <w:rPr>
          <w:rFonts w:ascii="Times New Roman" w:eastAsia="Times New Roman" w:hAnsi="Times New Roman" w:cs="Times New Roman"/>
          <w:iCs/>
          <w:sz w:val="28"/>
          <w:szCs w:val="28"/>
          <w:lang w:eastAsia="ru-RU"/>
        </w:rPr>
        <w:t>2,20 млн рублей). По информации</w:t>
      </w:r>
      <w:r w:rsidRPr="00E47AA9">
        <w:rPr>
          <w:rFonts w:ascii="Times New Roman" w:hAnsi="Times New Roman" w:cs="Times New Roman"/>
        </w:rPr>
        <w:t xml:space="preserve"> </w:t>
      </w:r>
      <w:r w:rsidRPr="00E47AA9">
        <w:rPr>
          <w:rFonts w:ascii="Times New Roman" w:eastAsia="Times New Roman" w:hAnsi="Times New Roman" w:cs="Times New Roman"/>
          <w:iCs/>
          <w:sz w:val="28"/>
          <w:szCs w:val="28"/>
          <w:lang w:eastAsia="ru-RU"/>
        </w:rPr>
        <w:t>главного администратора – министерства финансов Приморского края,</w:t>
      </w:r>
      <w:r w:rsidRPr="00E47AA9">
        <w:rPr>
          <w:rFonts w:ascii="Times New Roman" w:hAnsi="Times New Roman" w:cs="Times New Roman"/>
        </w:rPr>
        <w:t xml:space="preserve"> </w:t>
      </w:r>
      <w:r w:rsidRPr="00E47AA9">
        <w:rPr>
          <w:rFonts w:ascii="Times New Roman" w:hAnsi="Times New Roman" w:cs="Times New Roman"/>
          <w:sz w:val="28"/>
          <w:szCs w:val="28"/>
        </w:rPr>
        <w:t>о</w:t>
      </w:r>
      <w:r w:rsidRPr="00E47AA9">
        <w:rPr>
          <w:rFonts w:ascii="Times New Roman" w:eastAsia="Times New Roman" w:hAnsi="Times New Roman" w:cs="Times New Roman"/>
          <w:iCs/>
          <w:sz w:val="28"/>
          <w:szCs w:val="28"/>
          <w:lang w:eastAsia="ru-RU"/>
        </w:rPr>
        <w:t>тклонение фактических поступлений от плановых назначений обусловлено погашением бюджетных кредитов муниципальными образованиями Приморского края раньше сроков, установленных соглашениями о предоставлении кредитов.</w:t>
      </w:r>
    </w:p>
    <w:p w14:paraId="49759381" w14:textId="79C6C227" w:rsidR="00A441A6" w:rsidRPr="00E47AA9" w:rsidRDefault="00A441A6" w:rsidP="00A441A6">
      <w:pPr>
        <w:spacing w:after="0" w:line="240" w:lineRule="auto"/>
        <w:ind w:firstLine="709"/>
        <w:jc w:val="both"/>
        <w:rPr>
          <w:rFonts w:ascii="Times New Roman" w:eastAsia="Times New Roman" w:hAnsi="Times New Roman" w:cs="Times New Roman"/>
          <w:iCs/>
          <w:sz w:val="28"/>
          <w:szCs w:val="28"/>
          <w:lang w:eastAsia="ru-RU"/>
        </w:rPr>
      </w:pPr>
      <w:r w:rsidRPr="00E47AA9">
        <w:rPr>
          <w:rFonts w:ascii="Times New Roman" w:eastAsia="Times New Roman" w:hAnsi="Times New Roman" w:cs="Times New Roman"/>
          <w:iCs/>
          <w:sz w:val="28"/>
          <w:szCs w:val="28"/>
          <w:u w:val="single"/>
          <w:lang w:eastAsia="ru-RU"/>
        </w:rPr>
        <w:t>Доходы, получаемые в виде арендной платы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r w:rsidRPr="00E47AA9">
        <w:rPr>
          <w:rFonts w:ascii="Times New Roman" w:eastAsia="Times New Roman" w:hAnsi="Times New Roman" w:cs="Times New Roman"/>
          <w:iCs/>
          <w:sz w:val="28"/>
          <w:szCs w:val="28"/>
          <w:lang w:eastAsia="ru-RU"/>
        </w:rPr>
        <w:t xml:space="preserve"> поступили в сумме 139,71 млн рублей, или 105,31 % (план </w:t>
      </w:r>
      <w:r w:rsidR="001D6C53" w:rsidRPr="00E47AA9">
        <w:rPr>
          <w:rFonts w:ascii="Times New Roman" w:eastAsia="Times New Roman" w:hAnsi="Times New Roman" w:cs="Times New Roman"/>
          <w:iCs/>
          <w:sz w:val="28"/>
          <w:szCs w:val="28"/>
          <w:lang w:eastAsia="ru-RU"/>
        </w:rPr>
        <w:t xml:space="preserve">– </w:t>
      </w:r>
      <w:r w:rsidRPr="00E47AA9">
        <w:rPr>
          <w:rFonts w:ascii="Times New Roman" w:eastAsia="Times New Roman" w:hAnsi="Times New Roman" w:cs="Times New Roman"/>
          <w:iCs/>
          <w:sz w:val="28"/>
          <w:szCs w:val="28"/>
          <w:lang w:eastAsia="ru-RU"/>
        </w:rPr>
        <w:t>132,66 млн рублей), в том числе:</w:t>
      </w:r>
    </w:p>
    <w:p w14:paraId="3EA8910F" w14:textId="5600F02F" w:rsidR="00A441A6" w:rsidRPr="00E47AA9" w:rsidRDefault="00A441A6" w:rsidP="00A441A6">
      <w:pPr>
        <w:spacing w:after="0" w:line="240" w:lineRule="auto"/>
        <w:ind w:firstLine="709"/>
        <w:jc w:val="both"/>
        <w:rPr>
          <w:rFonts w:ascii="Times New Roman" w:eastAsia="Times New Roman" w:hAnsi="Times New Roman" w:cs="Times New Roman"/>
          <w:iCs/>
          <w:sz w:val="28"/>
          <w:szCs w:val="28"/>
          <w:lang w:eastAsia="ru-RU"/>
        </w:rPr>
      </w:pPr>
      <w:r w:rsidRPr="00E47AA9">
        <w:rPr>
          <w:rFonts w:ascii="Times New Roman" w:eastAsia="Times New Roman" w:hAnsi="Times New Roman" w:cs="Times New Roman"/>
          <w:i/>
          <w:iCs/>
          <w:sz w:val="28"/>
          <w:szCs w:val="28"/>
          <w:lang w:eastAsia="ru-RU"/>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r w:rsidRPr="00E47AA9">
        <w:rPr>
          <w:rFonts w:ascii="Times New Roman" w:eastAsia="Times New Roman" w:hAnsi="Times New Roman" w:cs="Times New Roman"/>
          <w:iCs/>
          <w:sz w:val="28"/>
          <w:szCs w:val="28"/>
          <w:lang w:eastAsia="ru-RU"/>
        </w:rPr>
        <w:t xml:space="preserve"> поступили в сумме 127,58 млн рублей, или 105,44 % (план</w:t>
      </w:r>
      <w:r w:rsidR="001D6C53" w:rsidRPr="00E47AA9">
        <w:rPr>
          <w:rFonts w:ascii="Times New Roman" w:eastAsia="Times New Roman" w:hAnsi="Times New Roman" w:cs="Times New Roman"/>
          <w:iCs/>
          <w:sz w:val="28"/>
          <w:szCs w:val="28"/>
          <w:lang w:eastAsia="ru-RU"/>
        </w:rPr>
        <w:t> –</w:t>
      </w:r>
      <w:r w:rsidRPr="00E47AA9">
        <w:rPr>
          <w:rFonts w:ascii="Times New Roman" w:eastAsia="Times New Roman" w:hAnsi="Times New Roman" w:cs="Times New Roman"/>
          <w:iCs/>
          <w:sz w:val="28"/>
          <w:szCs w:val="28"/>
          <w:lang w:eastAsia="ru-RU"/>
        </w:rPr>
        <w:t xml:space="preserve"> 121,00 млн рублей). Согласно сведениям главного администратора доходов министерства имущественных и земельных отношений Приморского края, перевыполнение связано с проводимой </w:t>
      </w:r>
      <w:proofErr w:type="spellStart"/>
      <w:r w:rsidRPr="00E47AA9">
        <w:rPr>
          <w:rFonts w:ascii="Times New Roman" w:eastAsia="Times New Roman" w:hAnsi="Times New Roman" w:cs="Times New Roman"/>
          <w:iCs/>
          <w:sz w:val="28"/>
          <w:szCs w:val="28"/>
          <w:lang w:eastAsia="ru-RU"/>
        </w:rPr>
        <w:t>претензионно</w:t>
      </w:r>
      <w:proofErr w:type="spellEnd"/>
      <w:r w:rsidRPr="00E47AA9">
        <w:rPr>
          <w:rFonts w:ascii="Times New Roman" w:eastAsia="Times New Roman" w:hAnsi="Times New Roman" w:cs="Times New Roman"/>
          <w:iCs/>
          <w:sz w:val="28"/>
          <w:szCs w:val="28"/>
          <w:lang w:eastAsia="ru-RU"/>
        </w:rPr>
        <w:t xml:space="preserve">-исковой работой, поступлением денежных средств за неосновательное обогащение, досрочным внесением платы по договорам аренды земельных участков за январь </w:t>
      </w:r>
      <w:r w:rsidRPr="00E47AA9">
        <w:rPr>
          <w:rFonts w:ascii="Times New Roman" w:eastAsia="Times New Roman" w:hAnsi="Times New Roman" w:cs="Times New Roman"/>
          <w:iCs/>
          <w:sz w:val="28"/>
          <w:szCs w:val="28"/>
          <w:lang w:eastAsia="ru-RU"/>
        </w:rPr>
        <w:br/>
        <w:t>2025 года, а также внесением платы по договорам аренды земельных участков, заключенным в декабре 2024 года;</w:t>
      </w:r>
    </w:p>
    <w:p w14:paraId="63D1B414" w14:textId="3089A003" w:rsidR="00A441A6" w:rsidRPr="00E47AA9" w:rsidRDefault="00A441A6" w:rsidP="00A441A6">
      <w:pPr>
        <w:spacing w:after="0" w:line="240" w:lineRule="auto"/>
        <w:ind w:firstLine="709"/>
        <w:jc w:val="both"/>
        <w:rPr>
          <w:rFonts w:ascii="Times New Roman" w:eastAsia="Times New Roman" w:hAnsi="Times New Roman" w:cs="Times New Roman"/>
          <w:iCs/>
          <w:sz w:val="28"/>
          <w:szCs w:val="28"/>
          <w:lang w:eastAsia="ru-RU"/>
        </w:rPr>
      </w:pPr>
      <w:r w:rsidRPr="00E47AA9">
        <w:rPr>
          <w:rFonts w:ascii="Times New Roman" w:eastAsia="Times New Roman" w:hAnsi="Times New Roman" w:cs="Times New Roman"/>
          <w:i/>
          <w:iCs/>
          <w:sz w:val="28"/>
          <w:szCs w:val="28"/>
          <w:lang w:eastAsia="ru-RU"/>
        </w:rPr>
        <w:t xml:space="preserve">доходы от сдачи в аренду имущества, находящегося в оперативном управлении органов государственной власти, органов местного самоуправления, органов управления государственными внебюджетными фондами и созданных ими учреждений (за исключением имущества бюджетных и автономных учреждений), </w:t>
      </w:r>
      <w:r w:rsidRPr="00E47AA9">
        <w:rPr>
          <w:rFonts w:ascii="Times New Roman" w:eastAsia="Times New Roman" w:hAnsi="Times New Roman" w:cs="Times New Roman"/>
          <w:iCs/>
          <w:sz w:val="28"/>
          <w:szCs w:val="28"/>
          <w:lang w:eastAsia="ru-RU"/>
        </w:rPr>
        <w:t>составили 5,65 млн рублей, или 100,69 %, что выше плановых назначений на 0,04 млн рублей (план</w:t>
      </w:r>
      <w:r w:rsidR="001D6C53" w:rsidRPr="00E47AA9">
        <w:rPr>
          <w:rFonts w:ascii="Times New Roman" w:eastAsia="Times New Roman" w:hAnsi="Times New Roman" w:cs="Times New Roman"/>
          <w:iCs/>
          <w:sz w:val="28"/>
          <w:szCs w:val="28"/>
          <w:lang w:eastAsia="ru-RU"/>
        </w:rPr>
        <w:t xml:space="preserve"> –</w:t>
      </w:r>
      <w:r w:rsidRPr="00E47AA9">
        <w:rPr>
          <w:rFonts w:ascii="Times New Roman" w:eastAsia="Times New Roman" w:hAnsi="Times New Roman" w:cs="Times New Roman"/>
          <w:iCs/>
          <w:sz w:val="28"/>
          <w:szCs w:val="28"/>
          <w:lang w:eastAsia="ru-RU"/>
        </w:rPr>
        <w:t xml:space="preserve"> 5,61 млн рублей). Поступление данных доходов в 2024 году администрировали 3 главных администратора доходов: министерство цифрового развития и связи Приморского края (поступило 0,23 млн рублей), министерство имущественных и земельных отношений Приморского края (0,13 млн рублей) и министерство культуры и архивного дела Приморского края (5,29 млн рублей);</w:t>
      </w:r>
    </w:p>
    <w:p w14:paraId="7EF655FA" w14:textId="77777777" w:rsidR="00A441A6" w:rsidRPr="00E47AA9" w:rsidRDefault="00A441A6" w:rsidP="00A441A6">
      <w:pPr>
        <w:spacing w:after="0" w:line="240" w:lineRule="auto"/>
        <w:ind w:firstLine="709"/>
        <w:jc w:val="both"/>
        <w:rPr>
          <w:rFonts w:ascii="Times New Roman" w:eastAsia="Times New Roman" w:hAnsi="Times New Roman" w:cs="Times New Roman"/>
          <w:iCs/>
          <w:strike/>
          <w:sz w:val="28"/>
          <w:szCs w:val="28"/>
          <w:lang w:eastAsia="ru-RU"/>
        </w:rPr>
      </w:pPr>
      <w:r w:rsidRPr="00E47AA9">
        <w:rPr>
          <w:rFonts w:ascii="Times New Roman" w:eastAsia="Times New Roman" w:hAnsi="Times New Roman" w:cs="Times New Roman"/>
          <w:i/>
          <w:iCs/>
          <w:sz w:val="28"/>
          <w:szCs w:val="28"/>
          <w:lang w:eastAsia="ru-RU"/>
        </w:rPr>
        <w:lastRenderedPageBreak/>
        <w:t>доходы от сдачи в аренду имущества, составляющего казну субъекта Российской Федерации (за исключением земельных участков),</w:t>
      </w:r>
      <w:r w:rsidRPr="00E47AA9">
        <w:rPr>
          <w:rFonts w:ascii="Times New Roman" w:eastAsia="Times New Roman" w:hAnsi="Times New Roman" w:cs="Times New Roman"/>
          <w:iCs/>
          <w:sz w:val="28"/>
          <w:szCs w:val="28"/>
          <w:lang w:eastAsia="ru-RU"/>
        </w:rPr>
        <w:t xml:space="preserve"> – 2,53 млн рублей (в полном объеме). По сведениям главного администратора доходов </w:t>
      </w:r>
      <w:r w:rsidR="00B6676B" w:rsidRPr="00E47AA9">
        <w:rPr>
          <w:rFonts w:ascii="Times New Roman" w:eastAsia="Times New Roman" w:hAnsi="Times New Roman" w:cs="Times New Roman"/>
          <w:iCs/>
          <w:sz w:val="28"/>
          <w:szCs w:val="28"/>
          <w:lang w:eastAsia="ru-RU"/>
        </w:rPr>
        <w:t>–</w:t>
      </w:r>
      <w:r w:rsidRPr="00E47AA9">
        <w:rPr>
          <w:rFonts w:ascii="Times New Roman" w:eastAsia="Times New Roman" w:hAnsi="Times New Roman" w:cs="Times New Roman"/>
          <w:iCs/>
          <w:sz w:val="28"/>
          <w:szCs w:val="28"/>
          <w:lang w:eastAsia="ru-RU"/>
        </w:rPr>
        <w:t xml:space="preserve"> министерства имущественных и земельных отношений Приморского края</w:t>
      </w:r>
      <w:r w:rsidR="00B6676B" w:rsidRPr="00E47AA9">
        <w:rPr>
          <w:rFonts w:ascii="Times New Roman" w:eastAsia="Times New Roman" w:hAnsi="Times New Roman" w:cs="Times New Roman"/>
          <w:iCs/>
          <w:sz w:val="28"/>
          <w:szCs w:val="28"/>
          <w:lang w:eastAsia="ru-RU"/>
        </w:rPr>
        <w:t>,</w:t>
      </w:r>
      <w:r w:rsidRPr="00E47AA9">
        <w:rPr>
          <w:rFonts w:ascii="Times New Roman" w:eastAsia="Times New Roman" w:hAnsi="Times New Roman" w:cs="Times New Roman"/>
          <w:iCs/>
          <w:sz w:val="28"/>
          <w:szCs w:val="28"/>
          <w:lang w:eastAsia="ru-RU"/>
        </w:rPr>
        <w:t xml:space="preserve"> в отчетном году поступила плата за фактическое использование имущества от ООО "Центр моды </w:t>
      </w:r>
      <w:proofErr w:type="spellStart"/>
      <w:r w:rsidRPr="00E47AA9">
        <w:rPr>
          <w:rFonts w:ascii="Times New Roman" w:eastAsia="Times New Roman" w:hAnsi="Times New Roman" w:cs="Times New Roman"/>
          <w:iCs/>
          <w:sz w:val="28"/>
          <w:szCs w:val="28"/>
          <w:lang w:eastAsia="ru-RU"/>
        </w:rPr>
        <w:t>Энигма</w:t>
      </w:r>
      <w:proofErr w:type="spellEnd"/>
      <w:r w:rsidRPr="00E47AA9">
        <w:rPr>
          <w:rFonts w:ascii="Times New Roman" w:eastAsia="Times New Roman" w:hAnsi="Times New Roman" w:cs="Times New Roman"/>
          <w:iCs/>
          <w:sz w:val="28"/>
          <w:szCs w:val="28"/>
          <w:lang w:eastAsia="ru-RU"/>
        </w:rPr>
        <w:t xml:space="preserve">", МГУ им. адмирала </w:t>
      </w:r>
      <w:proofErr w:type="spellStart"/>
      <w:r w:rsidRPr="00E47AA9">
        <w:rPr>
          <w:rFonts w:ascii="Times New Roman" w:eastAsia="Times New Roman" w:hAnsi="Times New Roman" w:cs="Times New Roman"/>
          <w:iCs/>
          <w:sz w:val="28"/>
          <w:szCs w:val="28"/>
          <w:lang w:eastAsia="ru-RU"/>
        </w:rPr>
        <w:t>Невельского</w:t>
      </w:r>
      <w:proofErr w:type="spellEnd"/>
      <w:r w:rsidRPr="00E47AA9">
        <w:rPr>
          <w:rFonts w:ascii="Times New Roman" w:eastAsia="Times New Roman" w:hAnsi="Times New Roman" w:cs="Times New Roman"/>
          <w:iCs/>
          <w:sz w:val="28"/>
          <w:szCs w:val="28"/>
          <w:lang w:eastAsia="ru-RU"/>
        </w:rPr>
        <w:t>, ФГБОУ ВО "</w:t>
      </w:r>
      <w:proofErr w:type="spellStart"/>
      <w:r w:rsidRPr="00E47AA9">
        <w:rPr>
          <w:rFonts w:ascii="Times New Roman" w:eastAsia="Times New Roman" w:hAnsi="Times New Roman" w:cs="Times New Roman"/>
          <w:iCs/>
          <w:sz w:val="28"/>
          <w:szCs w:val="28"/>
          <w:lang w:eastAsia="ru-RU"/>
        </w:rPr>
        <w:t>Дальрыбвтуз</w:t>
      </w:r>
      <w:proofErr w:type="spellEnd"/>
      <w:r w:rsidRPr="00E47AA9">
        <w:rPr>
          <w:rFonts w:ascii="Times New Roman" w:eastAsia="Times New Roman" w:hAnsi="Times New Roman" w:cs="Times New Roman"/>
          <w:iCs/>
          <w:sz w:val="28"/>
          <w:szCs w:val="28"/>
          <w:lang w:eastAsia="ru-RU"/>
        </w:rPr>
        <w:t xml:space="preserve">", ПАО "ВымпелКом", ООО "ДПО", </w:t>
      </w:r>
      <w:r w:rsidRPr="00E47AA9">
        <w:rPr>
          <w:rFonts w:ascii="Times New Roman" w:eastAsia="Times New Roman" w:hAnsi="Times New Roman" w:cs="Times New Roman"/>
          <w:iCs/>
          <w:sz w:val="28"/>
          <w:szCs w:val="28"/>
          <w:lang w:eastAsia="ru-RU"/>
        </w:rPr>
        <w:br/>
        <w:t xml:space="preserve">ООО "Трио ДВ"; </w:t>
      </w:r>
    </w:p>
    <w:p w14:paraId="4B4D5B8B" w14:textId="7EBE00AA" w:rsidR="00A441A6" w:rsidRPr="00E47AA9" w:rsidRDefault="00A441A6" w:rsidP="00A441A6">
      <w:pPr>
        <w:spacing w:after="0" w:line="240" w:lineRule="auto"/>
        <w:ind w:firstLine="709"/>
        <w:jc w:val="both"/>
        <w:rPr>
          <w:rFonts w:ascii="Times New Roman" w:eastAsia="Times New Roman" w:hAnsi="Times New Roman" w:cs="Times New Roman"/>
          <w:iCs/>
          <w:sz w:val="28"/>
          <w:szCs w:val="28"/>
          <w:lang w:eastAsia="ru-RU"/>
        </w:rPr>
      </w:pPr>
      <w:r w:rsidRPr="00E47AA9">
        <w:rPr>
          <w:rFonts w:ascii="Times New Roman" w:eastAsia="Times New Roman" w:hAnsi="Times New Roman" w:cs="Times New Roman"/>
          <w:i/>
          <w:iCs/>
          <w:sz w:val="28"/>
          <w:szCs w:val="28"/>
          <w:lang w:eastAsia="ru-RU"/>
        </w:rPr>
        <w:t>плата от реализации соглашений об установлении сервитутов в отношении земельных участков в границах полос отвода автомобильных дорог общего пользования регионального или межмуниципального значения в целях строительства (реконструкции), капитального ремонта и эксплуатации объектов дорожного сервиса, прокладки, переноса, переустройства и эксплуатации инженерных коммуникаций, установки и эксплуатации рекламных конструкций</w:t>
      </w:r>
      <w:r w:rsidRPr="00E47AA9">
        <w:rPr>
          <w:rFonts w:ascii="Times New Roman" w:eastAsia="Times New Roman" w:hAnsi="Times New Roman" w:cs="Times New Roman"/>
          <w:iCs/>
          <w:sz w:val="28"/>
          <w:szCs w:val="28"/>
          <w:lang w:eastAsia="ru-RU"/>
        </w:rPr>
        <w:t xml:space="preserve"> – 3,95 млн рублей, или 112,29 % от плана (план </w:t>
      </w:r>
      <w:r w:rsidR="001D6C53" w:rsidRPr="00E47AA9">
        <w:rPr>
          <w:rFonts w:ascii="Times New Roman" w:eastAsia="Times New Roman" w:hAnsi="Times New Roman" w:cs="Times New Roman"/>
          <w:iCs/>
          <w:sz w:val="28"/>
          <w:szCs w:val="28"/>
          <w:lang w:eastAsia="ru-RU"/>
        </w:rPr>
        <w:t xml:space="preserve">– </w:t>
      </w:r>
      <w:r w:rsidRPr="00E47AA9">
        <w:rPr>
          <w:rFonts w:ascii="Times New Roman" w:eastAsia="Times New Roman" w:hAnsi="Times New Roman" w:cs="Times New Roman"/>
          <w:iCs/>
          <w:sz w:val="28"/>
          <w:szCs w:val="28"/>
          <w:lang w:eastAsia="ru-RU"/>
        </w:rPr>
        <w:t>3,51 млн рублей). По информации главного администратора доходов – министерства транспорта и дорожного хозяйства Приморского края, данные доходы поступают в соответствии с заключенными соглашениями об установлении сервитутов.</w:t>
      </w:r>
    </w:p>
    <w:p w14:paraId="71BDC9EC" w14:textId="77C29EF0" w:rsidR="00A441A6" w:rsidRPr="00E47AA9" w:rsidRDefault="00A441A6" w:rsidP="00A441A6">
      <w:pPr>
        <w:spacing w:after="0" w:line="240" w:lineRule="auto"/>
        <w:ind w:firstLine="709"/>
        <w:jc w:val="both"/>
        <w:rPr>
          <w:rFonts w:ascii="Times New Roman" w:eastAsia="Times New Roman" w:hAnsi="Times New Roman" w:cs="Times New Roman"/>
          <w:iCs/>
          <w:sz w:val="28"/>
          <w:szCs w:val="28"/>
          <w:lang w:eastAsia="ru-RU"/>
        </w:rPr>
      </w:pPr>
      <w:r w:rsidRPr="00E47AA9">
        <w:rPr>
          <w:rFonts w:ascii="Times New Roman" w:eastAsia="Times New Roman" w:hAnsi="Times New Roman" w:cs="Times New Roman"/>
          <w:iCs/>
          <w:sz w:val="28"/>
          <w:szCs w:val="28"/>
          <w:u w:val="single"/>
          <w:lang w:eastAsia="ru-RU"/>
        </w:rPr>
        <w:t>Плата по соглашениям об установлении сервитута в отношении земельных участков, находящихся в государственной или муниципальной собственности,</w:t>
      </w:r>
      <w:r w:rsidRPr="00E47AA9">
        <w:rPr>
          <w:rFonts w:ascii="Times New Roman" w:eastAsia="Times New Roman" w:hAnsi="Times New Roman" w:cs="Times New Roman"/>
          <w:iCs/>
          <w:sz w:val="28"/>
          <w:szCs w:val="28"/>
          <w:lang w:eastAsia="ru-RU"/>
        </w:rPr>
        <w:t xml:space="preserve"> составила 1,58 млн рублей, что на 0,06 млн рублей, или на 4,18 % выше плана (план </w:t>
      </w:r>
      <w:r w:rsidR="001D6C53" w:rsidRPr="00E47AA9">
        <w:rPr>
          <w:rFonts w:ascii="Times New Roman" w:eastAsia="Times New Roman" w:hAnsi="Times New Roman" w:cs="Times New Roman"/>
          <w:iCs/>
          <w:sz w:val="28"/>
          <w:szCs w:val="28"/>
          <w:lang w:eastAsia="ru-RU"/>
        </w:rPr>
        <w:t xml:space="preserve">– </w:t>
      </w:r>
      <w:r w:rsidRPr="00E47AA9">
        <w:rPr>
          <w:rFonts w:ascii="Times New Roman" w:eastAsia="Times New Roman" w:hAnsi="Times New Roman" w:cs="Times New Roman"/>
          <w:iCs/>
          <w:sz w:val="28"/>
          <w:szCs w:val="28"/>
          <w:lang w:eastAsia="ru-RU"/>
        </w:rPr>
        <w:t xml:space="preserve">1,52 млн рублей), в том числе: 0,57 млн рублей – плата по соглашениям об установлении сервитута в отношении земельных участков после разграничения государственной собственности на землю; 1,01 млн рублей – плата по соглашениям об установлении сервитута в отношении земельных участков, которые находятся в федеральной собственности, и осуществление полномочий по управлению и распоряжению которыми передано органам государственной власти субъектов Российской Федерации. </w:t>
      </w:r>
    </w:p>
    <w:p w14:paraId="18F84831" w14:textId="77777777" w:rsidR="00A441A6" w:rsidRPr="00E47AA9" w:rsidRDefault="00A441A6" w:rsidP="00A441A6">
      <w:pPr>
        <w:spacing w:after="0" w:line="240" w:lineRule="auto"/>
        <w:ind w:firstLine="709"/>
        <w:jc w:val="both"/>
        <w:rPr>
          <w:rFonts w:ascii="Times New Roman" w:eastAsia="Times New Roman" w:hAnsi="Times New Roman" w:cs="Times New Roman"/>
          <w:iCs/>
          <w:sz w:val="28"/>
          <w:szCs w:val="28"/>
          <w:lang w:eastAsia="ru-RU"/>
        </w:rPr>
      </w:pPr>
      <w:r w:rsidRPr="00E47AA9">
        <w:rPr>
          <w:rFonts w:ascii="Times New Roman" w:eastAsia="Times New Roman" w:hAnsi="Times New Roman" w:cs="Times New Roman"/>
          <w:iCs/>
          <w:sz w:val="28"/>
          <w:szCs w:val="28"/>
          <w:u w:val="single"/>
          <w:lang w:eastAsia="ru-RU"/>
        </w:rPr>
        <w:t>Плата за публичный сервитут, предусмотренная решением уполномоченного органа об установлении публичного сервитута в отношении земельных участков, находящихся в государственной или муниципальной собственности,</w:t>
      </w:r>
      <w:r w:rsidRPr="00E47AA9">
        <w:rPr>
          <w:rFonts w:ascii="Times New Roman" w:eastAsia="Times New Roman" w:hAnsi="Times New Roman" w:cs="Times New Roman"/>
          <w:iCs/>
          <w:sz w:val="28"/>
          <w:szCs w:val="28"/>
          <w:lang w:eastAsia="ru-RU"/>
        </w:rPr>
        <w:t xml:space="preserve"> поступила в полном объеме в размере 0,06 млн рублей (главный администратор доходов – министерство имущественных и земельных отношений Приморского края). </w:t>
      </w:r>
    </w:p>
    <w:p w14:paraId="07F6312F" w14:textId="77777777" w:rsidR="00A441A6" w:rsidRPr="00E47AA9" w:rsidRDefault="00A441A6" w:rsidP="00A441A6">
      <w:pPr>
        <w:spacing w:after="0" w:line="240" w:lineRule="auto"/>
        <w:ind w:firstLine="709"/>
        <w:jc w:val="both"/>
        <w:rPr>
          <w:rFonts w:ascii="Times New Roman" w:eastAsia="Calibri" w:hAnsi="Times New Roman" w:cs="Times New Roman"/>
          <w:iCs/>
          <w:sz w:val="28"/>
          <w:szCs w:val="28"/>
          <w:shd w:val="clear" w:color="auto" w:fill="FFFFFF"/>
        </w:rPr>
      </w:pPr>
      <w:r w:rsidRPr="00E47AA9">
        <w:rPr>
          <w:rFonts w:ascii="Times New Roman" w:eastAsia="Times New Roman" w:hAnsi="Times New Roman" w:cs="Times New Roman"/>
          <w:iCs/>
          <w:sz w:val="28"/>
          <w:szCs w:val="28"/>
          <w:u w:val="single"/>
          <w:lang w:eastAsia="ru-RU"/>
        </w:rPr>
        <w:t>Платежи от государственных и муниципальных унитарных предприятий</w:t>
      </w:r>
      <w:r w:rsidRPr="00E47AA9">
        <w:rPr>
          <w:rFonts w:ascii="Times New Roman" w:eastAsia="Times New Roman" w:hAnsi="Times New Roman" w:cs="Times New Roman"/>
          <w:iCs/>
          <w:sz w:val="28"/>
          <w:szCs w:val="28"/>
          <w:lang w:eastAsia="ru-RU"/>
        </w:rPr>
        <w:t xml:space="preserve"> в части доходов от перечисления части прибыли государственных и муниципальных унитарных предприятий, остающейся после уплаты налогов и обязательных платежей, поступили в полном объеме в сумме 25,10 млн рублей. По данным годовой бюджетной отчетности за 2024 год министерства имущественных и земельных отношений Приморского края,</w:t>
      </w:r>
      <w:r w:rsidRPr="00E47AA9">
        <w:rPr>
          <w:rFonts w:ascii="Times New Roman" w:eastAsia="Calibri" w:hAnsi="Times New Roman" w:cs="Times New Roman"/>
          <w:iCs/>
        </w:rPr>
        <w:t xml:space="preserve"> </w:t>
      </w:r>
      <w:r w:rsidRPr="00E47AA9">
        <w:rPr>
          <w:rFonts w:ascii="Times New Roman" w:eastAsia="Calibri" w:hAnsi="Times New Roman" w:cs="Times New Roman"/>
          <w:iCs/>
          <w:sz w:val="28"/>
          <w:szCs w:val="28"/>
          <w:shd w:val="clear" w:color="auto" w:fill="FFFFFF"/>
        </w:rPr>
        <w:t xml:space="preserve">КГУП "Примтеплоэнерго" перечислена часть чистой прибыли по итогам деятельности за 2023 год, а также часть чистой прибыли по итогам </w:t>
      </w:r>
      <w:r w:rsidRPr="00E47AA9">
        <w:rPr>
          <w:rFonts w:ascii="Times New Roman" w:eastAsia="Calibri" w:hAnsi="Times New Roman" w:cs="Times New Roman"/>
          <w:iCs/>
          <w:sz w:val="28"/>
          <w:szCs w:val="28"/>
          <w:shd w:val="clear" w:color="auto" w:fill="FFFFFF"/>
        </w:rPr>
        <w:lastRenderedPageBreak/>
        <w:t xml:space="preserve">деятельности за 2017 год на основании распоряжения администрации Приморского края от 19.11.2018 № 411-ра, подлежащих перечислению </w:t>
      </w:r>
      <w:r w:rsidRPr="00E47AA9">
        <w:rPr>
          <w:rFonts w:ascii="Times New Roman" w:eastAsia="Calibri" w:hAnsi="Times New Roman" w:cs="Times New Roman"/>
          <w:iCs/>
          <w:sz w:val="28"/>
          <w:szCs w:val="28"/>
          <w:shd w:val="clear" w:color="auto" w:fill="FFFFFF"/>
        </w:rPr>
        <w:br/>
        <w:t xml:space="preserve">в 2024 году. </w:t>
      </w:r>
    </w:p>
    <w:p w14:paraId="0AC98017" w14:textId="77777777" w:rsidR="00A441A6" w:rsidRPr="00E47AA9" w:rsidRDefault="00A441A6" w:rsidP="00A441A6">
      <w:pPr>
        <w:spacing w:after="0" w:line="240" w:lineRule="auto"/>
        <w:ind w:firstLine="709"/>
        <w:jc w:val="both"/>
        <w:rPr>
          <w:rFonts w:ascii="Times New Roman" w:eastAsia="Times New Roman" w:hAnsi="Times New Roman" w:cs="Times New Roman"/>
          <w:iCs/>
          <w:sz w:val="28"/>
          <w:szCs w:val="28"/>
          <w:lang w:eastAsia="ru-RU"/>
        </w:rPr>
      </w:pPr>
      <w:r w:rsidRPr="00E47AA9">
        <w:rPr>
          <w:rFonts w:ascii="Times New Roman" w:eastAsia="Times New Roman" w:hAnsi="Times New Roman" w:cs="Times New Roman"/>
          <w:iCs/>
          <w:sz w:val="28"/>
          <w:szCs w:val="28"/>
          <w:u w:val="single"/>
          <w:lang w:eastAsia="ru-RU"/>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r w:rsidRPr="00E47AA9">
        <w:rPr>
          <w:rFonts w:ascii="Times New Roman" w:eastAsia="Times New Roman" w:hAnsi="Times New Roman" w:cs="Times New Roman"/>
          <w:iCs/>
          <w:sz w:val="28"/>
          <w:szCs w:val="28"/>
          <w:lang w:eastAsia="ru-RU"/>
        </w:rPr>
        <w:t xml:space="preserve"> поступили в сумме 0,38 млн рублей, что выше плана на </w:t>
      </w:r>
      <w:r w:rsidRPr="00E47AA9">
        <w:rPr>
          <w:rFonts w:ascii="Times New Roman" w:eastAsia="Times New Roman" w:hAnsi="Times New Roman" w:cs="Times New Roman"/>
          <w:iCs/>
          <w:sz w:val="28"/>
          <w:szCs w:val="28"/>
          <w:lang w:eastAsia="ru-RU"/>
        </w:rPr>
        <w:br/>
        <w:t xml:space="preserve">0,02 млн рублей, или на 4,01 % (план – 0,36 млн рублей).По информации министерства транспорта и дорожного хозяйства Приморского края, доходы в сумме 0,26 млн рублей поступили в соответствии с графиком перечислений по концессионному соглашению от 01.02.2021 № 49/21, заключенному с </w:t>
      </w:r>
      <w:r w:rsidRPr="00E47AA9">
        <w:rPr>
          <w:rFonts w:ascii="Times New Roman" w:eastAsia="Times New Roman" w:hAnsi="Times New Roman" w:cs="Times New Roman"/>
          <w:iCs/>
          <w:sz w:val="28"/>
          <w:szCs w:val="28"/>
          <w:lang w:eastAsia="ru-RU"/>
        </w:rPr>
        <w:br/>
        <w:t>АО "Многофункциональный гостиничный комплекс "Золотой Рог" в отношении гидротехнического сооружения "Причал № 36".</w:t>
      </w:r>
    </w:p>
    <w:p w14:paraId="6F43A5AE" w14:textId="77777777" w:rsidR="00A441A6" w:rsidRPr="00E47AA9" w:rsidRDefault="00A441A6" w:rsidP="00A441A6">
      <w:pPr>
        <w:spacing w:after="0" w:line="240" w:lineRule="auto"/>
        <w:ind w:firstLine="709"/>
        <w:jc w:val="both"/>
        <w:rPr>
          <w:rFonts w:ascii="Times New Roman" w:eastAsia="Times New Roman" w:hAnsi="Times New Roman" w:cs="Times New Roman"/>
          <w:iCs/>
          <w:sz w:val="28"/>
          <w:szCs w:val="28"/>
          <w:lang w:eastAsia="ru-RU"/>
        </w:rPr>
      </w:pPr>
      <w:r w:rsidRPr="00E47AA9">
        <w:rPr>
          <w:rFonts w:ascii="Times New Roman" w:eastAsia="Times New Roman" w:hAnsi="Times New Roman" w:cs="Times New Roman"/>
          <w:iCs/>
          <w:sz w:val="28"/>
          <w:szCs w:val="28"/>
          <w:lang w:eastAsia="ru-RU"/>
        </w:rPr>
        <w:t xml:space="preserve">По сравнению с 2023 годом (2640,34 млн рублей) поступления доходов от использования имущества, находящегося в государственной и муниципальной собственности, в 2024 году увеличились на 373,84 млн рублей, или на 14,16 %. </w:t>
      </w:r>
    </w:p>
    <w:p w14:paraId="1137EE50" w14:textId="77777777" w:rsidR="00A441A6" w:rsidRPr="00E47AA9" w:rsidRDefault="00A441A6" w:rsidP="00A441A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b/>
          <w:sz w:val="28"/>
          <w:szCs w:val="28"/>
          <w:lang w:eastAsia="ru-RU"/>
        </w:rPr>
        <w:t xml:space="preserve">Платежи при пользовании природными ресурсами </w:t>
      </w:r>
      <w:r w:rsidRPr="00E47AA9">
        <w:rPr>
          <w:rFonts w:ascii="Times New Roman" w:eastAsia="Times New Roman" w:hAnsi="Times New Roman" w:cs="Times New Roman"/>
          <w:sz w:val="28"/>
          <w:szCs w:val="28"/>
          <w:lang w:eastAsia="ru-RU"/>
        </w:rPr>
        <w:t xml:space="preserve">поступили в объеме 929,07 млн рублей, что составляет 103,30 % годовых бюджетных назначений (899,36 млн рублей). В 2024 году по сравнению с предыдущим годом (600,61 млн рублей) поступления увеличились на 328,46 млн рублей, или на 54,69 %. </w:t>
      </w:r>
      <w:r w:rsidRPr="00E47AA9">
        <w:rPr>
          <w:rFonts w:ascii="Times New Roman" w:eastAsia="Times New Roman" w:hAnsi="Times New Roman" w:cs="Times New Roman"/>
          <w:i/>
          <w:sz w:val="28"/>
          <w:szCs w:val="28"/>
          <w:lang w:eastAsia="ru-RU"/>
        </w:rPr>
        <w:t xml:space="preserve">Справочно: процент исполнения поступлений по платежам к первоначальной редакции закона о краевом бюджете (457,80 млн рублей) составил 202,94 %. В ходе исполнения краевого бюджета в 2024 году бюджетные назначения корректировались 3 раза в сторону увеличения на 441,56 млн рублей, или на 196,45 %. </w:t>
      </w:r>
    </w:p>
    <w:p w14:paraId="29BE2E55" w14:textId="77777777" w:rsidR="00A441A6" w:rsidRPr="00E47AA9" w:rsidRDefault="00A441A6" w:rsidP="00A441A6">
      <w:pPr>
        <w:autoSpaceDE w:val="0"/>
        <w:autoSpaceDN w:val="0"/>
        <w:adjustRightInd w:val="0"/>
        <w:spacing w:after="0" w:line="240" w:lineRule="auto"/>
        <w:ind w:firstLine="708"/>
        <w:jc w:val="both"/>
        <w:rPr>
          <w:rFonts w:ascii="Times New Roman" w:eastAsia="Calibri" w:hAnsi="Times New Roman" w:cs="Times New Roman"/>
          <w:sz w:val="28"/>
          <w:szCs w:val="28"/>
        </w:rPr>
      </w:pPr>
      <w:r w:rsidRPr="00E47AA9">
        <w:rPr>
          <w:rFonts w:ascii="Times New Roman" w:eastAsia="Times New Roman" w:hAnsi="Times New Roman" w:cs="Times New Roman"/>
          <w:i/>
          <w:sz w:val="28"/>
          <w:szCs w:val="28"/>
          <w:lang w:eastAsia="ru-RU"/>
        </w:rPr>
        <w:t>Плата за негативное воздействие на окружающую среду</w:t>
      </w:r>
      <w:r w:rsidRPr="00E47AA9">
        <w:rPr>
          <w:rFonts w:ascii="Times New Roman" w:eastAsia="Times New Roman" w:hAnsi="Times New Roman" w:cs="Times New Roman"/>
          <w:sz w:val="28"/>
          <w:szCs w:val="28"/>
          <w:lang w:eastAsia="ru-RU"/>
        </w:rPr>
        <w:t xml:space="preserve"> поступила в сумме 111,66 млн рублей, или 136,35 % годовых бюджетных назначений (81,89 млн рублей). </w:t>
      </w:r>
    </w:p>
    <w:p w14:paraId="0004405C" w14:textId="77777777" w:rsidR="00A441A6" w:rsidRPr="00E47AA9" w:rsidRDefault="00A441A6" w:rsidP="00A441A6">
      <w:pPr>
        <w:widowControl w:val="0"/>
        <w:autoSpaceDE w:val="0"/>
        <w:autoSpaceDN w:val="0"/>
        <w:adjustRightInd w:val="0"/>
        <w:spacing w:after="0" w:line="240" w:lineRule="auto"/>
        <w:ind w:right="85"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Платежи при пользовании недрами</w:t>
      </w:r>
      <w:r w:rsidRPr="00E47AA9">
        <w:rPr>
          <w:rFonts w:ascii="Times New Roman" w:eastAsia="Times New Roman" w:hAnsi="Times New Roman" w:cs="Times New Roman"/>
          <w:sz w:val="28"/>
          <w:szCs w:val="28"/>
          <w:lang w:eastAsia="ru-RU"/>
        </w:rPr>
        <w:t xml:space="preserve"> составили 131,13 млн рублей, или 102,53 % от плана (127,90 млн рублей). </w:t>
      </w:r>
    </w:p>
    <w:p w14:paraId="3E25B5DB"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Плата за использование лесов</w:t>
      </w:r>
      <w:r w:rsidRPr="00E47AA9">
        <w:rPr>
          <w:rFonts w:ascii="Times New Roman" w:eastAsia="Times New Roman" w:hAnsi="Times New Roman" w:cs="Times New Roman"/>
          <w:sz w:val="28"/>
          <w:szCs w:val="28"/>
          <w:lang w:eastAsia="ru-RU"/>
        </w:rPr>
        <w:t xml:space="preserve"> поступила в объеме 686,28 млн рублей, или 99,52 %, к годовому плану (689,57 млн рублей), в том числе:</w:t>
      </w:r>
    </w:p>
    <w:p w14:paraId="47BE6162"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плата за использование лесов, расположенных на землях лесного фонда, в части, превышающей минимальный размер платы по договору купли-продажи лесных насаждений, – 276,71 млн рублей, что на 0,35 млн рублей, или на 0,13 %, выше плана (276,36 млн рублей). Главный администратор доходов</w:t>
      </w:r>
      <w:r w:rsidR="009E3EDB"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министерство лесного хозяйства, охраны окружающей среды, животного мира и природных ресурсов Приморского края;</w:t>
      </w:r>
    </w:p>
    <w:p w14:paraId="6DAAD799"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плата за использование лесов, расположенных на землях лесного фонда, в части, превышающей минимальный размер арендной платы, – 406,46 млн рублей, или 99,11 % к плану (410,12 млн рублей). По сведениям министерства лесного хозяйства, охраны окружающей среды, животного мира </w:t>
      </w:r>
      <w:r w:rsidRPr="00E47AA9">
        <w:rPr>
          <w:rFonts w:ascii="Times New Roman" w:eastAsia="Times New Roman" w:hAnsi="Times New Roman" w:cs="Times New Roman"/>
          <w:sz w:val="28"/>
          <w:szCs w:val="28"/>
          <w:lang w:eastAsia="ru-RU"/>
        </w:rPr>
        <w:lastRenderedPageBreak/>
        <w:t>и природных ресурсов Приморского края, отклонение от плановых показателей связано с тем, что арендатор не погасил задолженность до 31.12.2024 в связи с отсутствием средств (оплата произведена 09.01.2025);</w:t>
      </w:r>
    </w:p>
    <w:p w14:paraId="4E1DF11B" w14:textId="79E9913C"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плата за использование лесов, расположенных на землях лесного фонда, в части платы по договору купли-продажи лесных насаждений для собственных нужд поступила в объеме 0,09 млн рублей, или 133,23 % (план</w:t>
      </w:r>
      <w:r w:rsidR="001D6C53" w:rsidRPr="00E47AA9">
        <w:rPr>
          <w:rFonts w:ascii="Times New Roman" w:eastAsia="Times New Roman" w:hAnsi="Times New Roman" w:cs="Times New Roman"/>
          <w:sz w:val="28"/>
          <w:szCs w:val="28"/>
          <w:lang w:eastAsia="ru-RU"/>
        </w:rPr>
        <w:t xml:space="preserve"> </w:t>
      </w:r>
      <w:proofErr w:type="gramStart"/>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 0</w:t>
      </w:r>
      <w:proofErr w:type="gramEnd"/>
      <w:r w:rsidRPr="00E47AA9">
        <w:rPr>
          <w:rFonts w:ascii="Times New Roman" w:eastAsia="Times New Roman" w:hAnsi="Times New Roman" w:cs="Times New Roman"/>
          <w:sz w:val="28"/>
          <w:szCs w:val="28"/>
          <w:lang w:eastAsia="ru-RU"/>
        </w:rPr>
        <w:t>,07 млн рублей). По информации министерства лесного хозяйства, охраны окружающей среды, животного мира и природных ресурсов Приморского края, заготовка древесины для собственных нужд осуществляется на основании договоров купли-продажи лесных насаждений. Заключение договоров носит заявительный характер;</w:t>
      </w:r>
    </w:p>
    <w:p w14:paraId="6DB781A1"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плата за использование лесов, расположенных на землях лесного фонда, в части, превышающей минимальный размер арендной платы, при реализации приоритетных инвестиционных проектов в целях развития лесного комплекса поступила в сумме 3,02 млн рублей (в плановом объеме). </w:t>
      </w:r>
    </w:p>
    <w:p w14:paraId="33F5021D"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Доходы от оказания платных услуг и компенсации затрат государства</w:t>
      </w:r>
      <w:r w:rsidRPr="00E47AA9">
        <w:rPr>
          <w:rFonts w:ascii="Times New Roman" w:eastAsia="Times New Roman" w:hAnsi="Times New Roman" w:cs="Times New Roman"/>
          <w:sz w:val="28"/>
          <w:szCs w:val="28"/>
          <w:lang w:eastAsia="ru-RU"/>
        </w:rPr>
        <w:t xml:space="preserve"> составили 955,91 млн рублей, что на 398,05 млн рублей, или на 71,35 % выше плана (557,86 млн рублей). В отчетном году по сравнению с предыдущим годом (554,67 млн рублей) поступления по доходам от оказания платных услуг и компенсации затрат государства увеличились на 401,24 млн рублей, или на 72,34%.</w:t>
      </w:r>
    </w:p>
    <w:p w14:paraId="595ED97E"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Доходы от оказания платных услуг</w:t>
      </w:r>
      <w:r w:rsidRPr="00E47AA9">
        <w:rPr>
          <w:rFonts w:ascii="Times New Roman" w:eastAsia="Times New Roman" w:hAnsi="Times New Roman" w:cs="Times New Roman"/>
          <w:sz w:val="28"/>
          <w:szCs w:val="28"/>
          <w:lang w:eastAsia="ru-RU"/>
        </w:rPr>
        <w:t xml:space="preserve"> поступили в объеме 22,10 млн рублей, что составляет 113,77 % годовых бюджетных назначений (19,43 млн рублей).</w:t>
      </w:r>
    </w:p>
    <w:p w14:paraId="26CA9124" w14:textId="5870B70E" w:rsidR="00A441A6" w:rsidRPr="00E47AA9" w:rsidRDefault="00A441A6" w:rsidP="00A441A6">
      <w:pPr>
        <w:spacing w:after="0" w:line="240" w:lineRule="atLeast"/>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Основную долю поступлений (50,45 %) составили доходы за услуги предоставления копий технических паспортов, оценочной и иной учетно-технической документации об объектах государственного технического учета и технической инвентаризации и содержащихся в них сведений, хранившихся по состоянию на 01.01.2013 в органах и организациях по государственному техническому учету и (или) технической инвентаризации, расположенных на территории Приморского края (главный администратор доходов  министерство имущественных и земельных отношений Приморского края). Данные доходы поступили в объеме 11,15 млн рублей, или 100,47 % (план</w:t>
      </w:r>
      <w:r w:rsidR="00AB3977"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 11,10 млн рублей). </w:t>
      </w:r>
    </w:p>
    <w:p w14:paraId="442EC7CD" w14:textId="77777777" w:rsidR="00A441A6" w:rsidRPr="00E47AA9" w:rsidRDefault="00A441A6" w:rsidP="00A441A6">
      <w:pPr>
        <w:spacing w:after="0" w:line="240" w:lineRule="atLeast"/>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i/>
          <w:sz w:val="28"/>
          <w:szCs w:val="28"/>
          <w:lang w:eastAsia="ru-RU"/>
        </w:rPr>
        <w:t>Справочно: процент исполнения поступлений доходов от оказания платных услуг к первоначальной редакции закона о краевом бюджете (21,14 млн рублей) составил 104,54 %. В ходе исполнения краевого бюджета в 2024 году произведены разнонаправленные корректировки 2 раза. В целом план уменьшен на 1,71 млн рублей.</w:t>
      </w:r>
    </w:p>
    <w:p w14:paraId="51B3E661" w14:textId="574798BA" w:rsidR="00A441A6" w:rsidRPr="00E47AA9" w:rsidRDefault="00A441A6" w:rsidP="00A441A6">
      <w:pPr>
        <w:spacing w:after="0" w:line="240" w:lineRule="atLeast"/>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Доходы от компенсации затрат государства</w:t>
      </w:r>
      <w:r w:rsidRPr="00E47AA9">
        <w:rPr>
          <w:rFonts w:ascii="Times New Roman" w:eastAsia="Times New Roman" w:hAnsi="Times New Roman" w:cs="Times New Roman"/>
          <w:sz w:val="28"/>
          <w:szCs w:val="28"/>
          <w:lang w:eastAsia="ru-RU"/>
        </w:rPr>
        <w:t xml:space="preserve"> составили 933,80 млн рублей и превысили годовой план на 395,37 млн рублей (план</w:t>
      </w:r>
      <w:r w:rsidR="00AB3977"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 538,43 млн рублей), что составило 173,43 %. </w:t>
      </w:r>
    </w:p>
    <w:p w14:paraId="7D99E815" w14:textId="77777777" w:rsidR="00A441A6" w:rsidRPr="00E47AA9" w:rsidRDefault="00A441A6" w:rsidP="00A441A6">
      <w:pPr>
        <w:spacing w:after="0" w:line="240" w:lineRule="atLeast"/>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Согласно </w:t>
      </w:r>
      <w:proofErr w:type="gramStart"/>
      <w:r w:rsidRPr="00E47AA9">
        <w:rPr>
          <w:rFonts w:ascii="Times New Roman" w:eastAsia="Times New Roman" w:hAnsi="Times New Roman" w:cs="Times New Roman"/>
          <w:sz w:val="28"/>
          <w:szCs w:val="28"/>
          <w:lang w:eastAsia="ru-RU"/>
        </w:rPr>
        <w:t>отчету</w:t>
      </w:r>
      <w:proofErr w:type="gramEnd"/>
      <w:r w:rsidRPr="00E47AA9">
        <w:rPr>
          <w:rFonts w:ascii="Times New Roman" w:eastAsia="Times New Roman" w:hAnsi="Times New Roman" w:cs="Times New Roman"/>
          <w:sz w:val="28"/>
          <w:szCs w:val="28"/>
          <w:lang w:eastAsia="ru-RU"/>
        </w:rPr>
        <w:t xml:space="preserve"> доходы от компенсации затрат государства зачислены от 29 главных администраторов доходов краевого бюджета.</w:t>
      </w:r>
    </w:p>
    <w:p w14:paraId="14696D76" w14:textId="77777777" w:rsidR="00A441A6" w:rsidRPr="00E47AA9" w:rsidRDefault="00A441A6" w:rsidP="00A441A6">
      <w:pPr>
        <w:pStyle w:val="ConsPlusNormal"/>
        <w:ind w:right="85" w:firstLine="709"/>
        <w:jc w:val="both"/>
        <w:rPr>
          <w:rFonts w:ascii="Times New Roman" w:hAnsi="Times New Roman" w:cs="Times New Roman"/>
          <w:snapToGrid w:val="0"/>
          <w:sz w:val="28"/>
          <w:szCs w:val="28"/>
        </w:rPr>
      </w:pPr>
      <w:r w:rsidRPr="00E47AA9">
        <w:rPr>
          <w:rFonts w:ascii="Times New Roman" w:hAnsi="Times New Roman" w:cs="Times New Roman"/>
          <w:sz w:val="28"/>
          <w:szCs w:val="28"/>
        </w:rPr>
        <w:lastRenderedPageBreak/>
        <w:t xml:space="preserve">Так, в 2024 году от </w:t>
      </w:r>
      <w:r w:rsidRPr="00E47AA9">
        <w:rPr>
          <w:rFonts w:ascii="Times New Roman" w:hAnsi="Times New Roman" w:cs="Times New Roman"/>
          <w:i/>
          <w:sz w:val="28"/>
          <w:szCs w:val="28"/>
        </w:rPr>
        <w:t>министерства финансов Приморского края</w:t>
      </w:r>
      <w:r w:rsidRPr="00E47AA9">
        <w:rPr>
          <w:rFonts w:ascii="Times New Roman" w:hAnsi="Times New Roman" w:cs="Times New Roman"/>
          <w:sz w:val="28"/>
          <w:szCs w:val="28"/>
        </w:rPr>
        <w:t xml:space="preserve"> поступили прочие доходы от компенсации затрат в объеме 343,81 млн рублей, что выше на 0,06 млн рублей от плана (343,75 млн рублей).</w:t>
      </w:r>
      <w:r w:rsidRPr="00E47AA9">
        <w:rPr>
          <w:rFonts w:ascii="Times New Roman" w:hAnsi="Times New Roman" w:cs="Times New Roman"/>
          <w:snapToGrid w:val="0"/>
          <w:sz w:val="28"/>
          <w:szCs w:val="28"/>
        </w:rPr>
        <w:t xml:space="preserve"> Сверхпланов</w:t>
      </w:r>
      <w:r w:rsidR="003F506B" w:rsidRPr="00E47AA9">
        <w:rPr>
          <w:rFonts w:ascii="Times New Roman" w:hAnsi="Times New Roman" w:cs="Times New Roman"/>
          <w:snapToGrid w:val="0"/>
          <w:sz w:val="28"/>
          <w:szCs w:val="28"/>
        </w:rPr>
        <w:t>ые поступления</w:t>
      </w:r>
      <w:r w:rsidRPr="00E47AA9">
        <w:rPr>
          <w:rFonts w:ascii="Times New Roman" w:hAnsi="Times New Roman" w:cs="Times New Roman"/>
          <w:snapToGrid w:val="0"/>
          <w:sz w:val="28"/>
          <w:szCs w:val="28"/>
        </w:rPr>
        <w:t xml:space="preserve"> сформированы за счет:</w:t>
      </w:r>
    </w:p>
    <w:p w14:paraId="2B98F6D9" w14:textId="77777777" w:rsidR="00A441A6" w:rsidRPr="00E47AA9" w:rsidRDefault="00A441A6" w:rsidP="00A441A6">
      <w:pPr>
        <w:pStyle w:val="ConsPlusNormal"/>
        <w:ind w:right="85" w:firstLine="709"/>
        <w:jc w:val="both"/>
        <w:rPr>
          <w:rFonts w:ascii="Times New Roman" w:hAnsi="Times New Roman" w:cs="Times New Roman"/>
          <w:snapToGrid w:val="0"/>
          <w:sz w:val="28"/>
          <w:szCs w:val="28"/>
        </w:rPr>
      </w:pPr>
      <w:r w:rsidRPr="00E47AA9">
        <w:rPr>
          <w:rFonts w:ascii="Times New Roman" w:hAnsi="Times New Roman" w:cs="Times New Roman"/>
          <w:snapToGrid w:val="0"/>
          <w:sz w:val="28"/>
          <w:szCs w:val="28"/>
        </w:rPr>
        <w:t xml:space="preserve">возмещения страхователям расходов 2023 года КГКУ "ЦБО" на предупредительные меры по сокращению производственного травматизма и профессиональных заболеваний по решению ОСФР по ПК (приказ от 21.11.2024 № 848-Ф); </w:t>
      </w:r>
    </w:p>
    <w:p w14:paraId="2642B867" w14:textId="77777777" w:rsidR="00A441A6" w:rsidRPr="00E47AA9" w:rsidRDefault="00A441A6" w:rsidP="00A441A6">
      <w:pPr>
        <w:pStyle w:val="ConsPlusNormal"/>
        <w:ind w:right="85" w:firstLine="709"/>
        <w:jc w:val="both"/>
        <w:rPr>
          <w:rFonts w:ascii="Times New Roman" w:hAnsi="Times New Roman" w:cs="Times New Roman"/>
          <w:snapToGrid w:val="0"/>
          <w:sz w:val="28"/>
          <w:szCs w:val="28"/>
        </w:rPr>
      </w:pPr>
      <w:r w:rsidRPr="00E47AA9">
        <w:rPr>
          <w:rFonts w:ascii="Times New Roman" w:hAnsi="Times New Roman" w:cs="Times New Roman"/>
          <w:snapToGrid w:val="0"/>
          <w:sz w:val="28"/>
          <w:szCs w:val="28"/>
        </w:rPr>
        <w:t xml:space="preserve">возврата дебиторской задолженности: в результате реорганизации министерства финансов Приморского края путем присоединения к нему министерства государственного финансового контроля Приморского края  погашена задолженность по </w:t>
      </w:r>
      <w:proofErr w:type="spellStart"/>
      <w:r w:rsidRPr="00E47AA9">
        <w:rPr>
          <w:rFonts w:ascii="Times New Roman" w:hAnsi="Times New Roman" w:cs="Times New Roman"/>
          <w:snapToGrid w:val="0"/>
          <w:sz w:val="28"/>
          <w:szCs w:val="28"/>
        </w:rPr>
        <w:t>госконтрактам</w:t>
      </w:r>
      <w:proofErr w:type="spellEnd"/>
      <w:r w:rsidRPr="00E47AA9">
        <w:rPr>
          <w:rFonts w:ascii="Times New Roman" w:hAnsi="Times New Roman" w:cs="Times New Roman"/>
          <w:snapToGrid w:val="0"/>
          <w:sz w:val="28"/>
          <w:szCs w:val="28"/>
        </w:rPr>
        <w:t xml:space="preserve"> 2024 года, связанным с услугами подписки и абонирования почтовых ячеек,  КГКУ "ЦБО" (услуги связи за 2023 год), Определением Арбитражного суда Приморского края от 19.02.2024 по делу № А51-14642/2020 взыскано в доход казны Приморского края акционерным обществом "</w:t>
      </w:r>
      <w:proofErr w:type="spellStart"/>
      <w:r w:rsidRPr="00E47AA9">
        <w:rPr>
          <w:rFonts w:ascii="Times New Roman" w:hAnsi="Times New Roman" w:cs="Times New Roman"/>
          <w:snapToGrid w:val="0"/>
          <w:sz w:val="28"/>
          <w:szCs w:val="28"/>
        </w:rPr>
        <w:t>Альфастрахование</w:t>
      </w:r>
      <w:proofErr w:type="spellEnd"/>
      <w:r w:rsidRPr="00E47AA9">
        <w:rPr>
          <w:rFonts w:ascii="Times New Roman" w:hAnsi="Times New Roman" w:cs="Times New Roman"/>
          <w:snapToGrid w:val="0"/>
          <w:sz w:val="28"/>
          <w:szCs w:val="28"/>
        </w:rPr>
        <w:t>";</w:t>
      </w:r>
    </w:p>
    <w:p w14:paraId="68A90B87" w14:textId="77777777" w:rsidR="00A441A6" w:rsidRPr="00E47AA9" w:rsidRDefault="00A441A6" w:rsidP="00A441A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По информации </w:t>
      </w:r>
      <w:r w:rsidRPr="00E47AA9">
        <w:rPr>
          <w:rFonts w:ascii="Times New Roman" w:eastAsia="Times New Roman" w:hAnsi="Times New Roman" w:cs="Times New Roman"/>
          <w:i/>
          <w:sz w:val="28"/>
          <w:szCs w:val="28"/>
          <w:lang w:eastAsia="ru-RU"/>
        </w:rPr>
        <w:t>министерства труда и социальной политики Приморского края,</w:t>
      </w:r>
      <w:r w:rsidRPr="00E47AA9">
        <w:rPr>
          <w:rFonts w:ascii="Times New Roman" w:eastAsia="Times New Roman" w:hAnsi="Times New Roman" w:cs="Times New Roman"/>
          <w:sz w:val="28"/>
          <w:szCs w:val="28"/>
          <w:lang w:eastAsia="ru-RU"/>
        </w:rPr>
        <w:t xml:space="preserve"> в 2024 году поступили прочие доходы от компенсации затрат в сумме 112,86 млн рублей (план 91,96 млн рублей). Перевыполнение планового показателя составило 20,90 млн рублей, которое сложилось в результате возврата физическими лицами мер социальной поддержки, полученных в прошлые годы.</w:t>
      </w:r>
    </w:p>
    <w:p w14:paraId="382C1827" w14:textId="77777777" w:rsidR="00A441A6" w:rsidRPr="00E47AA9" w:rsidRDefault="00A441A6" w:rsidP="00A441A6">
      <w:pPr>
        <w:spacing w:after="0" w:line="240" w:lineRule="auto"/>
        <w:ind w:firstLine="708"/>
        <w:jc w:val="both"/>
        <w:rPr>
          <w:rFonts w:ascii="Times New Roman" w:eastAsia="Times New Roman" w:hAnsi="Times New Roman" w:cs="Times New Roman"/>
          <w:strike/>
          <w:sz w:val="28"/>
          <w:szCs w:val="28"/>
          <w:lang w:eastAsia="ru-RU"/>
        </w:rPr>
      </w:pPr>
      <w:r w:rsidRPr="00E47AA9">
        <w:rPr>
          <w:rFonts w:ascii="Times New Roman" w:eastAsia="Times New Roman" w:hAnsi="Times New Roman" w:cs="Times New Roman"/>
          <w:sz w:val="28"/>
          <w:szCs w:val="28"/>
          <w:lang w:eastAsia="ru-RU"/>
        </w:rPr>
        <w:t xml:space="preserve">По </w:t>
      </w:r>
      <w:r w:rsidRPr="00E47AA9">
        <w:rPr>
          <w:rFonts w:ascii="Times New Roman" w:eastAsia="Times New Roman" w:hAnsi="Times New Roman" w:cs="Times New Roman"/>
          <w:i/>
          <w:iCs/>
          <w:sz w:val="28"/>
          <w:szCs w:val="28"/>
          <w:lang w:eastAsia="ru-RU"/>
        </w:rPr>
        <w:t>министерству экономического развития Приморского края</w:t>
      </w:r>
      <w:r w:rsidRPr="00E47AA9">
        <w:rPr>
          <w:rFonts w:ascii="Times New Roman" w:eastAsia="Times New Roman" w:hAnsi="Times New Roman" w:cs="Times New Roman"/>
          <w:sz w:val="28"/>
          <w:szCs w:val="28"/>
          <w:lang w:eastAsia="ru-RU"/>
        </w:rPr>
        <w:t xml:space="preserve"> в отчетном году вышеуказанные доходы поступили в объеме 104,48 млн рублей (поступления не планировались), в том числе: 9,00 млн рублей </w:t>
      </w:r>
      <w:r w:rsidR="00990AC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гранты в форме субсидии субъектам малого и среднего предпринимательства, включенным в реестр социальных предпринимателей, на финансовое обеспечение расходов, связанных с реализацией проекта в сфере социального предпринимательства, субъектам малого и среднего предпринимательства, созданным физическими лицами в возрасте до 25 лет включительно, на финансовое обеспечение расходов, связанных с реализацией проекта в сфере предпринимательской деятельности; 95,38 млн </w:t>
      </w:r>
      <w:r w:rsidR="00990AC7" w:rsidRPr="00E47AA9">
        <w:rPr>
          <w:rFonts w:ascii="Times New Roman" w:eastAsia="Times New Roman" w:hAnsi="Times New Roman" w:cs="Times New Roman"/>
          <w:sz w:val="28"/>
          <w:szCs w:val="28"/>
          <w:lang w:eastAsia="ru-RU"/>
        </w:rPr>
        <w:t>рублей –</w:t>
      </w:r>
      <w:r w:rsidRPr="00E47AA9">
        <w:rPr>
          <w:rFonts w:ascii="Times New Roman" w:eastAsia="Times New Roman" w:hAnsi="Times New Roman" w:cs="Times New Roman"/>
          <w:sz w:val="28"/>
          <w:szCs w:val="28"/>
          <w:lang w:eastAsia="ru-RU"/>
        </w:rPr>
        <w:t xml:space="preserve"> АНО "Центр поддержки предпринимательства Приморского края" остатки субсидии в к</w:t>
      </w:r>
      <w:r w:rsidR="00990AC7" w:rsidRPr="00E47AA9">
        <w:rPr>
          <w:rFonts w:ascii="Times New Roman" w:eastAsia="Times New Roman" w:hAnsi="Times New Roman" w:cs="Times New Roman"/>
          <w:sz w:val="28"/>
          <w:szCs w:val="28"/>
          <w:lang w:eastAsia="ru-RU"/>
        </w:rPr>
        <w:t>раевой бюджет; 0,10 млн рублей –</w:t>
      </w:r>
      <w:r w:rsidRPr="00E47AA9">
        <w:rPr>
          <w:rFonts w:ascii="Times New Roman" w:eastAsia="Times New Roman" w:hAnsi="Times New Roman" w:cs="Times New Roman"/>
          <w:sz w:val="28"/>
          <w:szCs w:val="28"/>
          <w:lang w:eastAsia="ru-RU"/>
        </w:rPr>
        <w:t xml:space="preserve"> грант в форме субсидии из краевого бюджета на финансовое обеспечение расходов, связанных с реализацией проекта в сфере проектирования, производства и ремонта одежды.</w:t>
      </w:r>
    </w:p>
    <w:p w14:paraId="0EA76F68" w14:textId="77777777" w:rsidR="00A441A6" w:rsidRPr="00E47AA9" w:rsidRDefault="00A441A6" w:rsidP="00A441A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По оставшимся 26 главным администраторам данных доходов поступления составили от 8,59 % до 0,0001 % в общем объеме поступивших прочих доходов от компенсации затрат государства.</w:t>
      </w:r>
    </w:p>
    <w:p w14:paraId="48699716" w14:textId="77777777" w:rsidR="00A441A6" w:rsidRPr="00E47AA9" w:rsidRDefault="00A441A6" w:rsidP="00A441A6">
      <w:pPr>
        <w:spacing w:after="0" w:line="240" w:lineRule="auto"/>
        <w:ind w:firstLine="708"/>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i/>
          <w:sz w:val="28"/>
          <w:szCs w:val="28"/>
          <w:lang w:eastAsia="ru-RU"/>
        </w:rPr>
        <w:t>Справочно: в ходе исполнения краевого бюджета в 2024 году бюджетные назначения по доходам от компенсации затрат государства корректировались 3 раза в сторону увеличения в сумме 468,70 млн рублей, или в 7,7 раз</w:t>
      </w:r>
      <w:r w:rsidR="00990AC7" w:rsidRPr="00E47AA9">
        <w:rPr>
          <w:rFonts w:ascii="Times New Roman" w:eastAsia="Times New Roman" w:hAnsi="Times New Roman" w:cs="Times New Roman"/>
          <w:i/>
          <w:sz w:val="28"/>
          <w:szCs w:val="28"/>
          <w:lang w:eastAsia="ru-RU"/>
        </w:rPr>
        <w:t>а</w:t>
      </w:r>
      <w:r w:rsidRPr="00E47AA9">
        <w:rPr>
          <w:rFonts w:ascii="Times New Roman" w:eastAsia="Times New Roman" w:hAnsi="Times New Roman" w:cs="Times New Roman"/>
          <w:i/>
          <w:sz w:val="28"/>
          <w:szCs w:val="28"/>
          <w:lang w:eastAsia="ru-RU"/>
        </w:rPr>
        <w:t>.</w:t>
      </w:r>
    </w:p>
    <w:p w14:paraId="15D60A93" w14:textId="77777777" w:rsidR="00A441A6" w:rsidRPr="00E47AA9" w:rsidRDefault="00A441A6" w:rsidP="00A441A6">
      <w:pPr>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
          <w:sz w:val="28"/>
          <w:szCs w:val="28"/>
          <w:lang w:eastAsia="ru-RU"/>
        </w:rPr>
        <w:lastRenderedPageBreak/>
        <w:t xml:space="preserve">Доходы от продажи материальных и нематериальных активов </w:t>
      </w:r>
      <w:r w:rsidRPr="00E47AA9">
        <w:rPr>
          <w:rFonts w:ascii="Times New Roman" w:eastAsia="Times New Roman" w:hAnsi="Times New Roman" w:cs="Times New Roman"/>
          <w:bCs/>
          <w:sz w:val="28"/>
          <w:szCs w:val="28"/>
          <w:lang w:eastAsia="ru-RU"/>
        </w:rPr>
        <w:t>поступили в отчетном году в планируемом объеме 212,97 млн рублей, в том числе</w:t>
      </w:r>
      <w:r w:rsidRPr="00E47AA9">
        <w:rPr>
          <w:rFonts w:ascii="Times New Roman" w:eastAsia="Times New Roman" w:hAnsi="Times New Roman" w:cs="Times New Roman"/>
          <w:i/>
          <w:sz w:val="28"/>
          <w:szCs w:val="28"/>
          <w:lang w:eastAsia="ru-RU"/>
        </w:rPr>
        <w:t xml:space="preserve"> </w:t>
      </w:r>
      <w:r w:rsidRPr="00E47AA9">
        <w:rPr>
          <w:rFonts w:ascii="Times New Roman" w:eastAsia="Times New Roman" w:hAnsi="Times New Roman" w:cs="Times New Roman"/>
          <w:sz w:val="28"/>
          <w:szCs w:val="28"/>
          <w:lang w:eastAsia="ru-RU"/>
        </w:rPr>
        <w:t>от</w:t>
      </w:r>
      <w:r w:rsidRPr="00E47AA9">
        <w:rPr>
          <w:rFonts w:ascii="Times New Roman" w:eastAsia="Times New Roman" w:hAnsi="Times New Roman" w:cs="Times New Roman"/>
          <w:bCs/>
          <w:sz w:val="28"/>
          <w:szCs w:val="28"/>
          <w:lang w:eastAsia="ru-RU"/>
        </w:rPr>
        <w:t>:</w:t>
      </w:r>
    </w:p>
    <w:p w14:paraId="4F606C3D"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продажи квартир, находящихся в собственности с</w:t>
      </w:r>
      <w:r w:rsidR="00990AC7" w:rsidRPr="00E47AA9">
        <w:rPr>
          <w:rFonts w:ascii="Times New Roman" w:eastAsia="Times New Roman" w:hAnsi="Times New Roman" w:cs="Times New Roman"/>
          <w:sz w:val="28"/>
          <w:szCs w:val="28"/>
          <w:lang w:eastAsia="ru-RU"/>
        </w:rPr>
        <w:t>убъектов Российской Федерации, –</w:t>
      </w:r>
      <w:r w:rsidRPr="00E47AA9">
        <w:rPr>
          <w:rFonts w:ascii="Times New Roman" w:eastAsia="Times New Roman" w:hAnsi="Times New Roman" w:cs="Times New Roman"/>
          <w:sz w:val="28"/>
          <w:szCs w:val="28"/>
          <w:lang w:eastAsia="ru-RU"/>
        </w:rPr>
        <w:t xml:space="preserve"> 34,54 млн рублей;</w:t>
      </w:r>
    </w:p>
    <w:p w14:paraId="41253AE6"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 </w:t>
      </w:r>
      <w:r w:rsidR="00990AC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178,43 млн рублей.</w:t>
      </w:r>
    </w:p>
    <w:p w14:paraId="4C51621F"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По сравнению с 2023 годом (219,52 млн рублей) поступления по доходам в 2024 году от продажи материальных и нематериальных активов снизились на 6,55 млн рублей, или на 2,98 %.</w:t>
      </w:r>
    </w:p>
    <w:p w14:paraId="692E0D8F"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 xml:space="preserve">Административные платежи и сборы </w:t>
      </w:r>
      <w:r w:rsidRPr="00E47AA9">
        <w:rPr>
          <w:rFonts w:ascii="Times New Roman" w:eastAsia="Times New Roman" w:hAnsi="Times New Roman" w:cs="Times New Roman"/>
          <w:sz w:val="28"/>
          <w:szCs w:val="28"/>
          <w:lang w:eastAsia="ru-RU"/>
        </w:rPr>
        <w:t>составили 0,22 млн рублей, что на 0,01 млн рублей, или на 4,84 %, выше годовых бюджетных назначений (0,21 млн рублей), в том числе:</w:t>
      </w:r>
    </w:p>
    <w:p w14:paraId="26CB2009" w14:textId="0E75A202"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платежи, взимаемые государственными органами (организациями) за выполнение определенных функций, – 0,12 млн рублей, что составило 109,01% от плана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0,11 млн рублей). По информации министерства транспорта и дорожного хозяйства Приморского края, исполнение соответствует фактическому числу обращений</w:t>
      </w:r>
      <w:r w:rsidRPr="00E47AA9">
        <w:rPr>
          <w:rFonts w:ascii="Times New Roman" w:eastAsia="Calibri" w:hAnsi="Times New Roman" w:cs="Times New Roman"/>
        </w:rPr>
        <w:t xml:space="preserve"> </w:t>
      </w:r>
      <w:r w:rsidRPr="00E47AA9">
        <w:rPr>
          <w:rFonts w:ascii="Times New Roman" w:eastAsia="Times New Roman" w:hAnsi="Times New Roman" w:cs="Times New Roman"/>
          <w:sz w:val="28"/>
          <w:szCs w:val="28"/>
          <w:lang w:eastAsia="ru-RU"/>
        </w:rPr>
        <w:t>за получением разрешения на осуществление деятельности по перевозке пассажиров и багажа легковым такси в Приморском крае;</w:t>
      </w:r>
    </w:p>
    <w:p w14:paraId="5998C120"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сборы, вносимые заказчиками документации, подлежащей государственной экологической экспертизе, рассчитанные в соответствии со сметой расходов на проведение государственной экологической экспертизы, – 0,10 млн рублей, годовой план исполнен на 100,00 %. </w:t>
      </w:r>
    </w:p>
    <w:p w14:paraId="5435C9E2"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По сравнению с 2023 годом (2,51 млн рублей) поступления по административным платежам и сборам в 2024 году снизились на 2,29 млн рублей, или в 11,4 раз</w:t>
      </w:r>
      <w:r w:rsidR="00990AC7" w:rsidRPr="00E47AA9">
        <w:rPr>
          <w:rFonts w:ascii="Times New Roman" w:eastAsia="Times New Roman" w:hAnsi="Times New Roman" w:cs="Times New Roman"/>
          <w:sz w:val="28"/>
          <w:szCs w:val="28"/>
          <w:lang w:eastAsia="ru-RU"/>
        </w:rPr>
        <w:t>а</w:t>
      </w:r>
      <w:r w:rsidRPr="00E47AA9">
        <w:rPr>
          <w:rFonts w:ascii="Times New Roman" w:eastAsia="Times New Roman" w:hAnsi="Times New Roman" w:cs="Times New Roman"/>
          <w:sz w:val="28"/>
          <w:szCs w:val="28"/>
          <w:lang w:eastAsia="ru-RU"/>
        </w:rPr>
        <w:t>.</w:t>
      </w:r>
    </w:p>
    <w:p w14:paraId="2E8EB41A" w14:textId="189AEB54" w:rsidR="00A441A6" w:rsidRPr="00E47AA9" w:rsidRDefault="00A441A6" w:rsidP="00A441A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sz w:val="28"/>
          <w:szCs w:val="28"/>
          <w:lang w:eastAsia="ru-RU"/>
        </w:rPr>
        <w:t>Поступление</w:t>
      </w:r>
      <w:r w:rsidRPr="00E47AA9">
        <w:rPr>
          <w:rFonts w:ascii="Times New Roman" w:eastAsia="Times New Roman" w:hAnsi="Times New Roman" w:cs="Times New Roman"/>
          <w:b/>
          <w:sz w:val="28"/>
          <w:szCs w:val="28"/>
          <w:lang w:eastAsia="ru-RU"/>
        </w:rPr>
        <w:t xml:space="preserve"> штрафов, санкций, возмещения ущерба </w:t>
      </w:r>
      <w:r w:rsidRPr="00E47AA9">
        <w:rPr>
          <w:rFonts w:ascii="Times New Roman" w:eastAsia="Times New Roman" w:hAnsi="Times New Roman" w:cs="Times New Roman"/>
          <w:sz w:val="28"/>
          <w:szCs w:val="28"/>
          <w:lang w:eastAsia="ru-RU"/>
        </w:rPr>
        <w:t>в отчетном году</w:t>
      </w:r>
      <w:r w:rsidRPr="00E47AA9">
        <w:rPr>
          <w:rFonts w:ascii="Times New Roman" w:eastAsia="Times New Roman" w:hAnsi="Times New Roman" w:cs="Times New Roman"/>
          <w:b/>
          <w:sz w:val="28"/>
          <w:szCs w:val="28"/>
          <w:lang w:eastAsia="ru-RU"/>
        </w:rPr>
        <w:t xml:space="preserve"> </w:t>
      </w:r>
      <w:r w:rsidRPr="00E47AA9">
        <w:rPr>
          <w:rFonts w:ascii="Times New Roman" w:eastAsia="Times New Roman" w:hAnsi="Times New Roman" w:cs="Times New Roman"/>
          <w:sz w:val="28"/>
          <w:szCs w:val="28"/>
          <w:lang w:eastAsia="ru-RU"/>
        </w:rPr>
        <w:t>составило 273</w:t>
      </w:r>
      <w:r w:rsidR="00906748" w:rsidRPr="00E47AA9">
        <w:rPr>
          <w:rFonts w:ascii="Times New Roman" w:eastAsia="Times New Roman" w:hAnsi="Times New Roman" w:cs="Times New Roman"/>
          <w:sz w:val="28"/>
          <w:szCs w:val="28"/>
          <w:lang w:eastAsia="ru-RU"/>
        </w:rPr>
        <w:t>4</w:t>
      </w:r>
      <w:r w:rsidRPr="00E47AA9">
        <w:rPr>
          <w:rFonts w:ascii="Times New Roman" w:eastAsia="Times New Roman" w:hAnsi="Times New Roman" w:cs="Times New Roman"/>
          <w:sz w:val="28"/>
          <w:szCs w:val="28"/>
          <w:lang w:eastAsia="ru-RU"/>
        </w:rPr>
        <w:t xml:space="preserve">,01 млн рублей, что на 202,37 млн рублей, или на 7,99 %, выше запланированных поступлений (2531,64 млн рублей). </w:t>
      </w:r>
      <w:r w:rsidRPr="00E47AA9">
        <w:rPr>
          <w:rFonts w:ascii="Times New Roman" w:eastAsia="Times New Roman" w:hAnsi="Times New Roman" w:cs="Times New Roman"/>
          <w:i/>
          <w:sz w:val="28"/>
          <w:szCs w:val="28"/>
          <w:lang w:eastAsia="ru-RU"/>
        </w:rPr>
        <w:t>Справочно: плановые бюджетные назначения поступления штрафов, санкций, возмещения ущерба корректировались 3 раза в сторону увеличения на сумму 1472,86 млн рублей, или в 2,4 раза. Исполнение по штрафам, санкциям, возмещению ущерба к первоначальной редакции Закона № </w:t>
      </w:r>
      <w:r w:rsidR="00452308" w:rsidRPr="00E47AA9">
        <w:rPr>
          <w:rFonts w:ascii="Times New Roman" w:eastAsia="Times New Roman" w:hAnsi="Times New Roman" w:cs="Times New Roman"/>
          <w:i/>
          <w:sz w:val="28"/>
          <w:szCs w:val="28"/>
          <w:lang w:eastAsia="ru-RU"/>
        </w:rPr>
        <w:t>495</w:t>
      </w:r>
      <w:r w:rsidRPr="00E47AA9">
        <w:rPr>
          <w:rFonts w:ascii="Times New Roman" w:eastAsia="Times New Roman" w:hAnsi="Times New Roman" w:cs="Times New Roman"/>
          <w:i/>
          <w:sz w:val="28"/>
          <w:szCs w:val="28"/>
          <w:lang w:eastAsia="ru-RU"/>
        </w:rPr>
        <w:t xml:space="preserve">-КЗ (1058,79 млн рублей) составило 258,22 %. </w:t>
      </w:r>
    </w:p>
    <w:p w14:paraId="33A00A7C"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По сравнению с 2023 годом объем поступлений в 2024 году увеличился на 864,10 млн рублей, или на 46,21 %.</w:t>
      </w:r>
    </w:p>
    <w:p w14:paraId="1DBF0400"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структуре доходов наибольший удельный вес – 66,93 %, или 1829,74 млн рублей, приходится на поступление сумм от административных штрафов, установленных Кодексом Российской Федерации об </w:t>
      </w:r>
      <w:r w:rsidRPr="00E47AA9">
        <w:rPr>
          <w:rFonts w:ascii="Times New Roman" w:eastAsia="Times New Roman" w:hAnsi="Times New Roman" w:cs="Times New Roman"/>
          <w:sz w:val="28"/>
          <w:szCs w:val="28"/>
          <w:lang w:eastAsia="ru-RU"/>
        </w:rPr>
        <w:lastRenderedPageBreak/>
        <w:t>административных правонарушениях, из них поступило административных штрафов, установленных:</w:t>
      </w:r>
    </w:p>
    <w:p w14:paraId="44093C61" w14:textId="6D53B39B"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главой 12 Кодекса Российской Федерации об административных правонарушениях, за административные правонарушения в области дорожного движения – 1713,83 млн рублей (62,</w:t>
      </w:r>
      <w:r w:rsidR="00452308" w:rsidRPr="00E47AA9">
        <w:rPr>
          <w:rFonts w:ascii="Times New Roman" w:eastAsia="Times New Roman" w:hAnsi="Times New Roman" w:cs="Times New Roman"/>
          <w:sz w:val="28"/>
          <w:szCs w:val="28"/>
          <w:lang w:eastAsia="ru-RU"/>
        </w:rPr>
        <w:t>69</w:t>
      </w:r>
      <w:r w:rsidRPr="00E47AA9">
        <w:rPr>
          <w:rFonts w:ascii="Times New Roman" w:eastAsia="Times New Roman" w:hAnsi="Times New Roman" w:cs="Times New Roman"/>
          <w:sz w:val="28"/>
          <w:szCs w:val="28"/>
          <w:lang w:eastAsia="ru-RU"/>
        </w:rPr>
        <w:t xml:space="preserve"> % в общем объеме поступлений от штрафов, санкций, возмещений ущерба). Плановые назначения исполнены на 105,12 %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1630,38 млн рублей). В 2023 году данные доходы составили 1266,31 млн рублей;</w:t>
      </w:r>
    </w:p>
    <w:p w14:paraId="315E40E9"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 33,84 млн рублей (1,24 %). Плановые назначения (30,03 млн рублей) исполнены на 112,68 %</w:t>
      </w:r>
      <w:r w:rsidR="00990AC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В 2023 году данные доходы составили 30,90 млн рублей;</w:t>
      </w:r>
    </w:p>
    <w:p w14:paraId="07ED0529"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главой 7 Кодекса Российской Федерации об административных правонарушениях, за административные правонарушения в области охраны собственности</w:t>
      </w:r>
      <w:r w:rsidR="00990AC7"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25,28 млн рублей (0,93 %), что на 0,50 млн рублей, или 2,03</w:t>
      </w:r>
      <w:r w:rsidR="00990AC7"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больше утвержденных бюджетных назначений (24,78 млн рублей). В предыдущем году данные доходы составили 25,22 млн рублей.</w:t>
      </w:r>
    </w:p>
    <w:p w14:paraId="2AEBB98E"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отчетном году поступили непланируемые</w:t>
      </w:r>
      <w:r w:rsidRPr="00E47AA9">
        <w:rPr>
          <w:rFonts w:ascii="Times New Roman" w:eastAsia="Times New Roman" w:hAnsi="Times New Roman" w:cs="Times New Roman"/>
          <w:b/>
          <w:sz w:val="28"/>
          <w:szCs w:val="28"/>
          <w:lang w:eastAsia="ru-RU"/>
        </w:rPr>
        <w:t xml:space="preserve"> прочие неналоговые доходы</w:t>
      </w:r>
      <w:r w:rsidRPr="00E47AA9">
        <w:rPr>
          <w:rFonts w:ascii="Times New Roman" w:eastAsia="Times New Roman" w:hAnsi="Times New Roman" w:cs="Times New Roman"/>
          <w:sz w:val="28"/>
          <w:szCs w:val="28"/>
          <w:lang w:eastAsia="ru-RU"/>
        </w:rPr>
        <w:t xml:space="preserve"> в сумме 39,17 млн рублей. В состав прочих неналоговых доходов вошли:</w:t>
      </w:r>
    </w:p>
    <w:p w14:paraId="303A5740" w14:textId="77777777" w:rsidR="00A441A6" w:rsidRPr="00E47AA9" w:rsidRDefault="00A441A6" w:rsidP="00A441A6">
      <w:pPr>
        <w:tabs>
          <w:tab w:val="left" w:pos="567"/>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i/>
          <w:sz w:val="28"/>
          <w:szCs w:val="28"/>
          <w:lang w:eastAsia="ru-RU"/>
        </w:rPr>
        <w:t>прочие неналоговые доходы</w:t>
      </w:r>
      <w:r w:rsidRPr="00E47AA9">
        <w:rPr>
          <w:rFonts w:ascii="Times New Roman" w:eastAsia="Times New Roman" w:hAnsi="Times New Roman" w:cs="Times New Roman"/>
          <w:sz w:val="28"/>
          <w:szCs w:val="28"/>
          <w:lang w:eastAsia="ru-RU"/>
        </w:rPr>
        <w:t xml:space="preserve"> – 38,75 млн рублей по </w:t>
      </w:r>
      <w:r w:rsidR="00990AC7" w:rsidRPr="00E47AA9">
        <w:rPr>
          <w:rFonts w:ascii="Times New Roman" w:eastAsia="Times New Roman" w:hAnsi="Times New Roman" w:cs="Times New Roman"/>
          <w:sz w:val="28"/>
          <w:szCs w:val="28"/>
          <w:lang w:eastAsia="ru-RU"/>
        </w:rPr>
        <w:t>двум</w:t>
      </w:r>
      <w:r w:rsidRPr="00E47AA9">
        <w:rPr>
          <w:rFonts w:ascii="Times New Roman" w:eastAsia="Times New Roman" w:hAnsi="Times New Roman" w:cs="Times New Roman"/>
          <w:sz w:val="28"/>
          <w:szCs w:val="28"/>
          <w:lang w:eastAsia="ru-RU"/>
        </w:rPr>
        <w:t xml:space="preserve"> главным администраторам доходов. Основная сумма (98,45 % в указанных доходах) приходится на </w:t>
      </w:r>
      <w:bookmarkStart w:id="14" w:name="_Hlk102328176"/>
      <w:r w:rsidRPr="00E47AA9">
        <w:rPr>
          <w:rFonts w:ascii="Times New Roman" w:eastAsia="Times New Roman" w:hAnsi="Times New Roman" w:cs="Times New Roman"/>
          <w:sz w:val="28"/>
          <w:szCs w:val="28"/>
          <w:lang w:eastAsia="ru-RU"/>
        </w:rPr>
        <w:t xml:space="preserve">министерство имущественных и земельных отношений Приморского края </w:t>
      </w:r>
      <w:bookmarkEnd w:id="14"/>
      <w:r w:rsidRPr="00E47AA9">
        <w:rPr>
          <w:rFonts w:ascii="Times New Roman" w:eastAsia="Times New Roman" w:hAnsi="Times New Roman" w:cs="Times New Roman"/>
          <w:sz w:val="28"/>
          <w:szCs w:val="28"/>
          <w:lang w:eastAsia="ru-RU"/>
        </w:rPr>
        <w:t>на 38,15 млн рублей за счет частичной оплаты реестровой задолженности в банкротстве ООО ИСГ "</w:t>
      </w:r>
      <w:proofErr w:type="spellStart"/>
      <w:r w:rsidRPr="00E47AA9">
        <w:rPr>
          <w:rFonts w:ascii="Times New Roman" w:eastAsia="Times New Roman" w:hAnsi="Times New Roman" w:cs="Times New Roman"/>
          <w:sz w:val="28"/>
          <w:szCs w:val="28"/>
          <w:lang w:eastAsia="ru-RU"/>
        </w:rPr>
        <w:t>Стройинвест</w:t>
      </w:r>
      <w:proofErr w:type="spellEnd"/>
      <w:r w:rsidRPr="00E47AA9">
        <w:rPr>
          <w:rFonts w:ascii="Times New Roman" w:eastAsia="Times New Roman" w:hAnsi="Times New Roman" w:cs="Times New Roman"/>
          <w:sz w:val="28"/>
          <w:szCs w:val="28"/>
          <w:lang w:eastAsia="ru-RU"/>
        </w:rPr>
        <w:t>"; погашения ООО "ДАЛЬСТРОЙКОНТРАКТ" требований кредиторов третьей очереди реестра требований кредиторов; внесения платы по разрешениям на использование земельных участков; компенсация Поповым И.А. стоимости квартиры по адресу г. Владивосток, ул. Русская, д. 57 г, кв. 6, а также перечисления в доход краевого бюджета невостребованных средств во временном распоряжении, в соответствии с Постановлением Правительства РФ от 27.03.2020 № 356;</w:t>
      </w:r>
    </w:p>
    <w:p w14:paraId="493203D9" w14:textId="77777777" w:rsidR="00A441A6" w:rsidRPr="00E47AA9" w:rsidRDefault="00A441A6" w:rsidP="00A441A6">
      <w:pPr>
        <w:tabs>
          <w:tab w:val="left" w:pos="567"/>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i/>
          <w:sz w:val="28"/>
          <w:szCs w:val="28"/>
          <w:lang w:eastAsia="ru-RU"/>
        </w:rPr>
        <w:t>невыясненные поступления</w:t>
      </w:r>
      <w:r w:rsidRPr="00E47AA9">
        <w:rPr>
          <w:rFonts w:ascii="Times New Roman" w:eastAsia="Times New Roman" w:hAnsi="Times New Roman" w:cs="Times New Roman"/>
          <w:sz w:val="28"/>
          <w:szCs w:val="28"/>
          <w:lang w:eastAsia="ru-RU"/>
        </w:rPr>
        <w:t xml:space="preserve"> – 0,42 млн рублей.</w:t>
      </w:r>
      <w:r w:rsidRPr="00E47AA9">
        <w:rPr>
          <w:rFonts w:ascii="Times New Roman" w:eastAsia="Calibri" w:hAnsi="Times New Roman" w:cs="Times New Roman"/>
        </w:rPr>
        <w:t xml:space="preserve"> </w:t>
      </w:r>
      <w:r w:rsidRPr="00E47AA9">
        <w:rPr>
          <w:rFonts w:ascii="Times New Roman" w:eastAsia="Times New Roman" w:hAnsi="Times New Roman" w:cs="Times New Roman"/>
          <w:sz w:val="28"/>
          <w:szCs w:val="28"/>
          <w:lang w:eastAsia="ru-RU"/>
        </w:rPr>
        <w:t xml:space="preserve">Согласно </w:t>
      </w:r>
      <w:proofErr w:type="gramStart"/>
      <w:r w:rsidRPr="00E47AA9">
        <w:rPr>
          <w:rFonts w:ascii="Times New Roman" w:eastAsia="Times New Roman" w:hAnsi="Times New Roman" w:cs="Times New Roman"/>
          <w:sz w:val="28"/>
          <w:szCs w:val="28"/>
          <w:lang w:eastAsia="ru-RU"/>
        </w:rPr>
        <w:t>отчету</w:t>
      </w:r>
      <w:proofErr w:type="gramEnd"/>
      <w:r w:rsidRPr="00E47AA9">
        <w:rPr>
          <w:rFonts w:ascii="Times New Roman" w:eastAsia="Times New Roman" w:hAnsi="Times New Roman" w:cs="Times New Roman"/>
          <w:sz w:val="28"/>
          <w:szCs w:val="28"/>
          <w:lang w:eastAsia="ru-RU"/>
        </w:rPr>
        <w:t xml:space="preserve"> невыясненные поступления в краевой бюджет отражены по 11 главным администраторам доходов, из них:</w:t>
      </w:r>
    </w:p>
    <w:p w14:paraId="1ECA6E41"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 xml:space="preserve">с отрицательным значением </w:t>
      </w:r>
      <w:r w:rsidRPr="00E47AA9">
        <w:rPr>
          <w:rFonts w:ascii="Times New Roman" w:eastAsia="Times New Roman" w:hAnsi="Times New Roman" w:cs="Times New Roman"/>
          <w:sz w:val="28"/>
          <w:szCs w:val="28"/>
          <w:lang w:eastAsia="ru-RU"/>
        </w:rPr>
        <w:t>по 5 главным администраторам доходов на общую сумму (-) 0,46 млн рублей, из них по: министерству финансов Приморс</w:t>
      </w:r>
      <w:r w:rsidR="00BC5C60" w:rsidRPr="00E47AA9">
        <w:rPr>
          <w:rFonts w:ascii="Times New Roman" w:eastAsia="Times New Roman" w:hAnsi="Times New Roman" w:cs="Times New Roman"/>
          <w:sz w:val="28"/>
          <w:szCs w:val="28"/>
          <w:lang w:eastAsia="ru-RU"/>
        </w:rPr>
        <w:t>кого края – (-) 0,02 млн рублей,</w:t>
      </w:r>
      <w:r w:rsidRPr="00E47AA9">
        <w:rPr>
          <w:rFonts w:ascii="Times New Roman" w:eastAsia="Times New Roman" w:hAnsi="Times New Roman" w:cs="Times New Roman"/>
          <w:sz w:val="28"/>
          <w:szCs w:val="28"/>
          <w:lang w:eastAsia="ru-RU"/>
        </w:rPr>
        <w:t xml:space="preserve"> министерству здравоохранения Приморского края – (-) 0,24 млн рублей</w:t>
      </w:r>
      <w:r w:rsidR="00BC5C60"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министерству имущественных и земельных отношений Приморского края – (-) 0,17 млн рублей</w:t>
      </w:r>
      <w:r w:rsidR="00BC5C60"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департаменту внутренней политики Приморского края – (-) 0,03 млн рублей,</w:t>
      </w:r>
      <w:r w:rsidRPr="00E47AA9">
        <w:rPr>
          <w:rFonts w:ascii="Times New Roman" w:hAnsi="Times New Roman" w:cs="Times New Roman"/>
        </w:rPr>
        <w:t xml:space="preserve"> </w:t>
      </w:r>
      <w:r w:rsidRPr="00E47AA9">
        <w:rPr>
          <w:rFonts w:ascii="Times New Roman" w:eastAsia="Times New Roman" w:hAnsi="Times New Roman" w:cs="Times New Roman"/>
          <w:sz w:val="28"/>
          <w:szCs w:val="28"/>
          <w:lang w:eastAsia="ru-RU"/>
        </w:rPr>
        <w:t xml:space="preserve">государственной инспекции по надзору за техническим состоянием и </w:t>
      </w:r>
      <w:r w:rsidRPr="00E47AA9">
        <w:rPr>
          <w:rFonts w:ascii="Times New Roman" w:eastAsia="Times New Roman" w:hAnsi="Times New Roman" w:cs="Times New Roman"/>
          <w:sz w:val="28"/>
          <w:szCs w:val="28"/>
          <w:lang w:eastAsia="ru-RU"/>
        </w:rPr>
        <w:lastRenderedPageBreak/>
        <w:t xml:space="preserve">эксплуатацией самоходных машин и других видов техники, аттракционов Приморского края </w:t>
      </w:r>
      <w:r w:rsidR="00BC5C60"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 0,006 млн рублей;</w:t>
      </w:r>
    </w:p>
    <w:p w14:paraId="56F485F5"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с положительным значением</w:t>
      </w:r>
      <w:r w:rsidRPr="00E47AA9">
        <w:rPr>
          <w:rFonts w:ascii="Times New Roman" w:eastAsia="Times New Roman" w:hAnsi="Times New Roman" w:cs="Times New Roman"/>
          <w:sz w:val="28"/>
          <w:szCs w:val="28"/>
          <w:lang w:eastAsia="ru-RU"/>
        </w:rPr>
        <w:t xml:space="preserve"> по 6 главным администраторам доходов на общую сумму 0,88 млн рублей, из них по: министерству труда и социальной политики Приморского края – 0,01 млн рублей</w:t>
      </w:r>
      <w:r w:rsidR="00BC5C60"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департаменту записи актов гражданского состояния Приморского края – 0,002 млн рублей</w:t>
      </w:r>
      <w:r w:rsidR="00BC5C60"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агентству по тарифам Приморского края – 0,002 млн рублей</w:t>
      </w:r>
      <w:r w:rsidR="00BC5C60"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департаменту по координации правоохранительной деятельности, исполнения административного законодательства и обеспечения деятельности мировых судей Приморского края – 0,66 млн рублей</w:t>
      </w:r>
      <w:r w:rsidR="00BC5C60"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министерству промышленности и торговли Приморского края – 0,20 млн рублей</w:t>
      </w:r>
      <w:r w:rsidR="00BC5C60"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министерству профессионального образования и занятости населения Приморского края – 0,001 млн рублей;</w:t>
      </w:r>
    </w:p>
    <w:p w14:paraId="7DC3F9BE" w14:textId="77777777" w:rsidR="00A441A6" w:rsidRPr="00E47AA9" w:rsidRDefault="00A441A6" w:rsidP="00A441A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iCs/>
          <w:sz w:val="28"/>
          <w:szCs w:val="28"/>
          <w:lang w:eastAsia="ru-RU"/>
        </w:rPr>
        <w:t>прочие неналоговые доходы в части невыясненных поступлений, по которым не осуществлен возврат (уточнение) не позднее трех лет со дня их зачисления на единый счет соответствующего бюджета бюджетной системы Российской Федерации</w:t>
      </w:r>
      <w:r w:rsidRPr="00E47AA9">
        <w:rPr>
          <w:rFonts w:ascii="Times New Roman" w:eastAsia="Times New Roman" w:hAnsi="Times New Roman" w:cs="Times New Roman"/>
          <w:sz w:val="28"/>
          <w:szCs w:val="28"/>
          <w:lang w:eastAsia="ru-RU"/>
        </w:rPr>
        <w:t xml:space="preserve"> – 7,76 тыс. рублей, что на 1,27 тыс. рублей, или на 19,52 %</w:t>
      </w:r>
      <w:r w:rsidR="00BC5C60"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выше плана (6,49 тыс. рублей). По информации главного администратора </w:t>
      </w:r>
      <w:r w:rsidR="00BC5C60" w:rsidRPr="00E47AA9">
        <w:rPr>
          <w:rFonts w:ascii="Times New Roman" w:eastAsia="Times New Roman" w:hAnsi="Times New Roman" w:cs="Times New Roman"/>
          <w:sz w:val="28"/>
          <w:szCs w:val="28"/>
          <w:lang w:eastAsia="ru-RU"/>
        </w:rPr>
        <w:t>доходов –</w:t>
      </w:r>
      <w:r w:rsidRPr="00E47AA9">
        <w:rPr>
          <w:rFonts w:ascii="Times New Roman" w:eastAsia="Times New Roman" w:hAnsi="Times New Roman" w:cs="Times New Roman"/>
          <w:sz w:val="28"/>
          <w:szCs w:val="28"/>
          <w:lang w:eastAsia="ru-RU"/>
        </w:rPr>
        <w:t xml:space="preserve"> департамента по координации правоохранительной деятельности, исполнения административного законодательства и обеспечения деятельности мировых судей Приморского края невыясненные поступления, по которым не осуществлен возврат, подлежат уточнению.</w:t>
      </w:r>
    </w:p>
    <w:p w14:paraId="6250E3E2" w14:textId="77777777" w:rsidR="00D52EC7" w:rsidRPr="00E47AA9" w:rsidRDefault="00D52EC7" w:rsidP="00D52EC7">
      <w:pPr>
        <w:tabs>
          <w:tab w:val="left" w:pos="567"/>
        </w:tabs>
        <w:spacing w:after="0" w:line="240" w:lineRule="auto"/>
        <w:ind w:firstLine="709"/>
        <w:jc w:val="center"/>
        <w:rPr>
          <w:rFonts w:ascii="Times New Roman" w:eastAsia="Times New Roman" w:hAnsi="Times New Roman" w:cs="Times New Roman"/>
          <w:b/>
          <w:sz w:val="28"/>
          <w:szCs w:val="28"/>
          <w:lang w:eastAsia="ru-RU"/>
        </w:rPr>
      </w:pPr>
    </w:p>
    <w:p w14:paraId="54434AAA" w14:textId="77777777" w:rsidR="00D52EC7" w:rsidRPr="00E47AA9" w:rsidRDefault="00D52EC7" w:rsidP="00081AC1">
      <w:pPr>
        <w:tabs>
          <w:tab w:val="left" w:pos="567"/>
        </w:tabs>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4.2. Безвозмездные поступления</w:t>
      </w:r>
    </w:p>
    <w:p w14:paraId="34943560"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результате разнонаправленных корректировок закона о краевом бюджете на 2024 год первоначальный плановый объем безвозмездных поступлений увеличен </w:t>
      </w:r>
      <w:r w:rsidRPr="00E47AA9">
        <w:rPr>
          <w:rFonts w:ascii="Times New Roman" w:eastAsia="Calibri" w:hAnsi="Times New Roman" w:cs="Times New Roman"/>
          <w:sz w:val="28"/>
          <w:szCs w:val="28"/>
        </w:rPr>
        <w:t xml:space="preserve">на 4,87 %, или </w:t>
      </w:r>
      <w:r w:rsidRPr="00E47AA9">
        <w:rPr>
          <w:rFonts w:ascii="Times New Roman" w:eastAsia="Times New Roman" w:hAnsi="Times New Roman" w:cs="Times New Roman"/>
          <w:sz w:val="28"/>
          <w:szCs w:val="28"/>
          <w:lang w:eastAsia="ru-RU"/>
        </w:rPr>
        <w:t>на 1773,65 млн рублей, с 36400,98 млн рублей до 38174,62 млн рублей. Фактически за отчетный период средства поступили в объеме 38597,82 млн рублей, выполнение годового плана составило 101,11 %.</w:t>
      </w:r>
    </w:p>
    <w:p w14:paraId="34D060A5"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отчетном году по сравнению с 2023 годом (50259,55 млн рублей) безвозмездные поступления снизились на 11661,73 млн рублей, или на 23,20 %, в основном за счет иных межбюджетных трансфертов – на 8508,14 млн рублей, или в 3,5 раза, дотаций на 4934,65 млн рублей, или на 39,96 %, прочих безвозмездных поступлений – на 77,46 млн рублей, или на 31,74 %, безвозмездные поступления от негосударственных организаций – на 3,81 млн рублей, или на 8,02 %.</w:t>
      </w:r>
    </w:p>
    <w:p w14:paraId="39185955" w14:textId="77777777" w:rsidR="00E570D4"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При этом в 2024 году по сравнению с предыдущим годом увеличилось поступление субсидий – на 916,27 млн рублей, или на 4,09 %, субвенций – на 323,27 млн рублей, или на 10,77 %, безвозмездных поступлений от государственных организаций – на 123,78 млн рублей, или в 2,3 раза.</w:t>
      </w:r>
    </w:p>
    <w:p w14:paraId="7627DEFA" w14:textId="77777777" w:rsidR="00E570D4" w:rsidRPr="00E47AA9" w:rsidRDefault="00E570D4">
      <w:pPr>
        <w:spacing w:after="160" w:line="259" w:lineRule="auto"/>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br w:type="page"/>
      </w:r>
    </w:p>
    <w:p w14:paraId="72A21980" w14:textId="77777777" w:rsidR="00D52EC7" w:rsidRPr="00E47AA9" w:rsidRDefault="00D52EC7" w:rsidP="00D52EC7">
      <w:pPr>
        <w:spacing w:after="0" w:line="240" w:lineRule="auto"/>
        <w:ind w:firstLine="709"/>
        <w:jc w:val="center"/>
        <w:rPr>
          <w:rFonts w:ascii="Times New Roman" w:eastAsia="Times New Roman" w:hAnsi="Times New Roman" w:cs="Times New Roman"/>
          <w:b/>
          <w:sz w:val="24"/>
          <w:szCs w:val="24"/>
          <w:lang w:eastAsia="ru-RU"/>
        </w:rPr>
      </w:pPr>
    </w:p>
    <w:p w14:paraId="4FB926EE" w14:textId="77777777" w:rsidR="00D52EC7" w:rsidRPr="00E47AA9" w:rsidRDefault="00D52EC7" w:rsidP="00D52EC7">
      <w:pPr>
        <w:spacing w:after="0" w:line="240" w:lineRule="auto"/>
        <w:ind w:firstLine="709"/>
        <w:jc w:val="center"/>
        <w:rPr>
          <w:rFonts w:ascii="Times New Roman" w:eastAsia="Times New Roman" w:hAnsi="Times New Roman" w:cs="Times New Roman"/>
          <w:b/>
          <w:sz w:val="24"/>
          <w:szCs w:val="24"/>
          <w:lang w:eastAsia="ru-RU"/>
        </w:rPr>
      </w:pPr>
      <w:r w:rsidRPr="00E47AA9">
        <w:rPr>
          <w:rFonts w:ascii="Times New Roman" w:eastAsia="Times New Roman" w:hAnsi="Times New Roman" w:cs="Times New Roman"/>
          <w:b/>
          <w:sz w:val="24"/>
          <w:szCs w:val="24"/>
          <w:lang w:eastAsia="ru-RU"/>
        </w:rPr>
        <w:t xml:space="preserve">Сравнительная характеристика безвозмездных поступлений </w:t>
      </w:r>
    </w:p>
    <w:p w14:paraId="0D1753CD" w14:textId="77777777" w:rsidR="00D52EC7" w:rsidRPr="00E47AA9" w:rsidRDefault="00D52EC7" w:rsidP="00D52EC7">
      <w:pPr>
        <w:spacing w:after="0" w:line="240" w:lineRule="auto"/>
        <w:ind w:firstLine="709"/>
        <w:jc w:val="center"/>
        <w:rPr>
          <w:rFonts w:ascii="Times New Roman" w:eastAsia="Times New Roman" w:hAnsi="Times New Roman" w:cs="Times New Roman"/>
          <w:b/>
          <w:sz w:val="24"/>
          <w:szCs w:val="24"/>
          <w:lang w:eastAsia="ru-RU"/>
        </w:rPr>
      </w:pPr>
      <w:r w:rsidRPr="00E47AA9">
        <w:rPr>
          <w:rFonts w:ascii="Times New Roman" w:eastAsia="Times New Roman" w:hAnsi="Times New Roman" w:cs="Times New Roman"/>
          <w:b/>
          <w:sz w:val="24"/>
          <w:szCs w:val="24"/>
          <w:lang w:eastAsia="ru-RU"/>
        </w:rPr>
        <w:t xml:space="preserve">(без учета возврата остатков межбюджетных трансфертов прошлых лет) </w:t>
      </w:r>
    </w:p>
    <w:p w14:paraId="52F6A30F" w14:textId="77777777" w:rsidR="00D52EC7" w:rsidRPr="00E47AA9" w:rsidRDefault="00D52EC7" w:rsidP="00D52EC7">
      <w:pPr>
        <w:spacing w:after="0" w:line="240" w:lineRule="auto"/>
        <w:ind w:firstLine="709"/>
        <w:jc w:val="center"/>
        <w:rPr>
          <w:rFonts w:ascii="Times New Roman" w:eastAsia="Times New Roman" w:hAnsi="Times New Roman" w:cs="Times New Roman"/>
          <w:b/>
          <w:sz w:val="24"/>
          <w:szCs w:val="24"/>
          <w:lang w:eastAsia="ru-RU"/>
        </w:rPr>
      </w:pPr>
      <w:r w:rsidRPr="00E47AA9">
        <w:rPr>
          <w:rFonts w:ascii="Times New Roman" w:eastAsia="Times New Roman" w:hAnsi="Times New Roman" w:cs="Times New Roman"/>
          <w:b/>
          <w:sz w:val="24"/>
          <w:szCs w:val="24"/>
          <w:lang w:eastAsia="ru-RU"/>
        </w:rPr>
        <w:t>за 2023 - 2024 годы (млн рублей)</w:t>
      </w:r>
    </w:p>
    <w:p w14:paraId="5ADA4A25" w14:textId="77777777" w:rsidR="00D52EC7" w:rsidRPr="00E47AA9" w:rsidRDefault="00D52EC7" w:rsidP="00D52EC7">
      <w:pPr>
        <w:spacing w:after="0" w:line="240" w:lineRule="auto"/>
        <w:jc w:val="both"/>
        <w:rPr>
          <w:rFonts w:ascii="Times New Roman" w:eastAsia="Times New Roman" w:hAnsi="Times New Roman" w:cs="Times New Roman"/>
          <w:sz w:val="28"/>
          <w:szCs w:val="28"/>
          <w:lang w:eastAsia="ru-RU"/>
        </w:rPr>
      </w:pPr>
      <w:r w:rsidRPr="00E47AA9">
        <w:rPr>
          <w:rFonts w:ascii="Times New Roman" w:hAnsi="Times New Roman" w:cs="Times New Roman"/>
          <w:noProof/>
          <w:lang w:eastAsia="ru-RU"/>
          <w14:ligatures w14:val="standardContextual"/>
        </w:rPr>
        <w:drawing>
          <wp:inline distT="0" distB="0" distL="0" distR="0" wp14:anchorId="75960E38" wp14:editId="18AC6977">
            <wp:extent cx="5934075" cy="3766820"/>
            <wp:effectExtent l="0" t="0" r="0" b="5080"/>
            <wp:docPr id="1959731660"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CE672EF3-2D63-60E6-F6B7-CB2FC20685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035B432A"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p>
    <w:p w14:paraId="5F2C4DF0" w14:textId="77777777" w:rsidR="00D52EC7" w:rsidRPr="00E47AA9" w:rsidRDefault="00D52EC7" w:rsidP="00D52EC7">
      <w:pPr>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sz w:val="28"/>
          <w:szCs w:val="28"/>
          <w:lang w:eastAsia="ru-RU"/>
        </w:rPr>
        <w:t>Сравнительный анализ безвозмездных поступлений в 2023 – 2024 годах и плановых назначений на 2025 год приведены в таблице.</w:t>
      </w:r>
    </w:p>
    <w:tbl>
      <w:tblPr>
        <w:tblW w:w="10298" w:type="dxa"/>
        <w:tblInd w:w="-567" w:type="dxa"/>
        <w:tblLayout w:type="fixed"/>
        <w:tblLook w:val="04A0" w:firstRow="1" w:lastRow="0" w:firstColumn="1" w:lastColumn="0" w:noHBand="0" w:noVBand="1"/>
      </w:tblPr>
      <w:tblGrid>
        <w:gridCol w:w="2978"/>
        <w:gridCol w:w="1000"/>
        <w:gridCol w:w="1000"/>
        <w:gridCol w:w="1000"/>
        <w:gridCol w:w="1000"/>
        <w:gridCol w:w="1160"/>
        <w:gridCol w:w="756"/>
        <w:gridCol w:w="1168"/>
        <w:gridCol w:w="236"/>
      </w:tblGrid>
      <w:tr w:rsidR="00E47AA9" w:rsidRPr="00E47AA9" w14:paraId="5710F769" w14:textId="77777777" w:rsidTr="00353702">
        <w:trPr>
          <w:gridAfter w:val="1"/>
          <w:wAfter w:w="236" w:type="dxa"/>
          <w:trHeight w:val="20"/>
          <w:tblHeader/>
        </w:trPr>
        <w:tc>
          <w:tcPr>
            <w:tcW w:w="2978" w:type="dxa"/>
            <w:tcBorders>
              <w:top w:val="nil"/>
              <w:left w:val="nil"/>
              <w:bottom w:val="nil"/>
              <w:right w:val="nil"/>
            </w:tcBorders>
            <w:shd w:val="clear" w:color="auto" w:fill="auto"/>
            <w:vAlign w:val="center"/>
            <w:hideMark/>
          </w:tcPr>
          <w:p w14:paraId="41B6EC6B" w14:textId="77777777" w:rsidR="00D52EC7" w:rsidRPr="00E47AA9" w:rsidRDefault="00D52EC7" w:rsidP="00353702">
            <w:pPr>
              <w:spacing w:after="0" w:line="240" w:lineRule="auto"/>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w:t>
            </w:r>
          </w:p>
        </w:tc>
        <w:tc>
          <w:tcPr>
            <w:tcW w:w="2000" w:type="dxa"/>
            <w:gridSpan w:val="2"/>
            <w:tcBorders>
              <w:top w:val="nil"/>
              <w:left w:val="nil"/>
              <w:bottom w:val="nil"/>
              <w:right w:val="nil"/>
            </w:tcBorders>
            <w:shd w:val="clear" w:color="auto" w:fill="auto"/>
            <w:vAlign w:val="center"/>
            <w:hideMark/>
          </w:tcPr>
          <w:p w14:paraId="2198A4DB" w14:textId="77777777" w:rsidR="00D52EC7" w:rsidRPr="00E47AA9" w:rsidRDefault="00D52EC7" w:rsidP="00353702">
            <w:pPr>
              <w:spacing w:after="0" w:line="240" w:lineRule="auto"/>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w:t>
            </w:r>
          </w:p>
        </w:tc>
        <w:tc>
          <w:tcPr>
            <w:tcW w:w="2000" w:type="dxa"/>
            <w:gridSpan w:val="2"/>
            <w:tcBorders>
              <w:top w:val="nil"/>
              <w:left w:val="nil"/>
              <w:bottom w:val="nil"/>
              <w:right w:val="nil"/>
            </w:tcBorders>
            <w:shd w:val="clear" w:color="auto" w:fill="auto"/>
            <w:vAlign w:val="center"/>
            <w:hideMark/>
          </w:tcPr>
          <w:p w14:paraId="77F9332E" w14:textId="77777777" w:rsidR="00D52EC7" w:rsidRPr="00E47AA9" w:rsidRDefault="00D52EC7" w:rsidP="00353702">
            <w:pPr>
              <w:spacing w:after="0" w:line="240" w:lineRule="auto"/>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w:t>
            </w:r>
          </w:p>
        </w:tc>
        <w:tc>
          <w:tcPr>
            <w:tcW w:w="1160" w:type="dxa"/>
            <w:tcBorders>
              <w:top w:val="nil"/>
              <w:left w:val="nil"/>
              <w:bottom w:val="nil"/>
              <w:right w:val="nil"/>
            </w:tcBorders>
            <w:shd w:val="clear" w:color="auto" w:fill="auto"/>
            <w:vAlign w:val="center"/>
            <w:hideMark/>
          </w:tcPr>
          <w:p w14:paraId="2E2D72CF" w14:textId="77777777" w:rsidR="00D52EC7" w:rsidRPr="00E47AA9" w:rsidRDefault="00D52EC7" w:rsidP="00353702">
            <w:pPr>
              <w:spacing w:after="0" w:line="240" w:lineRule="auto"/>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w:t>
            </w:r>
          </w:p>
        </w:tc>
        <w:tc>
          <w:tcPr>
            <w:tcW w:w="1924" w:type="dxa"/>
            <w:gridSpan w:val="2"/>
            <w:tcBorders>
              <w:top w:val="nil"/>
              <w:left w:val="nil"/>
              <w:bottom w:val="nil"/>
              <w:right w:val="nil"/>
            </w:tcBorders>
            <w:shd w:val="clear" w:color="auto" w:fill="auto"/>
            <w:vAlign w:val="center"/>
            <w:hideMark/>
          </w:tcPr>
          <w:p w14:paraId="209A35DC"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24"/>
                <w:szCs w:val="19"/>
                <w:lang w:eastAsia="ru-RU"/>
              </w:rPr>
              <w:t>(млн рублей)</w:t>
            </w:r>
          </w:p>
        </w:tc>
      </w:tr>
      <w:tr w:rsidR="00E47AA9" w:rsidRPr="00E47AA9" w14:paraId="327554EA" w14:textId="77777777" w:rsidTr="00353702">
        <w:trPr>
          <w:gridAfter w:val="1"/>
          <w:wAfter w:w="236" w:type="dxa"/>
          <w:trHeight w:val="20"/>
          <w:tblHeader/>
        </w:trPr>
        <w:tc>
          <w:tcPr>
            <w:tcW w:w="29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F063B7" w14:textId="77777777" w:rsidR="00D52EC7" w:rsidRPr="00E47AA9" w:rsidRDefault="00D52EC7" w:rsidP="00353702">
            <w:pPr>
              <w:spacing w:after="0" w:line="240" w:lineRule="auto"/>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Наименование</w:t>
            </w:r>
          </w:p>
        </w:tc>
        <w:tc>
          <w:tcPr>
            <w:tcW w:w="2000" w:type="dxa"/>
            <w:gridSpan w:val="2"/>
            <w:tcBorders>
              <w:top w:val="single" w:sz="4" w:space="0" w:color="auto"/>
              <w:left w:val="nil"/>
              <w:bottom w:val="single" w:sz="4" w:space="0" w:color="auto"/>
              <w:right w:val="single" w:sz="4" w:space="0" w:color="auto"/>
            </w:tcBorders>
            <w:shd w:val="clear" w:color="auto" w:fill="auto"/>
            <w:vAlign w:val="center"/>
            <w:hideMark/>
          </w:tcPr>
          <w:p w14:paraId="612E44E3" w14:textId="77777777" w:rsidR="00D52EC7" w:rsidRPr="00E47AA9" w:rsidRDefault="00D52EC7" w:rsidP="00353702">
            <w:pPr>
              <w:spacing w:after="0" w:line="240" w:lineRule="auto"/>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2023 год</w:t>
            </w:r>
          </w:p>
        </w:tc>
        <w:tc>
          <w:tcPr>
            <w:tcW w:w="2000" w:type="dxa"/>
            <w:gridSpan w:val="2"/>
            <w:tcBorders>
              <w:top w:val="single" w:sz="4" w:space="0" w:color="auto"/>
              <w:left w:val="nil"/>
              <w:bottom w:val="single" w:sz="4" w:space="0" w:color="auto"/>
              <w:right w:val="single" w:sz="4" w:space="0" w:color="auto"/>
            </w:tcBorders>
            <w:shd w:val="clear" w:color="auto" w:fill="auto"/>
            <w:vAlign w:val="center"/>
            <w:hideMark/>
          </w:tcPr>
          <w:p w14:paraId="47159766" w14:textId="77777777" w:rsidR="00D52EC7" w:rsidRPr="00E47AA9" w:rsidRDefault="00D52EC7" w:rsidP="00353702">
            <w:pPr>
              <w:spacing w:after="0" w:line="240" w:lineRule="auto"/>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2024 год</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14:paraId="225E0337" w14:textId="77777777" w:rsidR="00D52EC7" w:rsidRPr="00E47AA9" w:rsidRDefault="00D52EC7" w:rsidP="00353702">
            <w:pPr>
              <w:spacing w:after="0" w:line="240" w:lineRule="auto"/>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2025 год</w:t>
            </w:r>
          </w:p>
        </w:tc>
        <w:tc>
          <w:tcPr>
            <w:tcW w:w="1924" w:type="dxa"/>
            <w:gridSpan w:val="2"/>
            <w:tcBorders>
              <w:top w:val="single" w:sz="4" w:space="0" w:color="auto"/>
              <w:left w:val="nil"/>
              <w:bottom w:val="single" w:sz="4" w:space="0" w:color="auto"/>
              <w:right w:val="single" w:sz="4" w:space="0" w:color="auto"/>
            </w:tcBorders>
            <w:shd w:val="clear" w:color="auto" w:fill="auto"/>
            <w:vAlign w:val="center"/>
            <w:hideMark/>
          </w:tcPr>
          <w:p w14:paraId="0BAE22AF" w14:textId="77777777" w:rsidR="00D52EC7" w:rsidRPr="00E47AA9" w:rsidRDefault="00D52EC7" w:rsidP="00353702">
            <w:pPr>
              <w:spacing w:after="0" w:line="240" w:lineRule="auto"/>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Отклонение исполнения 2024 от 2023 года</w:t>
            </w:r>
          </w:p>
        </w:tc>
      </w:tr>
      <w:tr w:rsidR="00E47AA9" w:rsidRPr="00E47AA9" w14:paraId="6C0AEC86" w14:textId="77777777" w:rsidTr="00353702">
        <w:trPr>
          <w:gridAfter w:val="1"/>
          <w:wAfter w:w="236" w:type="dxa"/>
          <w:trHeight w:val="509"/>
          <w:tblHeader/>
        </w:trPr>
        <w:tc>
          <w:tcPr>
            <w:tcW w:w="2978" w:type="dxa"/>
            <w:vMerge/>
            <w:tcBorders>
              <w:top w:val="single" w:sz="4" w:space="0" w:color="auto"/>
              <w:left w:val="single" w:sz="4" w:space="0" w:color="auto"/>
              <w:bottom w:val="single" w:sz="4" w:space="0" w:color="auto"/>
              <w:right w:val="single" w:sz="4" w:space="0" w:color="auto"/>
            </w:tcBorders>
            <w:vAlign w:val="center"/>
            <w:hideMark/>
          </w:tcPr>
          <w:p w14:paraId="5A475778" w14:textId="77777777" w:rsidR="00D52EC7" w:rsidRPr="00E47AA9" w:rsidRDefault="00D52EC7" w:rsidP="00353702">
            <w:pPr>
              <w:spacing w:after="0" w:line="240" w:lineRule="auto"/>
              <w:rPr>
                <w:rFonts w:ascii="Times New Roman" w:eastAsia="Times New Roman" w:hAnsi="Times New Roman" w:cs="Times New Roman"/>
                <w:sz w:val="19"/>
                <w:szCs w:val="19"/>
                <w:lang w:eastAsia="ru-RU"/>
              </w:rPr>
            </w:pPr>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14:paraId="7DF374DA" w14:textId="77777777" w:rsidR="00D52EC7" w:rsidRPr="00E47AA9" w:rsidRDefault="00D52EC7" w:rsidP="00353702">
            <w:pPr>
              <w:spacing w:after="0" w:line="80" w:lineRule="atLeast"/>
              <w:jc w:val="center"/>
              <w:rPr>
                <w:rFonts w:ascii="Times New Roman" w:eastAsia="Times New Roman" w:hAnsi="Times New Roman" w:cs="Times New Roman"/>
                <w:sz w:val="19"/>
                <w:szCs w:val="19"/>
                <w:lang w:eastAsia="ru-RU"/>
              </w:rPr>
            </w:pPr>
            <w:proofErr w:type="spellStart"/>
            <w:proofErr w:type="gramStart"/>
            <w:r w:rsidRPr="00E47AA9">
              <w:rPr>
                <w:rFonts w:ascii="Times New Roman" w:eastAsia="Times New Roman" w:hAnsi="Times New Roman" w:cs="Times New Roman"/>
                <w:sz w:val="19"/>
                <w:szCs w:val="19"/>
                <w:lang w:eastAsia="ru-RU"/>
              </w:rPr>
              <w:t>утверж-дено</w:t>
            </w:r>
            <w:proofErr w:type="spellEnd"/>
            <w:proofErr w:type="gramEnd"/>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14:paraId="7FD6BC5D" w14:textId="77777777" w:rsidR="00D52EC7" w:rsidRPr="00E47AA9" w:rsidRDefault="00D52EC7" w:rsidP="00353702">
            <w:pPr>
              <w:spacing w:after="0" w:line="80" w:lineRule="atLeast"/>
              <w:jc w:val="center"/>
              <w:rPr>
                <w:rFonts w:ascii="Times New Roman" w:eastAsia="Times New Roman" w:hAnsi="Times New Roman" w:cs="Times New Roman"/>
                <w:sz w:val="19"/>
                <w:szCs w:val="19"/>
                <w:lang w:eastAsia="ru-RU"/>
              </w:rPr>
            </w:pPr>
            <w:proofErr w:type="spellStart"/>
            <w:proofErr w:type="gramStart"/>
            <w:r w:rsidRPr="00E47AA9">
              <w:rPr>
                <w:rFonts w:ascii="Times New Roman" w:eastAsia="Times New Roman" w:hAnsi="Times New Roman" w:cs="Times New Roman"/>
                <w:sz w:val="19"/>
                <w:szCs w:val="19"/>
                <w:lang w:eastAsia="ru-RU"/>
              </w:rPr>
              <w:t>испол-нено</w:t>
            </w:r>
            <w:proofErr w:type="spellEnd"/>
            <w:proofErr w:type="gramEnd"/>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14:paraId="6C052EA6" w14:textId="77777777" w:rsidR="00D52EC7" w:rsidRPr="00E47AA9" w:rsidRDefault="00D52EC7" w:rsidP="00353702">
            <w:pPr>
              <w:spacing w:after="0" w:line="80" w:lineRule="atLeast"/>
              <w:jc w:val="center"/>
              <w:rPr>
                <w:rFonts w:ascii="Times New Roman" w:eastAsia="Times New Roman" w:hAnsi="Times New Roman" w:cs="Times New Roman"/>
                <w:sz w:val="19"/>
                <w:szCs w:val="19"/>
                <w:lang w:eastAsia="ru-RU"/>
              </w:rPr>
            </w:pPr>
            <w:proofErr w:type="spellStart"/>
            <w:proofErr w:type="gramStart"/>
            <w:r w:rsidRPr="00E47AA9">
              <w:rPr>
                <w:rFonts w:ascii="Times New Roman" w:eastAsia="Times New Roman" w:hAnsi="Times New Roman" w:cs="Times New Roman"/>
                <w:sz w:val="19"/>
                <w:szCs w:val="19"/>
                <w:lang w:eastAsia="ru-RU"/>
              </w:rPr>
              <w:t>утверж-дено</w:t>
            </w:r>
            <w:proofErr w:type="spellEnd"/>
            <w:proofErr w:type="gramEnd"/>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14:paraId="1DDB81AE" w14:textId="77777777" w:rsidR="00D52EC7" w:rsidRPr="00E47AA9" w:rsidRDefault="00D52EC7" w:rsidP="00353702">
            <w:pPr>
              <w:spacing w:after="0" w:line="80" w:lineRule="atLeast"/>
              <w:jc w:val="center"/>
              <w:rPr>
                <w:rFonts w:ascii="Times New Roman" w:eastAsia="Times New Roman" w:hAnsi="Times New Roman" w:cs="Times New Roman"/>
                <w:sz w:val="19"/>
                <w:szCs w:val="19"/>
                <w:lang w:eastAsia="ru-RU"/>
              </w:rPr>
            </w:pPr>
            <w:proofErr w:type="spellStart"/>
            <w:proofErr w:type="gramStart"/>
            <w:r w:rsidRPr="00E47AA9">
              <w:rPr>
                <w:rFonts w:ascii="Times New Roman" w:eastAsia="Times New Roman" w:hAnsi="Times New Roman" w:cs="Times New Roman"/>
                <w:sz w:val="19"/>
                <w:szCs w:val="19"/>
                <w:lang w:eastAsia="ru-RU"/>
              </w:rPr>
              <w:t>испол-нено</w:t>
            </w:r>
            <w:proofErr w:type="spellEnd"/>
            <w:proofErr w:type="gramEnd"/>
          </w:p>
        </w:tc>
        <w:tc>
          <w:tcPr>
            <w:tcW w:w="1160" w:type="dxa"/>
            <w:vMerge w:val="restart"/>
            <w:tcBorders>
              <w:top w:val="nil"/>
              <w:left w:val="single" w:sz="4" w:space="0" w:color="auto"/>
              <w:bottom w:val="single" w:sz="4" w:space="0" w:color="auto"/>
              <w:right w:val="single" w:sz="4" w:space="0" w:color="auto"/>
            </w:tcBorders>
            <w:shd w:val="clear" w:color="auto" w:fill="auto"/>
            <w:vAlign w:val="center"/>
            <w:hideMark/>
          </w:tcPr>
          <w:p w14:paraId="090AAEEE" w14:textId="77777777" w:rsidR="00D52EC7" w:rsidRPr="00E47AA9" w:rsidRDefault="00D52EC7" w:rsidP="00353702">
            <w:pPr>
              <w:spacing w:after="0" w:line="80" w:lineRule="atLeast"/>
              <w:jc w:val="center"/>
              <w:rPr>
                <w:rFonts w:ascii="Times New Roman" w:eastAsia="Times New Roman" w:hAnsi="Times New Roman" w:cs="Times New Roman"/>
                <w:sz w:val="19"/>
                <w:szCs w:val="19"/>
                <w:lang w:eastAsia="ru-RU"/>
              </w:rPr>
            </w:pPr>
            <w:proofErr w:type="spellStart"/>
            <w:proofErr w:type="gramStart"/>
            <w:r w:rsidRPr="00E47AA9">
              <w:rPr>
                <w:rFonts w:ascii="Times New Roman" w:eastAsia="Times New Roman" w:hAnsi="Times New Roman" w:cs="Times New Roman"/>
                <w:sz w:val="19"/>
                <w:szCs w:val="19"/>
                <w:lang w:eastAsia="ru-RU"/>
              </w:rPr>
              <w:t>утверж-дено</w:t>
            </w:r>
            <w:proofErr w:type="spellEnd"/>
            <w:proofErr w:type="gramEnd"/>
          </w:p>
        </w:tc>
        <w:tc>
          <w:tcPr>
            <w:tcW w:w="75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E59535" w14:textId="77777777" w:rsidR="00D52EC7" w:rsidRPr="00E47AA9" w:rsidRDefault="00D52EC7" w:rsidP="00353702">
            <w:pPr>
              <w:spacing w:after="0" w:line="80" w:lineRule="atLeast"/>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w:t>
            </w:r>
          </w:p>
        </w:tc>
        <w:tc>
          <w:tcPr>
            <w:tcW w:w="116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9A0DA8" w14:textId="77777777" w:rsidR="00D52EC7" w:rsidRPr="00E47AA9" w:rsidRDefault="00D52EC7" w:rsidP="00353702">
            <w:pPr>
              <w:spacing w:after="0" w:line="80" w:lineRule="atLeast"/>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сумма</w:t>
            </w:r>
          </w:p>
        </w:tc>
      </w:tr>
      <w:tr w:rsidR="00E47AA9" w:rsidRPr="00E47AA9" w14:paraId="0168413D" w14:textId="77777777" w:rsidTr="00353702">
        <w:trPr>
          <w:trHeight w:val="75"/>
        </w:trPr>
        <w:tc>
          <w:tcPr>
            <w:tcW w:w="2978" w:type="dxa"/>
            <w:vMerge/>
            <w:tcBorders>
              <w:top w:val="single" w:sz="4" w:space="0" w:color="auto"/>
              <w:left w:val="single" w:sz="4" w:space="0" w:color="auto"/>
              <w:bottom w:val="single" w:sz="4" w:space="0" w:color="auto"/>
              <w:right w:val="single" w:sz="4" w:space="0" w:color="auto"/>
            </w:tcBorders>
            <w:vAlign w:val="center"/>
            <w:hideMark/>
          </w:tcPr>
          <w:p w14:paraId="7A20D2AD" w14:textId="77777777" w:rsidR="00D52EC7" w:rsidRPr="00E47AA9" w:rsidRDefault="00D52EC7" w:rsidP="00353702">
            <w:pPr>
              <w:spacing w:after="0" w:line="240" w:lineRule="auto"/>
              <w:rPr>
                <w:rFonts w:ascii="Times New Roman" w:eastAsia="Times New Roman" w:hAnsi="Times New Roman" w:cs="Times New Roman"/>
                <w:sz w:val="19"/>
                <w:szCs w:val="19"/>
                <w:lang w:eastAsia="ru-RU"/>
              </w:rPr>
            </w:pPr>
          </w:p>
        </w:tc>
        <w:tc>
          <w:tcPr>
            <w:tcW w:w="1000" w:type="dxa"/>
            <w:vMerge/>
            <w:tcBorders>
              <w:top w:val="nil"/>
              <w:left w:val="single" w:sz="4" w:space="0" w:color="auto"/>
              <w:bottom w:val="single" w:sz="4" w:space="0" w:color="auto"/>
              <w:right w:val="single" w:sz="4" w:space="0" w:color="auto"/>
            </w:tcBorders>
            <w:vAlign w:val="center"/>
            <w:hideMark/>
          </w:tcPr>
          <w:p w14:paraId="583F3CBE" w14:textId="77777777" w:rsidR="00D52EC7" w:rsidRPr="00E47AA9" w:rsidRDefault="00D52EC7" w:rsidP="00353702">
            <w:pPr>
              <w:spacing w:after="0" w:line="240" w:lineRule="auto"/>
              <w:rPr>
                <w:rFonts w:ascii="Times New Roman" w:eastAsia="Times New Roman" w:hAnsi="Times New Roman" w:cs="Times New Roman"/>
                <w:sz w:val="19"/>
                <w:szCs w:val="19"/>
                <w:lang w:eastAsia="ru-RU"/>
              </w:rPr>
            </w:pPr>
          </w:p>
        </w:tc>
        <w:tc>
          <w:tcPr>
            <w:tcW w:w="1000" w:type="dxa"/>
            <w:vMerge/>
            <w:tcBorders>
              <w:top w:val="nil"/>
              <w:left w:val="single" w:sz="4" w:space="0" w:color="auto"/>
              <w:bottom w:val="single" w:sz="4" w:space="0" w:color="auto"/>
              <w:right w:val="single" w:sz="4" w:space="0" w:color="auto"/>
            </w:tcBorders>
            <w:vAlign w:val="center"/>
            <w:hideMark/>
          </w:tcPr>
          <w:p w14:paraId="0D0A35A5" w14:textId="77777777" w:rsidR="00D52EC7" w:rsidRPr="00E47AA9" w:rsidRDefault="00D52EC7" w:rsidP="00353702">
            <w:pPr>
              <w:spacing w:after="0" w:line="240" w:lineRule="auto"/>
              <w:rPr>
                <w:rFonts w:ascii="Times New Roman" w:eastAsia="Times New Roman" w:hAnsi="Times New Roman" w:cs="Times New Roman"/>
                <w:sz w:val="19"/>
                <w:szCs w:val="19"/>
                <w:lang w:eastAsia="ru-RU"/>
              </w:rPr>
            </w:pPr>
          </w:p>
        </w:tc>
        <w:tc>
          <w:tcPr>
            <w:tcW w:w="1000" w:type="dxa"/>
            <w:vMerge/>
            <w:tcBorders>
              <w:top w:val="nil"/>
              <w:left w:val="single" w:sz="4" w:space="0" w:color="auto"/>
              <w:bottom w:val="single" w:sz="4" w:space="0" w:color="auto"/>
              <w:right w:val="single" w:sz="4" w:space="0" w:color="auto"/>
            </w:tcBorders>
            <w:vAlign w:val="center"/>
            <w:hideMark/>
          </w:tcPr>
          <w:p w14:paraId="5BB8AEA4" w14:textId="77777777" w:rsidR="00D52EC7" w:rsidRPr="00E47AA9" w:rsidRDefault="00D52EC7" w:rsidP="00353702">
            <w:pPr>
              <w:spacing w:after="0" w:line="240" w:lineRule="auto"/>
              <w:rPr>
                <w:rFonts w:ascii="Times New Roman" w:eastAsia="Times New Roman" w:hAnsi="Times New Roman" w:cs="Times New Roman"/>
                <w:sz w:val="19"/>
                <w:szCs w:val="19"/>
                <w:lang w:eastAsia="ru-RU"/>
              </w:rPr>
            </w:pPr>
          </w:p>
        </w:tc>
        <w:tc>
          <w:tcPr>
            <w:tcW w:w="1000" w:type="dxa"/>
            <w:vMerge/>
            <w:tcBorders>
              <w:top w:val="nil"/>
              <w:left w:val="single" w:sz="4" w:space="0" w:color="auto"/>
              <w:bottom w:val="single" w:sz="4" w:space="0" w:color="auto"/>
              <w:right w:val="single" w:sz="4" w:space="0" w:color="auto"/>
            </w:tcBorders>
            <w:vAlign w:val="center"/>
            <w:hideMark/>
          </w:tcPr>
          <w:p w14:paraId="5710B027" w14:textId="77777777" w:rsidR="00D52EC7" w:rsidRPr="00E47AA9" w:rsidRDefault="00D52EC7" w:rsidP="00353702">
            <w:pPr>
              <w:spacing w:after="0" w:line="240" w:lineRule="auto"/>
              <w:rPr>
                <w:rFonts w:ascii="Times New Roman" w:eastAsia="Times New Roman" w:hAnsi="Times New Roman" w:cs="Times New Roman"/>
                <w:sz w:val="19"/>
                <w:szCs w:val="19"/>
                <w:lang w:eastAsia="ru-RU"/>
              </w:rPr>
            </w:pPr>
          </w:p>
        </w:tc>
        <w:tc>
          <w:tcPr>
            <w:tcW w:w="1160" w:type="dxa"/>
            <w:vMerge/>
            <w:tcBorders>
              <w:top w:val="nil"/>
              <w:left w:val="single" w:sz="4" w:space="0" w:color="auto"/>
              <w:bottom w:val="single" w:sz="4" w:space="0" w:color="auto"/>
              <w:right w:val="single" w:sz="4" w:space="0" w:color="auto"/>
            </w:tcBorders>
            <w:vAlign w:val="center"/>
            <w:hideMark/>
          </w:tcPr>
          <w:p w14:paraId="3642BB8F" w14:textId="77777777" w:rsidR="00D52EC7" w:rsidRPr="00E47AA9" w:rsidRDefault="00D52EC7" w:rsidP="00353702">
            <w:pPr>
              <w:spacing w:after="0" w:line="240" w:lineRule="auto"/>
              <w:rPr>
                <w:rFonts w:ascii="Times New Roman" w:eastAsia="Times New Roman" w:hAnsi="Times New Roman" w:cs="Times New Roman"/>
                <w:sz w:val="19"/>
                <w:szCs w:val="19"/>
                <w:lang w:eastAsia="ru-RU"/>
              </w:rPr>
            </w:pPr>
          </w:p>
        </w:tc>
        <w:tc>
          <w:tcPr>
            <w:tcW w:w="756" w:type="dxa"/>
            <w:vMerge/>
            <w:tcBorders>
              <w:top w:val="nil"/>
              <w:left w:val="single" w:sz="4" w:space="0" w:color="auto"/>
              <w:bottom w:val="single" w:sz="4" w:space="0" w:color="auto"/>
              <w:right w:val="single" w:sz="4" w:space="0" w:color="auto"/>
            </w:tcBorders>
            <w:vAlign w:val="center"/>
            <w:hideMark/>
          </w:tcPr>
          <w:p w14:paraId="39222C4D" w14:textId="77777777" w:rsidR="00D52EC7" w:rsidRPr="00E47AA9" w:rsidRDefault="00D52EC7" w:rsidP="00353702">
            <w:pPr>
              <w:spacing w:after="0" w:line="240" w:lineRule="auto"/>
              <w:rPr>
                <w:rFonts w:ascii="Times New Roman" w:eastAsia="Times New Roman" w:hAnsi="Times New Roman" w:cs="Times New Roman"/>
                <w:sz w:val="19"/>
                <w:szCs w:val="19"/>
                <w:lang w:eastAsia="ru-RU"/>
              </w:rPr>
            </w:pPr>
          </w:p>
        </w:tc>
        <w:tc>
          <w:tcPr>
            <w:tcW w:w="1168" w:type="dxa"/>
            <w:vMerge/>
            <w:tcBorders>
              <w:top w:val="nil"/>
              <w:left w:val="single" w:sz="4" w:space="0" w:color="auto"/>
              <w:bottom w:val="single" w:sz="4" w:space="0" w:color="auto"/>
              <w:right w:val="single" w:sz="4" w:space="0" w:color="auto"/>
            </w:tcBorders>
            <w:vAlign w:val="center"/>
            <w:hideMark/>
          </w:tcPr>
          <w:p w14:paraId="6F0A4728" w14:textId="77777777" w:rsidR="00D52EC7" w:rsidRPr="00E47AA9" w:rsidRDefault="00D52EC7" w:rsidP="00353702">
            <w:pPr>
              <w:spacing w:after="0" w:line="240" w:lineRule="auto"/>
              <w:rPr>
                <w:rFonts w:ascii="Times New Roman" w:eastAsia="Times New Roman" w:hAnsi="Times New Roman" w:cs="Times New Roman"/>
                <w:sz w:val="19"/>
                <w:szCs w:val="19"/>
                <w:lang w:eastAsia="ru-RU"/>
              </w:rPr>
            </w:pPr>
          </w:p>
        </w:tc>
        <w:tc>
          <w:tcPr>
            <w:tcW w:w="236" w:type="dxa"/>
            <w:tcBorders>
              <w:top w:val="nil"/>
              <w:left w:val="nil"/>
              <w:bottom w:val="nil"/>
              <w:right w:val="nil"/>
            </w:tcBorders>
            <w:shd w:val="clear" w:color="auto" w:fill="auto"/>
            <w:noWrap/>
            <w:vAlign w:val="bottom"/>
            <w:hideMark/>
          </w:tcPr>
          <w:p w14:paraId="7858CAC8" w14:textId="77777777" w:rsidR="00D52EC7" w:rsidRPr="00E47AA9" w:rsidRDefault="00D52EC7" w:rsidP="00353702">
            <w:pPr>
              <w:spacing w:after="0" w:line="240" w:lineRule="auto"/>
              <w:jc w:val="center"/>
              <w:rPr>
                <w:rFonts w:ascii="Times New Roman" w:eastAsia="Times New Roman" w:hAnsi="Times New Roman" w:cs="Times New Roman"/>
                <w:sz w:val="19"/>
                <w:szCs w:val="19"/>
                <w:lang w:eastAsia="ru-RU"/>
              </w:rPr>
            </w:pPr>
          </w:p>
        </w:tc>
      </w:tr>
      <w:tr w:rsidR="00E47AA9" w:rsidRPr="00E47AA9" w14:paraId="7A02D737" w14:textId="77777777" w:rsidTr="00353702">
        <w:trPr>
          <w:trHeight w:val="20"/>
        </w:trPr>
        <w:tc>
          <w:tcPr>
            <w:tcW w:w="2978" w:type="dxa"/>
            <w:tcBorders>
              <w:top w:val="nil"/>
              <w:left w:val="single" w:sz="4" w:space="0" w:color="auto"/>
              <w:bottom w:val="single" w:sz="4" w:space="0" w:color="auto"/>
              <w:right w:val="single" w:sz="4" w:space="0" w:color="auto"/>
            </w:tcBorders>
            <w:shd w:val="clear" w:color="000000" w:fill="D9F2D0"/>
            <w:vAlign w:val="center"/>
            <w:hideMark/>
          </w:tcPr>
          <w:p w14:paraId="179B67E7" w14:textId="77777777" w:rsidR="00D52EC7" w:rsidRPr="00E47AA9" w:rsidRDefault="00D52EC7" w:rsidP="00353702">
            <w:pPr>
              <w:spacing w:after="0" w:line="240" w:lineRule="auto"/>
              <w:rPr>
                <w:rFonts w:ascii="Times New Roman" w:eastAsia="Times New Roman" w:hAnsi="Times New Roman" w:cs="Times New Roman"/>
                <w:b/>
                <w:bCs/>
                <w:sz w:val="19"/>
                <w:szCs w:val="19"/>
                <w:lang w:eastAsia="ru-RU"/>
              </w:rPr>
            </w:pPr>
            <w:r w:rsidRPr="00E47AA9">
              <w:rPr>
                <w:rFonts w:ascii="Times New Roman" w:eastAsia="Times New Roman" w:hAnsi="Times New Roman" w:cs="Times New Roman"/>
                <w:b/>
                <w:bCs/>
                <w:sz w:val="19"/>
                <w:szCs w:val="19"/>
                <w:lang w:eastAsia="ru-RU"/>
              </w:rPr>
              <w:t>БЕЗВОЗМЕЗДНЫЕ ПОСТУПЛЕНИЯ</w:t>
            </w:r>
          </w:p>
        </w:tc>
        <w:tc>
          <w:tcPr>
            <w:tcW w:w="1000" w:type="dxa"/>
            <w:tcBorders>
              <w:top w:val="nil"/>
              <w:left w:val="nil"/>
              <w:bottom w:val="single" w:sz="4" w:space="0" w:color="auto"/>
              <w:right w:val="single" w:sz="4" w:space="0" w:color="auto"/>
            </w:tcBorders>
            <w:shd w:val="clear" w:color="000000" w:fill="D9F2D0"/>
            <w:noWrap/>
            <w:vAlign w:val="bottom"/>
            <w:hideMark/>
          </w:tcPr>
          <w:p w14:paraId="3FEDB8E0" w14:textId="77777777" w:rsidR="00D52EC7" w:rsidRPr="00E47AA9" w:rsidRDefault="00D52EC7" w:rsidP="00353702">
            <w:pPr>
              <w:spacing w:after="0" w:line="240" w:lineRule="auto"/>
              <w:jc w:val="right"/>
              <w:rPr>
                <w:rFonts w:ascii="Times New Roman" w:eastAsia="Times New Roman" w:hAnsi="Times New Roman" w:cs="Times New Roman"/>
                <w:b/>
                <w:bCs/>
                <w:sz w:val="19"/>
                <w:szCs w:val="19"/>
                <w:lang w:eastAsia="ru-RU"/>
              </w:rPr>
            </w:pPr>
            <w:r w:rsidRPr="00E47AA9">
              <w:rPr>
                <w:rFonts w:ascii="Times New Roman" w:eastAsia="Times New Roman" w:hAnsi="Times New Roman" w:cs="Times New Roman"/>
                <w:b/>
                <w:bCs/>
                <w:sz w:val="19"/>
                <w:szCs w:val="19"/>
                <w:lang w:eastAsia="ru-RU"/>
              </w:rPr>
              <w:t>50 313,17</w:t>
            </w:r>
          </w:p>
        </w:tc>
        <w:tc>
          <w:tcPr>
            <w:tcW w:w="1000" w:type="dxa"/>
            <w:tcBorders>
              <w:top w:val="nil"/>
              <w:left w:val="nil"/>
              <w:bottom w:val="single" w:sz="4" w:space="0" w:color="auto"/>
              <w:right w:val="single" w:sz="4" w:space="0" w:color="auto"/>
            </w:tcBorders>
            <w:shd w:val="clear" w:color="000000" w:fill="D9F2D0"/>
            <w:noWrap/>
            <w:vAlign w:val="bottom"/>
            <w:hideMark/>
          </w:tcPr>
          <w:p w14:paraId="1DDA31F2" w14:textId="77777777" w:rsidR="00D52EC7" w:rsidRPr="00E47AA9" w:rsidRDefault="00D52EC7" w:rsidP="00353702">
            <w:pPr>
              <w:spacing w:after="0" w:line="240" w:lineRule="auto"/>
              <w:jc w:val="right"/>
              <w:rPr>
                <w:rFonts w:ascii="Times New Roman" w:eastAsia="Times New Roman" w:hAnsi="Times New Roman" w:cs="Times New Roman"/>
                <w:b/>
                <w:bCs/>
                <w:sz w:val="19"/>
                <w:szCs w:val="19"/>
                <w:lang w:eastAsia="ru-RU"/>
              </w:rPr>
            </w:pPr>
            <w:r w:rsidRPr="00E47AA9">
              <w:rPr>
                <w:rFonts w:ascii="Times New Roman" w:eastAsia="Times New Roman" w:hAnsi="Times New Roman" w:cs="Times New Roman"/>
                <w:b/>
                <w:bCs/>
                <w:sz w:val="19"/>
                <w:szCs w:val="19"/>
                <w:lang w:eastAsia="ru-RU"/>
              </w:rPr>
              <w:t>50 259,55</w:t>
            </w:r>
          </w:p>
        </w:tc>
        <w:tc>
          <w:tcPr>
            <w:tcW w:w="1000" w:type="dxa"/>
            <w:tcBorders>
              <w:top w:val="nil"/>
              <w:left w:val="nil"/>
              <w:bottom w:val="single" w:sz="4" w:space="0" w:color="auto"/>
              <w:right w:val="single" w:sz="4" w:space="0" w:color="auto"/>
            </w:tcBorders>
            <w:shd w:val="clear" w:color="000000" w:fill="D9F2D0"/>
            <w:noWrap/>
            <w:vAlign w:val="bottom"/>
            <w:hideMark/>
          </w:tcPr>
          <w:p w14:paraId="56BAD480" w14:textId="77777777" w:rsidR="00D52EC7" w:rsidRPr="00E47AA9" w:rsidRDefault="00D52EC7" w:rsidP="00353702">
            <w:pPr>
              <w:spacing w:after="0" w:line="240" w:lineRule="auto"/>
              <w:jc w:val="right"/>
              <w:rPr>
                <w:rFonts w:ascii="Times New Roman" w:eastAsia="Times New Roman" w:hAnsi="Times New Roman" w:cs="Times New Roman"/>
                <w:b/>
                <w:bCs/>
                <w:sz w:val="19"/>
                <w:szCs w:val="19"/>
                <w:lang w:eastAsia="ru-RU"/>
              </w:rPr>
            </w:pPr>
            <w:r w:rsidRPr="00E47AA9">
              <w:rPr>
                <w:rFonts w:ascii="Times New Roman" w:eastAsia="Times New Roman" w:hAnsi="Times New Roman" w:cs="Times New Roman"/>
                <w:b/>
                <w:bCs/>
                <w:sz w:val="19"/>
                <w:szCs w:val="19"/>
                <w:lang w:eastAsia="ru-RU"/>
              </w:rPr>
              <w:t>38 174,62</w:t>
            </w:r>
          </w:p>
        </w:tc>
        <w:tc>
          <w:tcPr>
            <w:tcW w:w="1000" w:type="dxa"/>
            <w:tcBorders>
              <w:top w:val="nil"/>
              <w:left w:val="nil"/>
              <w:bottom w:val="single" w:sz="4" w:space="0" w:color="auto"/>
              <w:right w:val="single" w:sz="4" w:space="0" w:color="auto"/>
            </w:tcBorders>
            <w:shd w:val="clear" w:color="000000" w:fill="D9F2D0"/>
            <w:noWrap/>
            <w:vAlign w:val="bottom"/>
            <w:hideMark/>
          </w:tcPr>
          <w:p w14:paraId="58770632" w14:textId="77777777" w:rsidR="00D52EC7" w:rsidRPr="00E47AA9" w:rsidRDefault="00D52EC7" w:rsidP="00353702">
            <w:pPr>
              <w:spacing w:after="0" w:line="240" w:lineRule="auto"/>
              <w:jc w:val="right"/>
              <w:rPr>
                <w:rFonts w:ascii="Times New Roman" w:eastAsia="Times New Roman" w:hAnsi="Times New Roman" w:cs="Times New Roman"/>
                <w:b/>
                <w:bCs/>
                <w:sz w:val="19"/>
                <w:szCs w:val="19"/>
                <w:lang w:eastAsia="ru-RU"/>
              </w:rPr>
            </w:pPr>
            <w:r w:rsidRPr="00E47AA9">
              <w:rPr>
                <w:rFonts w:ascii="Times New Roman" w:eastAsia="Times New Roman" w:hAnsi="Times New Roman" w:cs="Times New Roman"/>
                <w:b/>
                <w:bCs/>
                <w:sz w:val="19"/>
                <w:szCs w:val="19"/>
                <w:lang w:eastAsia="ru-RU"/>
              </w:rPr>
              <w:t>38 597,82</w:t>
            </w:r>
          </w:p>
        </w:tc>
        <w:tc>
          <w:tcPr>
            <w:tcW w:w="1160" w:type="dxa"/>
            <w:tcBorders>
              <w:top w:val="nil"/>
              <w:left w:val="nil"/>
              <w:bottom w:val="single" w:sz="4" w:space="0" w:color="auto"/>
              <w:right w:val="single" w:sz="4" w:space="0" w:color="auto"/>
            </w:tcBorders>
            <w:shd w:val="clear" w:color="000000" w:fill="D9F2D0"/>
            <w:noWrap/>
            <w:vAlign w:val="bottom"/>
            <w:hideMark/>
          </w:tcPr>
          <w:p w14:paraId="693581E1" w14:textId="77777777" w:rsidR="00D52EC7" w:rsidRPr="00E47AA9" w:rsidRDefault="00D52EC7" w:rsidP="00353702">
            <w:pPr>
              <w:spacing w:after="0" w:line="240" w:lineRule="auto"/>
              <w:jc w:val="right"/>
              <w:rPr>
                <w:rFonts w:ascii="Times New Roman" w:eastAsia="Times New Roman" w:hAnsi="Times New Roman" w:cs="Times New Roman"/>
                <w:b/>
                <w:bCs/>
                <w:sz w:val="19"/>
                <w:szCs w:val="19"/>
                <w:lang w:eastAsia="ru-RU"/>
              </w:rPr>
            </w:pPr>
            <w:r w:rsidRPr="00E47AA9">
              <w:rPr>
                <w:rFonts w:ascii="Times New Roman" w:eastAsia="Times New Roman" w:hAnsi="Times New Roman" w:cs="Times New Roman"/>
                <w:b/>
                <w:bCs/>
                <w:sz w:val="19"/>
                <w:szCs w:val="19"/>
                <w:lang w:eastAsia="ru-RU"/>
              </w:rPr>
              <w:t>47 911,51</w:t>
            </w:r>
          </w:p>
        </w:tc>
        <w:tc>
          <w:tcPr>
            <w:tcW w:w="756" w:type="dxa"/>
            <w:tcBorders>
              <w:top w:val="nil"/>
              <w:left w:val="nil"/>
              <w:bottom w:val="single" w:sz="4" w:space="0" w:color="auto"/>
              <w:right w:val="single" w:sz="4" w:space="0" w:color="auto"/>
            </w:tcBorders>
            <w:shd w:val="clear" w:color="000000" w:fill="D9F2D0"/>
            <w:noWrap/>
            <w:vAlign w:val="bottom"/>
            <w:hideMark/>
          </w:tcPr>
          <w:p w14:paraId="44C48D26" w14:textId="77777777" w:rsidR="00D52EC7" w:rsidRPr="00E47AA9" w:rsidRDefault="00D52EC7" w:rsidP="00353702">
            <w:pPr>
              <w:spacing w:after="0" w:line="240" w:lineRule="auto"/>
              <w:jc w:val="right"/>
              <w:rPr>
                <w:rFonts w:ascii="Times New Roman" w:eastAsia="Times New Roman" w:hAnsi="Times New Roman" w:cs="Times New Roman"/>
                <w:b/>
                <w:bCs/>
                <w:sz w:val="19"/>
                <w:szCs w:val="19"/>
                <w:lang w:eastAsia="ru-RU"/>
              </w:rPr>
            </w:pPr>
            <w:r w:rsidRPr="00E47AA9">
              <w:rPr>
                <w:rFonts w:ascii="Times New Roman" w:eastAsia="Times New Roman" w:hAnsi="Times New Roman" w:cs="Times New Roman"/>
                <w:b/>
                <w:bCs/>
                <w:sz w:val="19"/>
                <w:szCs w:val="19"/>
                <w:lang w:eastAsia="ru-RU"/>
              </w:rPr>
              <w:t>76,80</w:t>
            </w:r>
          </w:p>
        </w:tc>
        <w:tc>
          <w:tcPr>
            <w:tcW w:w="1168" w:type="dxa"/>
            <w:tcBorders>
              <w:top w:val="nil"/>
              <w:left w:val="nil"/>
              <w:bottom w:val="single" w:sz="4" w:space="0" w:color="auto"/>
              <w:right w:val="single" w:sz="4" w:space="0" w:color="auto"/>
            </w:tcBorders>
            <w:shd w:val="clear" w:color="000000" w:fill="D9F2D0"/>
            <w:noWrap/>
            <w:vAlign w:val="bottom"/>
            <w:hideMark/>
          </w:tcPr>
          <w:p w14:paraId="4367C0AC" w14:textId="77777777" w:rsidR="00D52EC7" w:rsidRPr="00E47AA9" w:rsidRDefault="00D52EC7" w:rsidP="00353702">
            <w:pPr>
              <w:spacing w:after="0" w:line="240" w:lineRule="auto"/>
              <w:jc w:val="right"/>
              <w:rPr>
                <w:rFonts w:ascii="Times New Roman" w:eastAsia="Times New Roman" w:hAnsi="Times New Roman" w:cs="Times New Roman"/>
                <w:b/>
                <w:bCs/>
                <w:sz w:val="19"/>
                <w:szCs w:val="19"/>
                <w:lang w:eastAsia="ru-RU"/>
              </w:rPr>
            </w:pPr>
            <w:r w:rsidRPr="00E47AA9">
              <w:rPr>
                <w:rFonts w:ascii="Times New Roman" w:eastAsia="Times New Roman" w:hAnsi="Times New Roman" w:cs="Times New Roman"/>
                <w:b/>
                <w:bCs/>
                <w:sz w:val="19"/>
                <w:szCs w:val="19"/>
                <w:lang w:eastAsia="ru-RU"/>
              </w:rPr>
              <w:t>-11 661,73</w:t>
            </w:r>
          </w:p>
        </w:tc>
        <w:tc>
          <w:tcPr>
            <w:tcW w:w="236" w:type="dxa"/>
            <w:vAlign w:val="center"/>
            <w:hideMark/>
          </w:tcPr>
          <w:p w14:paraId="7E576677" w14:textId="77777777" w:rsidR="00D52EC7" w:rsidRPr="00E47AA9" w:rsidRDefault="00D52EC7" w:rsidP="00353702">
            <w:pPr>
              <w:spacing w:after="0" w:line="240" w:lineRule="auto"/>
              <w:rPr>
                <w:rFonts w:ascii="Times New Roman" w:eastAsia="Times New Roman" w:hAnsi="Times New Roman" w:cs="Times New Roman"/>
                <w:sz w:val="20"/>
                <w:szCs w:val="20"/>
                <w:lang w:eastAsia="ru-RU"/>
              </w:rPr>
            </w:pPr>
          </w:p>
        </w:tc>
      </w:tr>
      <w:tr w:rsidR="00E47AA9" w:rsidRPr="00E47AA9" w14:paraId="2B482A2A" w14:textId="77777777" w:rsidTr="00353702">
        <w:trPr>
          <w:trHeight w:val="20"/>
        </w:trPr>
        <w:tc>
          <w:tcPr>
            <w:tcW w:w="2978" w:type="dxa"/>
            <w:tcBorders>
              <w:top w:val="nil"/>
              <w:left w:val="single" w:sz="4" w:space="0" w:color="auto"/>
              <w:bottom w:val="single" w:sz="4" w:space="0" w:color="auto"/>
              <w:right w:val="single" w:sz="4" w:space="0" w:color="auto"/>
            </w:tcBorders>
            <w:shd w:val="clear" w:color="auto" w:fill="auto"/>
            <w:vAlign w:val="center"/>
            <w:hideMark/>
          </w:tcPr>
          <w:p w14:paraId="5A076013" w14:textId="77777777" w:rsidR="00D52EC7" w:rsidRPr="00E47AA9" w:rsidRDefault="00D52EC7" w:rsidP="00353702">
            <w:pPr>
              <w:spacing w:after="0" w:line="240" w:lineRule="auto"/>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Безвозмездные поступления от других бюджетов бюджетной системы Российской Федерации</w:t>
            </w:r>
          </w:p>
        </w:tc>
        <w:tc>
          <w:tcPr>
            <w:tcW w:w="1000" w:type="dxa"/>
            <w:tcBorders>
              <w:top w:val="nil"/>
              <w:left w:val="nil"/>
              <w:bottom w:val="single" w:sz="4" w:space="0" w:color="auto"/>
              <w:right w:val="single" w:sz="4" w:space="0" w:color="auto"/>
            </w:tcBorders>
            <w:shd w:val="clear" w:color="auto" w:fill="auto"/>
            <w:noWrap/>
            <w:vAlign w:val="bottom"/>
            <w:hideMark/>
          </w:tcPr>
          <w:p w14:paraId="67FDA5EC"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49 885,04</w:t>
            </w:r>
          </w:p>
        </w:tc>
        <w:tc>
          <w:tcPr>
            <w:tcW w:w="1000" w:type="dxa"/>
            <w:tcBorders>
              <w:top w:val="nil"/>
              <w:left w:val="nil"/>
              <w:bottom w:val="single" w:sz="4" w:space="0" w:color="auto"/>
              <w:right w:val="single" w:sz="4" w:space="0" w:color="auto"/>
            </w:tcBorders>
            <w:shd w:val="clear" w:color="auto" w:fill="auto"/>
            <w:noWrap/>
            <w:vAlign w:val="bottom"/>
            <w:hideMark/>
          </w:tcPr>
          <w:p w14:paraId="08D33397"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49 727,37</w:t>
            </w:r>
          </w:p>
        </w:tc>
        <w:tc>
          <w:tcPr>
            <w:tcW w:w="1000" w:type="dxa"/>
            <w:tcBorders>
              <w:top w:val="nil"/>
              <w:left w:val="nil"/>
              <w:bottom w:val="single" w:sz="4" w:space="0" w:color="auto"/>
              <w:right w:val="single" w:sz="4" w:space="0" w:color="auto"/>
            </w:tcBorders>
            <w:shd w:val="clear" w:color="000000" w:fill="FFFFFF"/>
            <w:noWrap/>
            <w:vAlign w:val="bottom"/>
            <w:hideMark/>
          </w:tcPr>
          <w:p w14:paraId="296EEE11"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37 642,15</w:t>
            </w:r>
          </w:p>
        </w:tc>
        <w:tc>
          <w:tcPr>
            <w:tcW w:w="1000" w:type="dxa"/>
            <w:tcBorders>
              <w:top w:val="nil"/>
              <w:left w:val="nil"/>
              <w:bottom w:val="single" w:sz="4" w:space="0" w:color="auto"/>
              <w:right w:val="single" w:sz="4" w:space="0" w:color="auto"/>
            </w:tcBorders>
            <w:shd w:val="clear" w:color="000000" w:fill="FFFFFF"/>
            <w:noWrap/>
            <w:vAlign w:val="bottom"/>
            <w:hideMark/>
          </w:tcPr>
          <w:p w14:paraId="1FAFBD39"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37 524,12</w:t>
            </w:r>
          </w:p>
        </w:tc>
        <w:tc>
          <w:tcPr>
            <w:tcW w:w="1160" w:type="dxa"/>
            <w:tcBorders>
              <w:top w:val="nil"/>
              <w:left w:val="nil"/>
              <w:bottom w:val="single" w:sz="4" w:space="0" w:color="auto"/>
              <w:right w:val="single" w:sz="4" w:space="0" w:color="auto"/>
            </w:tcBorders>
            <w:shd w:val="clear" w:color="000000" w:fill="FFFFFF"/>
            <w:noWrap/>
            <w:vAlign w:val="bottom"/>
            <w:hideMark/>
          </w:tcPr>
          <w:p w14:paraId="33FAEC47"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47 678,73</w:t>
            </w:r>
          </w:p>
        </w:tc>
        <w:tc>
          <w:tcPr>
            <w:tcW w:w="756" w:type="dxa"/>
            <w:tcBorders>
              <w:top w:val="nil"/>
              <w:left w:val="nil"/>
              <w:bottom w:val="single" w:sz="4" w:space="0" w:color="auto"/>
              <w:right w:val="single" w:sz="4" w:space="0" w:color="auto"/>
            </w:tcBorders>
            <w:shd w:val="clear" w:color="000000" w:fill="FFFFFF"/>
            <w:noWrap/>
            <w:vAlign w:val="bottom"/>
            <w:hideMark/>
          </w:tcPr>
          <w:p w14:paraId="3C473EF4"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75,46</w:t>
            </w:r>
          </w:p>
        </w:tc>
        <w:tc>
          <w:tcPr>
            <w:tcW w:w="1168" w:type="dxa"/>
            <w:tcBorders>
              <w:top w:val="nil"/>
              <w:left w:val="nil"/>
              <w:bottom w:val="single" w:sz="4" w:space="0" w:color="auto"/>
              <w:right w:val="single" w:sz="4" w:space="0" w:color="auto"/>
            </w:tcBorders>
            <w:shd w:val="clear" w:color="000000" w:fill="FFFFFF"/>
            <w:noWrap/>
            <w:vAlign w:val="bottom"/>
            <w:hideMark/>
          </w:tcPr>
          <w:p w14:paraId="1446E458"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-12 203,25</w:t>
            </w:r>
          </w:p>
        </w:tc>
        <w:tc>
          <w:tcPr>
            <w:tcW w:w="236" w:type="dxa"/>
            <w:vAlign w:val="center"/>
            <w:hideMark/>
          </w:tcPr>
          <w:p w14:paraId="7EB2C54D" w14:textId="77777777" w:rsidR="00D52EC7" w:rsidRPr="00E47AA9" w:rsidRDefault="00D52EC7" w:rsidP="00353702">
            <w:pPr>
              <w:spacing w:after="0" w:line="240" w:lineRule="auto"/>
              <w:rPr>
                <w:rFonts w:ascii="Times New Roman" w:eastAsia="Times New Roman" w:hAnsi="Times New Roman" w:cs="Times New Roman"/>
                <w:sz w:val="20"/>
                <w:szCs w:val="20"/>
                <w:lang w:eastAsia="ru-RU"/>
              </w:rPr>
            </w:pPr>
          </w:p>
        </w:tc>
      </w:tr>
      <w:tr w:rsidR="00E47AA9" w:rsidRPr="00E47AA9" w14:paraId="20B37D00" w14:textId="77777777" w:rsidTr="00353702">
        <w:trPr>
          <w:trHeight w:val="20"/>
        </w:trPr>
        <w:tc>
          <w:tcPr>
            <w:tcW w:w="2978" w:type="dxa"/>
            <w:tcBorders>
              <w:top w:val="nil"/>
              <w:left w:val="single" w:sz="4" w:space="0" w:color="auto"/>
              <w:bottom w:val="single" w:sz="4" w:space="0" w:color="auto"/>
              <w:right w:val="single" w:sz="4" w:space="0" w:color="auto"/>
            </w:tcBorders>
            <w:shd w:val="clear" w:color="auto" w:fill="auto"/>
            <w:vAlign w:val="center"/>
            <w:hideMark/>
          </w:tcPr>
          <w:p w14:paraId="0A86453C" w14:textId="77777777" w:rsidR="00D52EC7" w:rsidRPr="00E47AA9" w:rsidRDefault="00D52EC7" w:rsidP="00353702">
            <w:pPr>
              <w:spacing w:after="0" w:line="240" w:lineRule="auto"/>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в том числе</w:t>
            </w:r>
          </w:p>
        </w:tc>
        <w:tc>
          <w:tcPr>
            <w:tcW w:w="1000" w:type="dxa"/>
            <w:tcBorders>
              <w:top w:val="nil"/>
              <w:left w:val="nil"/>
              <w:bottom w:val="single" w:sz="4" w:space="0" w:color="auto"/>
              <w:right w:val="single" w:sz="4" w:space="0" w:color="auto"/>
            </w:tcBorders>
            <w:shd w:val="clear" w:color="000000" w:fill="FFFFFF"/>
            <w:noWrap/>
            <w:vAlign w:val="bottom"/>
            <w:hideMark/>
          </w:tcPr>
          <w:p w14:paraId="5C1AB635"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 </w:t>
            </w:r>
          </w:p>
        </w:tc>
        <w:tc>
          <w:tcPr>
            <w:tcW w:w="1000" w:type="dxa"/>
            <w:tcBorders>
              <w:top w:val="nil"/>
              <w:left w:val="nil"/>
              <w:bottom w:val="single" w:sz="4" w:space="0" w:color="auto"/>
              <w:right w:val="single" w:sz="4" w:space="0" w:color="auto"/>
            </w:tcBorders>
            <w:shd w:val="clear" w:color="000000" w:fill="FFFFFF"/>
            <w:noWrap/>
            <w:vAlign w:val="bottom"/>
            <w:hideMark/>
          </w:tcPr>
          <w:p w14:paraId="07CCFDED"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 </w:t>
            </w:r>
          </w:p>
        </w:tc>
        <w:tc>
          <w:tcPr>
            <w:tcW w:w="1000" w:type="dxa"/>
            <w:tcBorders>
              <w:top w:val="nil"/>
              <w:left w:val="nil"/>
              <w:bottom w:val="single" w:sz="4" w:space="0" w:color="auto"/>
              <w:right w:val="single" w:sz="4" w:space="0" w:color="auto"/>
            </w:tcBorders>
            <w:shd w:val="clear" w:color="000000" w:fill="FFFFFF"/>
            <w:noWrap/>
            <w:vAlign w:val="bottom"/>
            <w:hideMark/>
          </w:tcPr>
          <w:p w14:paraId="5E362B70"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w:t>
            </w:r>
          </w:p>
        </w:tc>
        <w:tc>
          <w:tcPr>
            <w:tcW w:w="1000" w:type="dxa"/>
            <w:tcBorders>
              <w:top w:val="nil"/>
              <w:left w:val="nil"/>
              <w:bottom w:val="single" w:sz="4" w:space="0" w:color="auto"/>
              <w:right w:val="single" w:sz="4" w:space="0" w:color="auto"/>
            </w:tcBorders>
            <w:shd w:val="clear" w:color="000000" w:fill="FFFFFF"/>
            <w:noWrap/>
            <w:vAlign w:val="bottom"/>
            <w:hideMark/>
          </w:tcPr>
          <w:p w14:paraId="5F2D4652"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w:t>
            </w:r>
          </w:p>
        </w:tc>
        <w:tc>
          <w:tcPr>
            <w:tcW w:w="1160" w:type="dxa"/>
            <w:tcBorders>
              <w:top w:val="nil"/>
              <w:left w:val="nil"/>
              <w:bottom w:val="single" w:sz="4" w:space="0" w:color="auto"/>
              <w:right w:val="single" w:sz="4" w:space="0" w:color="auto"/>
            </w:tcBorders>
            <w:shd w:val="clear" w:color="000000" w:fill="FFFFFF"/>
            <w:noWrap/>
            <w:vAlign w:val="bottom"/>
            <w:hideMark/>
          </w:tcPr>
          <w:p w14:paraId="66EFA170"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w:t>
            </w:r>
          </w:p>
        </w:tc>
        <w:tc>
          <w:tcPr>
            <w:tcW w:w="756" w:type="dxa"/>
            <w:tcBorders>
              <w:top w:val="nil"/>
              <w:left w:val="nil"/>
              <w:bottom w:val="single" w:sz="4" w:space="0" w:color="auto"/>
              <w:right w:val="single" w:sz="4" w:space="0" w:color="auto"/>
            </w:tcBorders>
            <w:shd w:val="clear" w:color="000000" w:fill="FFFFFF"/>
            <w:noWrap/>
            <w:vAlign w:val="bottom"/>
            <w:hideMark/>
          </w:tcPr>
          <w:p w14:paraId="121123E0"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w:t>
            </w:r>
          </w:p>
        </w:tc>
        <w:tc>
          <w:tcPr>
            <w:tcW w:w="1168" w:type="dxa"/>
            <w:tcBorders>
              <w:top w:val="nil"/>
              <w:left w:val="nil"/>
              <w:bottom w:val="single" w:sz="4" w:space="0" w:color="auto"/>
              <w:right w:val="single" w:sz="4" w:space="0" w:color="auto"/>
            </w:tcBorders>
            <w:shd w:val="clear" w:color="000000" w:fill="FFFFFF"/>
            <w:noWrap/>
            <w:vAlign w:val="bottom"/>
            <w:hideMark/>
          </w:tcPr>
          <w:p w14:paraId="369A0837"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w:t>
            </w:r>
          </w:p>
        </w:tc>
        <w:tc>
          <w:tcPr>
            <w:tcW w:w="236" w:type="dxa"/>
            <w:vAlign w:val="center"/>
            <w:hideMark/>
          </w:tcPr>
          <w:p w14:paraId="4E39F687" w14:textId="77777777" w:rsidR="00D52EC7" w:rsidRPr="00E47AA9" w:rsidRDefault="00D52EC7" w:rsidP="00353702">
            <w:pPr>
              <w:spacing w:after="0" w:line="240" w:lineRule="auto"/>
              <w:rPr>
                <w:rFonts w:ascii="Times New Roman" w:eastAsia="Times New Roman" w:hAnsi="Times New Roman" w:cs="Times New Roman"/>
                <w:sz w:val="20"/>
                <w:szCs w:val="20"/>
                <w:lang w:eastAsia="ru-RU"/>
              </w:rPr>
            </w:pPr>
          </w:p>
        </w:tc>
      </w:tr>
      <w:tr w:rsidR="00E47AA9" w:rsidRPr="00E47AA9" w14:paraId="01120D9D" w14:textId="77777777" w:rsidTr="00353702">
        <w:trPr>
          <w:trHeight w:val="20"/>
        </w:trPr>
        <w:tc>
          <w:tcPr>
            <w:tcW w:w="2978" w:type="dxa"/>
            <w:tcBorders>
              <w:top w:val="nil"/>
              <w:left w:val="single" w:sz="4" w:space="0" w:color="auto"/>
              <w:bottom w:val="single" w:sz="4" w:space="0" w:color="auto"/>
              <w:right w:val="single" w:sz="4" w:space="0" w:color="auto"/>
            </w:tcBorders>
            <w:shd w:val="clear" w:color="auto" w:fill="auto"/>
            <w:vAlign w:val="center"/>
            <w:hideMark/>
          </w:tcPr>
          <w:p w14:paraId="20CF2851" w14:textId="77777777" w:rsidR="00D52EC7" w:rsidRPr="00E47AA9" w:rsidRDefault="00D52EC7" w:rsidP="00353702">
            <w:pPr>
              <w:spacing w:after="0" w:line="240" w:lineRule="auto"/>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 xml:space="preserve">дотации </w:t>
            </w:r>
          </w:p>
        </w:tc>
        <w:tc>
          <w:tcPr>
            <w:tcW w:w="1000" w:type="dxa"/>
            <w:tcBorders>
              <w:top w:val="nil"/>
              <w:left w:val="nil"/>
              <w:bottom w:val="single" w:sz="4" w:space="0" w:color="auto"/>
              <w:right w:val="single" w:sz="4" w:space="0" w:color="auto"/>
            </w:tcBorders>
            <w:shd w:val="clear" w:color="auto" w:fill="auto"/>
            <w:noWrap/>
            <w:vAlign w:val="bottom"/>
            <w:hideMark/>
          </w:tcPr>
          <w:p w14:paraId="464A718F"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12 088,87</w:t>
            </w:r>
          </w:p>
        </w:tc>
        <w:tc>
          <w:tcPr>
            <w:tcW w:w="1000" w:type="dxa"/>
            <w:tcBorders>
              <w:top w:val="nil"/>
              <w:left w:val="nil"/>
              <w:bottom w:val="single" w:sz="4" w:space="0" w:color="auto"/>
              <w:right w:val="single" w:sz="4" w:space="0" w:color="auto"/>
            </w:tcBorders>
            <w:shd w:val="clear" w:color="auto" w:fill="auto"/>
            <w:noWrap/>
            <w:vAlign w:val="bottom"/>
            <w:hideMark/>
          </w:tcPr>
          <w:p w14:paraId="30F35564"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12 347,70</w:t>
            </w:r>
          </w:p>
        </w:tc>
        <w:tc>
          <w:tcPr>
            <w:tcW w:w="1000" w:type="dxa"/>
            <w:tcBorders>
              <w:top w:val="nil"/>
              <w:left w:val="nil"/>
              <w:bottom w:val="single" w:sz="4" w:space="0" w:color="auto"/>
              <w:right w:val="single" w:sz="4" w:space="0" w:color="auto"/>
            </w:tcBorders>
            <w:shd w:val="clear" w:color="000000" w:fill="FFFFFF"/>
            <w:noWrap/>
            <w:vAlign w:val="bottom"/>
            <w:hideMark/>
          </w:tcPr>
          <w:p w14:paraId="021F9A06"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7 230,01</w:t>
            </w:r>
          </w:p>
        </w:tc>
        <w:tc>
          <w:tcPr>
            <w:tcW w:w="1000" w:type="dxa"/>
            <w:tcBorders>
              <w:top w:val="nil"/>
              <w:left w:val="nil"/>
              <w:bottom w:val="single" w:sz="4" w:space="0" w:color="auto"/>
              <w:right w:val="single" w:sz="4" w:space="0" w:color="auto"/>
            </w:tcBorders>
            <w:shd w:val="clear" w:color="000000" w:fill="FFFFFF"/>
            <w:noWrap/>
            <w:vAlign w:val="bottom"/>
            <w:hideMark/>
          </w:tcPr>
          <w:p w14:paraId="1164909B"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7 413,05</w:t>
            </w:r>
          </w:p>
        </w:tc>
        <w:tc>
          <w:tcPr>
            <w:tcW w:w="1160" w:type="dxa"/>
            <w:tcBorders>
              <w:top w:val="nil"/>
              <w:left w:val="nil"/>
              <w:bottom w:val="single" w:sz="4" w:space="0" w:color="auto"/>
              <w:right w:val="single" w:sz="4" w:space="0" w:color="auto"/>
            </w:tcBorders>
            <w:shd w:val="clear" w:color="000000" w:fill="FFFFFF"/>
            <w:noWrap/>
            <w:vAlign w:val="bottom"/>
            <w:hideMark/>
          </w:tcPr>
          <w:p w14:paraId="5A0C352B"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6 764,83</w:t>
            </w:r>
          </w:p>
        </w:tc>
        <w:tc>
          <w:tcPr>
            <w:tcW w:w="756" w:type="dxa"/>
            <w:tcBorders>
              <w:top w:val="nil"/>
              <w:left w:val="nil"/>
              <w:bottom w:val="single" w:sz="4" w:space="0" w:color="auto"/>
              <w:right w:val="single" w:sz="4" w:space="0" w:color="auto"/>
            </w:tcBorders>
            <w:shd w:val="clear" w:color="000000" w:fill="FFFFFF"/>
            <w:noWrap/>
            <w:vAlign w:val="bottom"/>
            <w:hideMark/>
          </w:tcPr>
          <w:p w14:paraId="21609F92"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60,04</w:t>
            </w:r>
          </w:p>
        </w:tc>
        <w:tc>
          <w:tcPr>
            <w:tcW w:w="1168" w:type="dxa"/>
            <w:tcBorders>
              <w:top w:val="nil"/>
              <w:left w:val="nil"/>
              <w:bottom w:val="single" w:sz="4" w:space="0" w:color="auto"/>
              <w:right w:val="single" w:sz="4" w:space="0" w:color="auto"/>
            </w:tcBorders>
            <w:shd w:val="clear" w:color="000000" w:fill="FFFFFF"/>
            <w:noWrap/>
            <w:vAlign w:val="bottom"/>
            <w:hideMark/>
          </w:tcPr>
          <w:p w14:paraId="12D65B90"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-4 934,65</w:t>
            </w:r>
          </w:p>
        </w:tc>
        <w:tc>
          <w:tcPr>
            <w:tcW w:w="236" w:type="dxa"/>
            <w:vAlign w:val="center"/>
            <w:hideMark/>
          </w:tcPr>
          <w:p w14:paraId="44836DA4" w14:textId="77777777" w:rsidR="00D52EC7" w:rsidRPr="00E47AA9" w:rsidRDefault="00D52EC7" w:rsidP="00353702">
            <w:pPr>
              <w:spacing w:after="0" w:line="240" w:lineRule="auto"/>
              <w:rPr>
                <w:rFonts w:ascii="Times New Roman" w:eastAsia="Times New Roman" w:hAnsi="Times New Roman" w:cs="Times New Roman"/>
                <w:sz w:val="20"/>
                <w:szCs w:val="20"/>
                <w:lang w:eastAsia="ru-RU"/>
              </w:rPr>
            </w:pPr>
          </w:p>
        </w:tc>
      </w:tr>
      <w:tr w:rsidR="00E47AA9" w:rsidRPr="00E47AA9" w14:paraId="7E1133BE" w14:textId="77777777" w:rsidTr="00353702">
        <w:trPr>
          <w:trHeight w:val="20"/>
        </w:trPr>
        <w:tc>
          <w:tcPr>
            <w:tcW w:w="2978" w:type="dxa"/>
            <w:tcBorders>
              <w:top w:val="nil"/>
              <w:left w:val="single" w:sz="4" w:space="0" w:color="auto"/>
              <w:bottom w:val="single" w:sz="4" w:space="0" w:color="auto"/>
              <w:right w:val="single" w:sz="4" w:space="0" w:color="auto"/>
            </w:tcBorders>
            <w:shd w:val="clear" w:color="auto" w:fill="auto"/>
            <w:vAlign w:val="center"/>
            <w:hideMark/>
          </w:tcPr>
          <w:p w14:paraId="2CA0FC21" w14:textId="77777777" w:rsidR="00D52EC7" w:rsidRPr="00E47AA9" w:rsidRDefault="00D52EC7" w:rsidP="00353702">
            <w:pPr>
              <w:spacing w:after="0" w:line="240" w:lineRule="auto"/>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 xml:space="preserve">субсидии </w:t>
            </w:r>
          </w:p>
        </w:tc>
        <w:tc>
          <w:tcPr>
            <w:tcW w:w="1000" w:type="dxa"/>
            <w:tcBorders>
              <w:top w:val="nil"/>
              <w:left w:val="nil"/>
              <w:bottom w:val="single" w:sz="4" w:space="0" w:color="auto"/>
              <w:right w:val="single" w:sz="4" w:space="0" w:color="auto"/>
            </w:tcBorders>
            <w:shd w:val="clear" w:color="auto" w:fill="auto"/>
            <w:noWrap/>
            <w:vAlign w:val="bottom"/>
            <w:hideMark/>
          </w:tcPr>
          <w:p w14:paraId="36F54B64"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24 597,77</w:t>
            </w:r>
          </w:p>
        </w:tc>
        <w:tc>
          <w:tcPr>
            <w:tcW w:w="1000" w:type="dxa"/>
            <w:tcBorders>
              <w:top w:val="nil"/>
              <w:left w:val="nil"/>
              <w:bottom w:val="single" w:sz="4" w:space="0" w:color="auto"/>
              <w:right w:val="single" w:sz="4" w:space="0" w:color="auto"/>
            </w:tcBorders>
            <w:shd w:val="clear" w:color="auto" w:fill="auto"/>
            <w:noWrap/>
            <w:vAlign w:val="bottom"/>
            <w:hideMark/>
          </w:tcPr>
          <w:p w14:paraId="7B5A12A7"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22 413,96</w:t>
            </w:r>
          </w:p>
        </w:tc>
        <w:tc>
          <w:tcPr>
            <w:tcW w:w="1000" w:type="dxa"/>
            <w:tcBorders>
              <w:top w:val="nil"/>
              <w:left w:val="nil"/>
              <w:bottom w:val="single" w:sz="4" w:space="0" w:color="auto"/>
              <w:right w:val="single" w:sz="4" w:space="0" w:color="auto"/>
            </w:tcBorders>
            <w:shd w:val="clear" w:color="000000" w:fill="FFFFFF"/>
            <w:noWrap/>
            <w:vAlign w:val="bottom"/>
            <w:hideMark/>
          </w:tcPr>
          <w:p w14:paraId="498A9896"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24 324,05</w:t>
            </w:r>
          </w:p>
        </w:tc>
        <w:tc>
          <w:tcPr>
            <w:tcW w:w="1000" w:type="dxa"/>
            <w:tcBorders>
              <w:top w:val="nil"/>
              <w:left w:val="nil"/>
              <w:bottom w:val="single" w:sz="4" w:space="0" w:color="auto"/>
              <w:right w:val="single" w:sz="4" w:space="0" w:color="auto"/>
            </w:tcBorders>
            <w:shd w:val="clear" w:color="000000" w:fill="FFFFFF"/>
            <w:noWrap/>
            <w:vAlign w:val="bottom"/>
            <w:hideMark/>
          </w:tcPr>
          <w:p w14:paraId="650C9F83"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23 330,23</w:t>
            </w:r>
          </w:p>
        </w:tc>
        <w:tc>
          <w:tcPr>
            <w:tcW w:w="1160" w:type="dxa"/>
            <w:tcBorders>
              <w:top w:val="nil"/>
              <w:left w:val="nil"/>
              <w:bottom w:val="single" w:sz="4" w:space="0" w:color="auto"/>
              <w:right w:val="single" w:sz="4" w:space="0" w:color="auto"/>
            </w:tcBorders>
            <w:shd w:val="clear" w:color="000000" w:fill="FFFFFF"/>
            <w:noWrap/>
            <w:vAlign w:val="bottom"/>
            <w:hideMark/>
          </w:tcPr>
          <w:p w14:paraId="30504972"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35 230,44</w:t>
            </w:r>
          </w:p>
        </w:tc>
        <w:tc>
          <w:tcPr>
            <w:tcW w:w="756" w:type="dxa"/>
            <w:tcBorders>
              <w:top w:val="nil"/>
              <w:left w:val="nil"/>
              <w:bottom w:val="single" w:sz="4" w:space="0" w:color="auto"/>
              <w:right w:val="single" w:sz="4" w:space="0" w:color="auto"/>
            </w:tcBorders>
            <w:shd w:val="clear" w:color="000000" w:fill="FFFFFF"/>
            <w:noWrap/>
            <w:vAlign w:val="bottom"/>
            <w:hideMark/>
          </w:tcPr>
          <w:p w14:paraId="131E60A0"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104,09</w:t>
            </w:r>
          </w:p>
        </w:tc>
        <w:tc>
          <w:tcPr>
            <w:tcW w:w="1168" w:type="dxa"/>
            <w:tcBorders>
              <w:top w:val="nil"/>
              <w:left w:val="nil"/>
              <w:bottom w:val="single" w:sz="4" w:space="0" w:color="auto"/>
              <w:right w:val="single" w:sz="4" w:space="0" w:color="auto"/>
            </w:tcBorders>
            <w:shd w:val="clear" w:color="000000" w:fill="FFFFFF"/>
            <w:noWrap/>
            <w:vAlign w:val="bottom"/>
            <w:hideMark/>
          </w:tcPr>
          <w:p w14:paraId="0F6D952C"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916,27</w:t>
            </w:r>
          </w:p>
        </w:tc>
        <w:tc>
          <w:tcPr>
            <w:tcW w:w="236" w:type="dxa"/>
            <w:vAlign w:val="center"/>
            <w:hideMark/>
          </w:tcPr>
          <w:p w14:paraId="7A00718D" w14:textId="77777777" w:rsidR="00D52EC7" w:rsidRPr="00E47AA9" w:rsidRDefault="00D52EC7" w:rsidP="00353702">
            <w:pPr>
              <w:spacing w:after="0" w:line="240" w:lineRule="auto"/>
              <w:rPr>
                <w:rFonts w:ascii="Times New Roman" w:eastAsia="Times New Roman" w:hAnsi="Times New Roman" w:cs="Times New Roman"/>
                <w:sz w:val="20"/>
                <w:szCs w:val="20"/>
                <w:lang w:eastAsia="ru-RU"/>
              </w:rPr>
            </w:pPr>
          </w:p>
        </w:tc>
      </w:tr>
      <w:tr w:rsidR="00E47AA9" w:rsidRPr="00E47AA9" w14:paraId="70C7CF38" w14:textId="77777777" w:rsidTr="00353702">
        <w:trPr>
          <w:trHeight w:val="20"/>
        </w:trPr>
        <w:tc>
          <w:tcPr>
            <w:tcW w:w="2978" w:type="dxa"/>
            <w:tcBorders>
              <w:top w:val="nil"/>
              <w:left w:val="single" w:sz="4" w:space="0" w:color="auto"/>
              <w:bottom w:val="single" w:sz="4" w:space="0" w:color="auto"/>
              <w:right w:val="single" w:sz="4" w:space="0" w:color="auto"/>
            </w:tcBorders>
            <w:shd w:val="clear" w:color="auto" w:fill="auto"/>
            <w:vAlign w:val="center"/>
            <w:hideMark/>
          </w:tcPr>
          <w:p w14:paraId="74FAF43C" w14:textId="77777777" w:rsidR="00D52EC7" w:rsidRPr="00E47AA9" w:rsidRDefault="00D52EC7" w:rsidP="00353702">
            <w:pPr>
              <w:spacing w:after="0" w:line="240" w:lineRule="auto"/>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 xml:space="preserve">субвенции </w:t>
            </w:r>
          </w:p>
        </w:tc>
        <w:tc>
          <w:tcPr>
            <w:tcW w:w="1000" w:type="dxa"/>
            <w:tcBorders>
              <w:top w:val="nil"/>
              <w:left w:val="nil"/>
              <w:bottom w:val="single" w:sz="4" w:space="0" w:color="auto"/>
              <w:right w:val="single" w:sz="4" w:space="0" w:color="auto"/>
            </w:tcBorders>
            <w:shd w:val="clear" w:color="auto" w:fill="auto"/>
            <w:noWrap/>
            <w:vAlign w:val="bottom"/>
            <w:hideMark/>
          </w:tcPr>
          <w:p w14:paraId="5A789782"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3 167,89</w:t>
            </w:r>
          </w:p>
        </w:tc>
        <w:tc>
          <w:tcPr>
            <w:tcW w:w="1000" w:type="dxa"/>
            <w:tcBorders>
              <w:top w:val="nil"/>
              <w:left w:val="nil"/>
              <w:bottom w:val="single" w:sz="4" w:space="0" w:color="auto"/>
              <w:right w:val="single" w:sz="4" w:space="0" w:color="auto"/>
            </w:tcBorders>
            <w:shd w:val="clear" w:color="auto" w:fill="auto"/>
            <w:noWrap/>
            <w:vAlign w:val="bottom"/>
            <w:hideMark/>
          </w:tcPr>
          <w:p w14:paraId="5F593DDA"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3 001,41</w:t>
            </w:r>
          </w:p>
        </w:tc>
        <w:tc>
          <w:tcPr>
            <w:tcW w:w="1000" w:type="dxa"/>
            <w:tcBorders>
              <w:top w:val="nil"/>
              <w:left w:val="nil"/>
              <w:bottom w:val="single" w:sz="4" w:space="0" w:color="auto"/>
              <w:right w:val="single" w:sz="4" w:space="0" w:color="auto"/>
            </w:tcBorders>
            <w:shd w:val="clear" w:color="000000" w:fill="FFFFFF"/>
            <w:noWrap/>
            <w:vAlign w:val="bottom"/>
            <w:hideMark/>
          </w:tcPr>
          <w:p w14:paraId="7DA6B60C"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3 266,77</w:t>
            </w:r>
          </w:p>
        </w:tc>
        <w:tc>
          <w:tcPr>
            <w:tcW w:w="1000" w:type="dxa"/>
            <w:tcBorders>
              <w:top w:val="nil"/>
              <w:left w:val="nil"/>
              <w:bottom w:val="single" w:sz="4" w:space="0" w:color="auto"/>
              <w:right w:val="single" w:sz="4" w:space="0" w:color="auto"/>
            </w:tcBorders>
            <w:shd w:val="clear" w:color="000000" w:fill="FFFFFF"/>
            <w:noWrap/>
            <w:vAlign w:val="bottom"/>
            <w:hideMark/>
          </w:tcPr>
          <w:p w14:paraId="7FA2F31A"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3 324,68</w:t>
            </w:r>
          </w:p>
        </w:tc>
        <w:tc>
          <w:tcPr>
            <w:tcW w:w="1160" w:type="dxa"/>
            <w:tcBorders>
              <w:top w:val="nil"/>
              <w:left w:val="nil"/>
              <w:bottom w:val="single" w:sz="4" w:space="0" w:color="auto"/>
              <w:right w:val="single" w:sz="4" w:space="0" w:color="auto"/>
            </w:tcBorders>
            <w:shd w:val="clear" w:color="000000" w:fill="FFFFFF"/>
            <w:noWrap/>
            <w:vAlign w:val="bottom"/>
            <w:hideMark/>
          </w:tcPr>
          <w:p w14:paraId="29551951"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3 509,92</w:t>
            </w:r>
          </w:p>
        </w:tc>
        <w:tc>
          <w:tcPr>
            <w:tcW w:w="756" w:type="dxa"/>
            <w:tcBorders>
              <w:top w:val="nil"/>
              <w:left w:val="nil"/>
              <w:bottom w:val="single" w:sz="4" w:space="0" w:color="auto"/>
              <w:right w:val="single" w:sz="4" w:space="0" w:color="auto"/>
            </w:tcBorders>
            <w:shd w:val="clear" w:color="000000" w:fill="FFFFFF"/>
            <w:noWrap/>
            <w:vAlign w:val="bottom"/>
            <w:hideMark/>
          </w:tcPr>
          <w:p w14:paraId="40B90F6B"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110,77</w:t>
            </w:r>
          </w:p>
        </w:tc>
        <w:tc>
          <w:tcPr>
            <w:tcW w:w="1168" w:type="dxa"/>
            <w:tcBorders>
              <w:top w:val="nil"/>
              <w:left w:val="nil"/>
              <w:bottom w:val="single" w:sz="4" w:space="0" w:color="auto"/>
              <w:right w:val="single" w:sz="4" w:space="0" w:color="auto"/>
            </w:tcBorders>
            <w:shd w:val="clear" w:color="000000" w:fill="FFFFFF"/>
            <w:noWrap/>
            <w:vAlign w:val="bottom"/>
            <w:hideMark/>
          </w:tcPr>
          <w:p w14:paraId="1691514B"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323,27</w:t>
            </w:r>
          </w:p>
        </w:tc>
        <w:tc>
          <w:tcPr>
            <w:tcW w:w="236" w:type="dxa"/>
            <w:vAlign w:val="center"/>
            <w:hideMark/>
          </w:tcPr>
          <w:p w14:paraId="5FE8606B" w14:textId="77777777" w:rsidR="00D52EC7" w:rsidRPr="00E47AA9" w:rsidRDefault="00D52EC7" w:rsidP="00353702">
            <w:pPr>
              <w:spacing w:after="0" w:line="240" w:lineRule="auto"/>
              <w:rPr>
                <w:rFonts w:ascii="Times New Roman" w:eastAsia="Times New Roman" w:hAnsi="Times New Roman" w:cs="Times New Roman"/>
                <w:sz w:val="20"/>
                <w:szCs w:val="20"/>
                <w:lang w:eastAsia="ru-RU"/>
              </w:rPr>
            </w:pPr>
          </w:p>
        </w:tc>
      </w:tr>
      <w:tr w:rsidR="00E47AA9" w:rsidRPr="00E47AA9" w14:paraId="1D50ECF7" w14:textId="77777777" w:rsidTr="00353702">
        <w:trPr>
          <w:trHeight w:val="20"/>
        </w:trPr>
        <w:tc>
          <w:tcPr>
            <w:tcW w:w="2978" w:type="dxa"/>
            <w:tcBorders>
              <w:top w:val="nil"/>
              <w:left w:val="single" w:sz="4" w:space="0" w:color="auto"/>
              <w:bottom w:val="single" w:sz="4" w:space="0" w:color="auto"/>
              <w:right w:val="single" w:sz="4" w:space="0" w:color="auto"/>
            </w:tcBorders>
            <w:shd w:val="clear" w:color="auto" w:fill="auto"/>
            <w:vAlign w:val="center"/>
            <w:hideMark/>
          </w:tcPr>
          <w:p w14:paraId="3C659C31" w14:textId="77777777" w:rsidR="00D52EC7" w:rsidRPr="00E47AA9" w:rsidRDefault="00D52EC7" w:rsidP="00353702">
            <w:pPr>
              <w:spacing w:after="0" w:line="240" w:lineRule="auto"/>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иные межбюджетные трансферты</w:t>
            </w:r>
          </w:p>
        </w:tc>
        <w:tc>
          <w:tcPr>
            <w:tcW w:w="1000" w:type="dxa"/>
            <w:tcBorders>
              <w:top w:val="nil"/>
              <w:left w:val="nil"/>
              <w:bottom w:val="single" w:sz="4" w:space="0" w:color="auto"/>
              <w:right w:val="single" w:sz="4" w:space="0" w:color="auto"/>
            </w:tcBorders>
            <w:shd w:val="clear" w:color="auto" w:fill="auto"/>
            <w:noWrap/>
            <w:vAlign w:val="bottom"/>
            <w:hideMark/>
          </w:tcPr>
          <w:p w14:paraId="2125DF97"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10 030,51</w:t>
            </w:r>
          </w:p>
        </w:tc>
        <w:tc>
          <w:tcPr>
            <w:tcW w:w="1000" w:type="dxa"/>
            <w:tcBorders>
              <w:top w:val="nil"/>
              <w:left w:val="nil"/>
              <w:bottom w:val="single" w:sz="4" w:space="0" w:color="auto"/>
              <w:right w:val="single" w:sz="4" w:space="0" w:color="auto"/>
            </w:tcBorders>
            <w:shd w:val="clear" w:color="auto" w:fill="auto"/>
            <w:noWrap/>
            <w:vAlign w:val="bottom"/>
            <w:hideMark/>
          </w:tcPr>
          <w:p w14:paraId="44FF6AE3"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11 964,30</w:t>
            </w:r>
          </w:p>
        </w:tc>
        <w:tc>
          <w:tcPr>
            <w:tcW w:w="1000" w:type="dxa"/>
            <w:tcBorders>
              <w:top w:val="nil"/>
              <w:left w:val="nil"/>
              <w:bottom w:val="single" w:sz="4" w:space="0" w:color="auto"/>
              <w:right w:val="single" w:sz="4" w:space="0" w:color="auto"/>
            </w:tcBorders>
            <w:shd w:val="clear" w:color="000000" w:fill="FFFFFF"/>
            <w:noWrap/>
            <w:vAlign w:val="bottom"/>
            <w:hideMark/>
          </w:tcPr>
          <w:p w14:paraId="15B467CD"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2 821,32</w:t>
            </w:r>
          </w:p>
        </w:tc>
        <w:tc>
          <w:tcPr>
            <w:tcW w:w="1000" w:type="dxa"/>
            <w:tcBorders>
              <w:top w:val="nil"/>
              <w:left w:val="nil"/>
              <w:bottom w:val="single" w:sz="4" w:space="0" w:color="auto"/>
              <w:right w:val="single" w:sz="4" w:space="0" w:color="auto"/>
            </w:tcBorders>
            <w:shd w:val="clear" w:color="000000" w:fill="FFFFFF"/>
            <w:noWrap/>
            <w:vAlign w:val="bottom"/>
            <w:hideMark/>
          </w:tcPr>
          <w:p w14:paraId="44FED513"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3 456,16</w:t>
            </w:r>
          </w:p>
        </w:tc>
        <w:tc>
          <w:tcPr>
            <w:tcW w:w="1160" w:type="dxa"/>
            <w:tcBorders>
              <w:top w:val="nil"/>
              <w:left w:val="nil"/>
              <w:bottom w:val="single" w:sz="4" w:space="0" w:color="auto"/>
              <w:right w:val="single" w:sz="4" w:space="0" w:color="auto"/>
            </w:tcBorders>
            <w:shd w:val="clear" w:color="000000" w:fill="FFFFFF"/>
            <w:noWrap/>
            <w:vAlign w:val="bottom"/>
            <w:hideMark/>
          </w:tcPr>
          <w:p w14:paraId="7F411D2E"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2 173,54</w:t>
            </w:r>
          </w:p>
        </w:tc>
        <w:tc>
          <w:tcPr>
            <w:tcW w:w="756" w:type="dxa"/>
            <w:tcBorders>
              <w:top w:val="nil"/>
              <w:left w:val="nil"/>
              <w:bottom w:val="single" w:sz="4" w:space="0" w:color="auto"/>
              <w:right w:val="single" w:sz="4" w:space="0" w:color="auto"/>
            </w:tcBorders>
            <w:shd w:val="clear" w:color="000000" w:fill="FFFFFF"/>
            <w:noWrap/>
            <w:vAlign w:val="bottom"/>
            <w:hideMark/>
          </w:tcPr>
          <w:p w14:paraId="00096168"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28,89</w:t>
            </w:r>
          </w:p>
        </w:tc>
        <w:tc>
          <w:tcPr>
            <w:tcW w:w="1168" w:type="dxa"/>
            <w:tcBorders>
              <w:top w:val="nil"/>
              <w:left w:val="nil"/>
              <w:bottom w:val="single" w:sz="4" w:space="0" w:color="auto"/>
              <w:right w:val="single" w:sz="4" w:space="0" w:color="auto"/>
            </w:tcBorders>
            <w:shd w:val="clear" w:color="000000" w:fill="FFFFFF"/>
            <w:noWrap/>
            <w:vAlign w:val="bottom"/>
            <w:hideMark/>
          </w:tcPr>
          <w:p w14:paraId="02EA7148" w14:textId="77777777" w:rsidR="00D52EC7" w:rsidRPr="00E47AA9" w:rsidRDefault="00D52EC7" w:rsidP="00353702">
            <w:pPr>
              <w:spacing w:after="0" w:line="240" w:lineRule="auto"/>
              <w:jc w:val="right"/>
              <w:rPr>
                <w:rFonts w:ascii="Times New Roman" w:eastAsia="Times New Roman" w:hAnsi="Times New Roman" w:cs="Times New Roman"/>
                <w:i/>
                <w:iCs/>
                <w:sz w:val="19"/>
                <w:szCs w:val="19"/>
                <w:lang w:eastAsia="ru-RU"/>
              </w:rPr>
            </w:pPr>
            <w:r w:rsidRPr="00E47AA9">
              <w:rPr>
                <w:rFonts w:ascii="Times New Roman" w:eastAsia="Times New Roman" w:hAnsi="Times New Roman" w:cs="Times New Roman"/>
                <w:i/>
                <w:iCs/>
                <w:sz w:val="19"/>
                <w:szCs w:val="19"/>
                <w:lang w:eastAsia="ru-RU"/>
              </w:rPr>
              <w:t>-8 508,14</w:t>
            </w:r>
          </w:p>
        </w:tc>
        <w:tc>
          <w:tcPr>
            <w:tcW w:w="236" w:type="dxa"/>
            <w:vAlign w:val="center"/>
            <w:hideMark/>
          </w:tcPr>
          <w:p w14:paraId="770887DC" w14:textId="77777777" w:rsidR="00D52EC7" w:rsidRPr="00E47AA9" w:rsidRDefault="00D52EC7" w:rsidP="00353702">
            <w:pPr>
              <w:spacing w:after="0" w:line="240" w:lineRule="auto"/>
              <w:rPr>
                <w:rFonts w:ascii="Times New Roman" w:eastAsia="Times New Roman" w:hAnsi="Times New Roman" w:cs="Times New Roman"/>
                <w:sz w:val="20"/>
                <w:szCs w:val="20"/>
                <w:lang w:eastAsia="ru-RU"/>
              </w:rPr>
            </w:pPr>
          </w:p>
        </w:tc>
      </w:tr>
      <w:tr w:rsidR="00E47AA9" w:rsidRPr="00E47AA9" w14:paraId="5903854D" w14:textId="77777777" w:rsidTr="00353702">
        <w:trPr>
          <w:trHeight w:val="20"/>
        </w:trPr>
        <w:tc>
          <w:tcPr>
            <w:tcW w:w="2978" w:type="dxa"/>
            <w:tcBorders>
              <w:top w:val="nil"/>
              <w:left w:val="single" w:sz="4" w:space="0" w:color="auto"/>
              <w:bottom w:val="single" w:sz="4" w:space="0" w:color="auto"/>
              <w:right w:val="single" w:sz="4" w:space="0" w:color="auto"/>
            </w:tcBorders>
            <w:shd w:val="clear" w:color="auto" w:fill="auto"/>
            <w:vAlign w:val="center"/>
            <w:hideMark/>
          </w:tcPr>
          <w:p w14:paraId="449F92AD" w14:textId="77777777" w:rsidR="00D52EC7" w:rsidRPr="00E47AA9" w:rsidRDefault="00D52EC7" w:rsidP="00353702">
            <w:pPr>
              <w:spacing w:after="0" w:line="240" w:lineRule="auto"/>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Безвозмездные поступления от государственных (муниципальных) организаций</w:t>
            </w:r>
          </w:p>
        </w:tc>
        <w:tc>
          <w:tcPr>
            <w:tcW w:w="1000" w:type="dxa"/>
            <w:tcBorders>
              <w:top w:val="nil"/>
              <w:left w:val="nil"/>
              <w:bottom w:val="single" w:sz="4" w:space="0" w:color="auto"/>
              <w:right w:val="single" w:sz="4" w:space="0" w:color="auto"/>
            </w:tcBorders>
            <w:shd w:val="clear" w:color="auto" w:fill="auto"/>
            <w:noWrap/>
            <w:vAlign w:val="bottom"/>
            <w:hideMark/>
          </w:tcPr>
          <w:p w14:paraId="38CAD39C"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256,73</w:t>
            </w:r>
          </w:p>
        </w:tc>
        <w:tc>
          <w:tcPr>
            <w:tcW w:w="1000" w:type="dxa"/>
            <w:tcBorders>
              <w:top w:val="nil"/>
              <w:left w:val="nil"/>
              <w:bottom w:val="single" w:sz="4" w:space="0" w:color="auto"/>
              <w:right w:val="single" w:sz="4" w:space="0" w:color="auto"/>
            </w:tcBorders>
            <w:shd w:val="clear" w:color="auto" w:fill="auto"/>
            <w:noWrap/>
            <w:vAlign w:val="bottom"/>
            <w:hideMark/>
          </w:tcPr>
          <w:p w14:paraId="5824DC91"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94,87</w:t>
            </w:r>
          </w:p>
        </w:tc>
        <w:tc>
          <w:tcPr>
            <w:tcW w:w="1000" w:type="dxa"/>
            <w:tcBorders>
              <w:top w:val="nil"/>
              <w:left w:val="nil"/>
              <w:bottom w:val="single" w:sz="4" w:space="0" w:color="auto"/>
              <w:right w:val="single" w:sz="4" w:space="0" w:color="auto"/>
            </w:tcBorders>
            <w:shd w:val="clear" w:color="000000" w:fill="FFFFFF"/>
            <w:noWrap/>
            <w:vAlign w:val="bottom"/>
            <w:hideMark/>
          </w:tcPr>
          <w:p w14:paraId="192E78CD"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84,40</w:t>
            </w:r>
          </w:p>
        </w:tc>
        <w:tc>
          <w:tcPr>
            <w:tcW w:w="1000" w:type="dxa"/>
            <w:tcBorders>
              <w:top w:val="nil"/>
              <w:left w:val="nil"/>
              <w:bottom w:val="single" w:sz="4" w:space="0" w:color="auto"/>
              <w:right w:val="single" w:sz="4" w:space="0" w:color="auto"/>
            </w:tcBorders>
            <w:shd w:val="clear" w:color="000000" w:fill="FFFFFF"/>
            <w:noWrap/>
            <w:vAlign w:val="bottom"/>
            <w:hideMark/>
          </w:tcPr>
          <w:p w14:paraId="26DD06F3"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218,65</w:t>
            </w:r>
          </w:p>
        </w:tc>
        <w:tc>
          <w:tcPr>
            <w:tcW w:w="1160" w:type="dxa"/>
            <w:tcBorders>
              <w:top w:val="nil"/>
              <w:left w:val="nil"/>
              <w:bottom w:val="single" w:sz="4" w:space="0" w:color="auto"/>
              <w:right w:val="single" w:sz="4" w:space="0" w:color="auto"/>
            </w:tcBorders>
            <w:shd w:val="clear" w:color="000000" w:fill="FFFFFF"/>
            <w:noWrap/>
            <w:vAlign w:val="bottom"/>
            <w:hideMark/>
          </w:tcPr>
          <w:p w14:paraId="08604DC8"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0,00</w:t>
            </w:r>
          </w:p>
        </w:tc>
        <w:tc>
          <w:tcPr>
            <w:tcW w:w="756" w:type="dxa"/>
            <w:tcBorders>
              <w:top w:val="nil"/>
              <w:left w:val="nil"/>
              <w:bottom w:val="single" w:sz="4" w:space="0" w:color="auto"/>
              <w:right w:val="single" w:sz="4" w:space="0" w:color="auto"/>
            </w:tcBorders>
            <w:shd w:val="clear" w:color="000000" w:fill="FFFFFF"/>
            <w:noWrap/>
            <w:vAlign w:val="bottom"/>
            <w:hideMark/>
          </w:tcPr>
          <w:p w14:paraId="7194994A"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230,47</w:t>
            </w:r>
          </w:p>
        </w:tc>
        <w:tc>
          <w:tcPr>
            <w:tcW w:w="1168" w:type="dxa"/>
            <w:tcBorders>
              <w:top w:val="nil"/>
              <w:left w:val="nil"/>
              <w:bottom w:val="single" w:sz="4" w:space="0" w:color="auto"/>
              <w:right w:val="single" w:sz="4" w:space="0" w:color="auto"/>
            </w:tcBorders>
            <w:shd w:val="clear" w:color="000000" w:fill="FFFFFF"/>
            <w:noWrap/>
            <w:vAlign w:val="bottom"/>
            <w:hideMark/>
          </w:tcPr>
          <w:p w14:paraId="6CC9AF74"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123,78</w:t>
            </w:r>
          </w:p>
        </w:tc>
        <w:tc>
          <w:tcPr>
            <w:tcW w:w="236" w:type="dxa"/>
            <w:vAlign w:val="center"/>
            <w:hideMark/>
          </w:tcPr>
          <w:p w14:paraId="105CF3D9" w14:textId="77777777" w:rsidR="00D52EC7" w:rsidRPr="00E47AA9" w:rsidRDefault="00D52EC7" w:rsidP="00353702">
            <w:pPr>
              <w:spacing w:after="0" w:line="240" w:lineRule="auto"/>
              <w:rPr>
                <w:rFonts w:ascii="Times New Roman" w:eastAsia="Times New Roman" w:hAnsi="Times New Roman" w:cs="Times New Roman"/>
                <w:sz w:val="20"/>
                <w:szCs w:val="20"/>
                <w:lang w:eastAsia="ru-RU"/>
              </w:rPr>
            </w:pPr>
          </w:p>
        </w:tc>
      </w:tr>
      <w:tr w:rsidR="00E47AA9" w:rsidRPr="00E47AA9" w14:paraId="52869D0F" w14:textId="77777777" w:rsidTr="00353702">
        <w:trPr>
          <w:trHeight w:val="20"/>
        </w:trPr>
        <w:tc>
          <w:tcPr>
            <w:tcW w:w="2978" w:type="dxa"/>
            <w:tcBorders>
              <w:top w:val="nil"/>
              <w:left w:val="single" w:sz="4" w:space="0" w:color="auto"/>
              <w:bottom w:val="single" w:sz="4" w:space="0" w:color="auto"/>
              <w:right w:val="single" w:sz="4" w:space="0" w:color="auto"/>
            </w:tcBorders>
            <w:shd w:val="clear" w:color="auto" w:fill="auto"/>
            <w:vAlign w:val="center"/>
            <w:hideMark/>
          </w:tcPr>
          <w:p w14:paraId="771DC106" w14:textId="77777777" w:rsidR="00D52EC7" w:rsidRPr="00E47AA9" w:rsidRDefault="00D52EC7" w:rsidP="00353702">
            <w:pPr>
              <w:spacing w:after="0" w:line="240" w:lineRule="auto"/>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Безвозмездные поступления от негосударственных организаций</w:t>
            </w:r>
          </w:p>
        </w:tc>
        <w:tc>
          <w:tcPr>
            <w:tcW w:w="1000" w:type="dxa"/>
            <w:tcBorders>
              <w:top w:val="nil"/>
              <w:left w:val="nil"/>
              <w:bottom w:val="single" w:sz="4" w:space="0" w:color="auto"/>
              <w:right w:val="single" w:sz="4" w:space="0" w:color="auto"/>
            </w:tcBorders>
            <w:shd w:val="clear" w:color="auto" w:fill="auto"/>
            <w:noWrap/>
            <w:vAlign w:val="bottom"/>
            <w:hideMark/>
          </w:tcPr>
          <w:p w14:paraId="4B82EC27"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12,67</w:t>
            </w:r>
          </w:p>
        </w:tc>
        <w:tc>
          <w:tcPr>
            <w:tcW w:w="1000" w:type="dxa"/>
            <w:tcBorders>
              <w:top w:val="nil"/>
              <w:left w:val="nil"/>
              <w:bottom w:val="single" w:sz="4" w:space="0" w:color="auto"/>
              <w:right w:val="single" w:sz="4" w:space="0" w:color="auto"/>
            </w:tcBorders>
            <w:shd w:val="clear" w:color="auto" w:fill="auto"/>
            <w:noWrap/>
            <w:vAlign w:val="bottom"/>
            <w:hideMark/>
          </w:tcPr>
          <w:p w14:paraId="78AA8070"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47,53</w:t>
            </w:r>
          </w:p>
        </w:tc>
        <w:tc>
          <w:tcPr>
            <w:tcW w:w="1000" w:type="dxa"/>
            <w:tcBorders>
              <w:top w:val="nil"/>
              <w:left w:val="nil"/>
              <w:bottom w:val="single" w:sz="4" w:space="0" w:color="auto"/>
              <w:right w:val="single" w:sz="4" w:space="0" w:color="auto"/>
            </w:tcBorders>
            <w:shd w:val="clear" w:color="000000" w:fill="FFFFFF"/>
            <w:noWrap/>
            <w:vAlign w:val="bottom"/>
            <w:hideMark/>
          </w:tcPr>
          <w:p w14:paraId="400E3496"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0,00</w:t>
            </w:r>
          </w:p>
        </w:tc>
        <w:tc>
          <w:tcPr>
            <w:tcW w:w="1000" w:type="dxa"/>
            <w:tcBorders>
              <w:top w:val="nil"/>
              <w:left w:val="nil"/>
              <w:bottom w:val="single" w:sz="4" w:space="0" w:color="auto"/>
              <w:right w:val="single" w:sz="4" w:space="0" w:color="auto"/>
            </w:tcBorders>
            <w:shd w:val="clear" w:color="000000" w:fill="FFFFFF"/>
            <w:noWrap/>
            <w:vAlign w:val="bottom"/>
            <w:hideMark/>
          </w:tcPr>
          <w:p w14:paraId="7C04278B"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43,72</w:t>
            </w:r>
          </w:p>
        </w:tc>
        <w:tc>
          <w:tcPr>
            <w:tcW w:w="1160" w:type="dxa"/>
            <w:tcBorders>
              <w:top w:val="nil"/>
              <w:left w:val="nil"/>
              <w:bottom w:val="single" w:sz="4" w:space="0" w:color="auto"/>
              <w:right w:val="single" w:sz="4" w:space="0" w:color="auto"/>
            </w:tcBorders>
            <w:shd w:val="clear" w:color="000000" w:fill="FFFFFF"/>
            <w:noWrap/>
            <w:vAlign w:val="bottom"/>
            <w:hideMark/>
          </w:tcPr>
          <w:p w14:paraId="466E0385"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12,14</w:t>
            </w:r>
          </w:p>
        </w:tc>
        <w:tc>
          <w:tcPr>
            <w:tcW w:w="756" w:type="dxa"/>
            <w:tcBorders>
              <w:top w:val="nil"/>
              <w:left w:val="nil"/>
              <w:bottom w:val="single" w:sz="4" w:space="0" w:color="auto"/>
              <w:right w:val="single" w:sz="4" w:space="0" w:color="auto"/>
            </w:tcBorders>
            <w:shd w:val="clear" w:color="000000" w:fill="FFFFFF"/>
            <w:noWrap/>
            <w:vAlign w:val="bottom"/>
            <w:hideMark/>
          </w:tcPr>
          <w:p w14:paraId="0589E142"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91,98</w:t>
            </w:r>
          </w:p>
        </w:tc>
        <w:tc>
          <w:tcPr>
            <w:tcW w:w="1168" w:type="dxa"/>
            <w:tcBorders>
              <w:top w:val="nil"/>
              <w:left w:val="nil"/>
              <w:bottom w:val="single" w:sz="4" w:space="0" w:color="auto"/>
              <w:right w:val="single" w:sz="4" w:space="0" w:color="auto"/>
            </w:tcBorders>
            <w:shd w:val="clear" w:color="000000" w:fill="FFFFFF"/>
            <w:noWrap/>
            <w:vAlign w:val="bottom"/>
            <w:hideMark/>
          </w:tcPr>
          <w:p w14:paraId="15934F96"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-3,81</w:t>
            </w:r>
          </w:p>
        </w:tc>
        <w:tc>
          <w:tcPr>
            <w:tcW w:w="236" w:type="dxa"/>
            <w:vAlign w:val="center"/>
            <w:hideMark/>
          </w:tcPr>
          <w:p w14:paraId="4F60E038" w14:textId="77777777" w:rsidR="00D52EC7" w:rsidRPr="00E47AA9" w:rsidRDefault="00D52EC7" w:rsidP="00353702">
            <w:pPr>
              <w:spacing w:after="0" w:line="240" w:lineRule="auto"/>
              <w:rPr>
                <w:rFonts w:ascii="Times New Roman" w:eastAsia="Times New Roman" w:hAnsi="Times New Roman" w:cs="Times New Roman"/>
                <w:sz w:val="20"/>
                <w:szCs w:val="20"/>
                <w:lang w:eastAsia="ru-RU"/>
              </w:rPr>
            </w:pPr>
          </w:p>
        </w:tc>
      </w:tr>
      <w:tr w:rsidR="00E47AA9" w:rsidRPr="00E47AA9" w14:paraId="499F7133" w14:textId="77777777" w:rsidTr="00353702">
        <w:trPr>
          <w:trHeight w:val="20"/>
        </w:trPr>
        <w:tc>
          <w:tcPr>
            <w:tcW w:w="2978" w:type="dxa"/>
            <w:tcBorders>
              <w:top w:val="nil"/>
              <w:left w:val="single" w:sz="4" w:space="0" w:color="auto"/>
              <w:bottom w:val="single" w:sz="4" w:space="0" w:color="auto"/>
              <w:right w:val="single" w:sz="4" w:space="0" w:color="auto"/>
            </w:tcBorders>
            <w:shd w:val="clear" w:color="auto" w:fill="auto"/>
            <w:vAlign w:val="center"/>
            <w:hideMark/>
          </w:tcPr>
          <w:p w14:paraId="114424B0" w14:textId="77777777" w:rsidR="00D52EC7" w:rsidRPr="00E47AA9" w:rsidRDefault="00D52EC7" w:rsidP="00353702">
            <w:pPr>
              <w:spacing w:after="0" w:line="240" w:lineRule="auto"/>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Прочие безвозмездные поступления</w:t>
            </w:r>
          </w:p>
        </w:tc>
        <w:tc>
          <w:tcPr>
            <w:tcW w:w="1000" w:type="dxa"/>
            <w:tcBorders>
              <w:top w:val="nil"/>
              <w:left w:val="nil"/>
              <w:bottom w:val="single" w:sz="4" w:space="0" w:color="auto"/>
              <w:right w:val="single" w:sz="4" w:space="0" w:color="auto"/>
            </w:tcBorders>
            <w:shd w:val="clear" w:color="auto" w:fill="auto"/>
            <w:noWrap/>
            <w:vAlign w:val="bottom"/>
            <w:hideMark/>
          </w:tcPr>
          <w:p w14:paraId="7E403E6A"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158,73</w:t>
            </w:r>
          </w:p>
        </w:tc>
        <w:tc>
          <w:tcPr>
            <w:tcW w:w="1000" w:type="dxa"/>
            <w:tcBorders>
              <w:top w:val="nil"/>
              <w:left w:val="nil"/>
              <w:bottom w:val="single" w:sz="4" w:space="0" w:color="auto"/>
              <w:right w:val="single" w:sz="4" w:space="0" w:color="auto"/>
            </w:tcBorders>
            <w:shd w:val="clear" w:color="auto" w:fill="auto"/>
            <w:noWrap/>
            <w:vAlign w:val="bottom"/>
            <w:hideMark/>
          </w:tcPr>
          <w:p w14:paraId="01A7577B"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244,01</w:t>
            </w:r>
          </w:p>
        </w:tc>
        <w:tc>
          <w:tcPr>
            <w:tcW w:w="1000" w:type="dxa"/>
            <w:tcBorders>
              <w:top w:val="nil"/>
              <w:left w:val="nil"/>
              <w:bottom w:val="single" w:sz="4" w:space="0" w:color="auto"/>
              <w:right w:val="single" w:sz="4" w:space="0" w:color="auto"/>
            </w:tcBorders>
            <w:shd w:val="clear" w:color="000000" w:fill="FFFFFF"/>
            <w:noWrap/>
            <w:vAlign w:val="bottom"/>
            <w:hideMark/>
          </w:tcPr>
          <w:p w14:paraId="0BD3BD9D"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166,25</w:t>
            </w:r>
          </w:p>
        </w:tc>
        <w:tc>
          <w:tcPr>
            <w:tcW w:w="1000" w:type="dxa"/>
            <w:tcBorders>
              <w:top w:val="nil"/>
              <w:left w:val="nil"/>
              <w:bottom w:val="single" w:sz="4" w:space="0" w:color="auto"/>
              <w:right w:val="single" w:sz="4" w:space="0" w:color="auto"/>
            </w:tcBorders>
            <w:shd w:val="clear" w:color="000000" w:fill="FFFFFF"/>
            <w:noWrap/>
            <w:vAlign w:val="bottom"/>
            <w:hideMark/>
          </w:tcPr>
          <w:p w14:paraId="551DDECA"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166,55</w:t>
            </w:r>
          </w:p>
        </w:tc>
        <w:tc>
          <w:tcPr>
            <w:tcW w:w="1160" w:type="dxa"/>
            <w:tcBorders>
              <w:top w:val="nil"/>
              <w:left w:val="nil"/>
              <w:bottom w:val="single" w:sz="4" w:space="0" w:color="auto"/>
              <w:right w:val="single" w:sz="4" w:space="0" w:color="auto"/>
            </w:tcBorders>
            <w:shd w:val="clear" w:color="000000" w:fill="FFFFFF"/>
            <w:noWrap/>
            <w:vAlign w:val="bottom"/>
            <w:hideMark/>
          </w:tcPr>
          <w:p w14:paraId="75F8DDE8"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220,64</w:t>
            </w:r>
          </w:p>
        </w:tc>
        <w:tc>
          <w:tcPr>
            <w:tcW w:w="756" w:type="dxa"/>
            <w:tcBorders>
              <w:top w:val="nil"/>
              <w:left w:val="nil"/>
              <w:bottom w:val="single" w:sz="4" w:space="0" w:color="auto"/>
              <w:right w:val="single" w:sz="4" w:space="0" w:color="auto"/>
            </w:tcBorders>
            <w:shd w:val="clear" w:color="000000" w:fill="FFFFFF"/>
            <w:noWrap/>
            <w:vAlign w:val="bottom"/>
            <w:hideMark/>
          </w:tcPr>
          <w:p w14:paraId="676612CD"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68,26</w:t>
            </w:r>
          </w:p>
        </w:tc>
        <w:tc>
          <w:tcPr>
            <w:tcW w:w="1168" w:type="dxa"/>
            <w:tcBorders>
              <w:top w:val="nil"/>
              <w:left w:val="nil"/>
              <w:bottom w:val="single" w:sz="4" w:space="0" w:color="auto"/>
              <w:right w:val="single" w:sz="4" w:space="0" w:color="auto"/>
            </w:tcBorders>
            <w:shd w:val="clear" w:color="000000" w:fill="FFFFFF"/>
            <w:noWrap/>
            <w:vAlign w:val="bottom"/>
            <w:hideMark/>
          </w:tcPr>
          <w:p w14:paraId="51EC36B0"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-77,46</w:t>
            </w:r>
          </w:p>
        </w:tc>
        <w:tc>
          <w:tcPr>
            <w:tcW w:w="236" w:type="dxa"/>
            <w:vAlign w:val="center"/>
            <w:hideMark/>
          </w:tcPr>
          <w:p w14:paraId="6DFACD36" w14:textId="77777777" w:rsidR="00D52EC7" w:rsidRPr="00E47AA9" w:rsidRDefault="00D52EC7" w:rsidP="00353702">
            <w:pPr>
              <w:spacing w:after="0" w:line="240" w:lineRule="auto"/>
              <w:rPr>
                <w:rFonts w:ascii="Times New Roman" w:eastAsia="Times New Roman" w:hAnsi="Times New Roman" w:cs="Times New Roman"/>
                <w:sz w:val="20"/>
                <w:szCs w:val="20"/>
                <w:lang w:eastAsia="ru-RU"/>
              </w:rPr>
            </w:pPr>
          </w:p>
        </w:tc>
      </w:tr>
      <w:tr w:rsidR="00E47AA9" w:rsidRPr="00E47AA9" w14:paraId="13BD649E" w14:textId="77777777" w:rsidTr="00353702">
        <w:trPr>
          <w:trHeight w:val="20"/>
        </w:trPr>
        <w:tc>
          <w:tcPr>
            <w:tcW w:w="2978" w:type="dxa"/>
            <w:tcBorders>
              <w:top w:val="nil"/>
              <w:left w:val="single" w:sz="4" w:space="0" w:color="auto"/>
              <w:bottom w:val="single" w:sz="4" w:space="0" w:color="auto"/>
              <w:right w:val="single" w:sz="4" w:space="0" w:color="auto"/>
            </w:tcBorders>
            <w:shd w:val="clear" w:color="auto" w:fill="auto"/>
            <w:vAlign w:val="center"/>
            <w:hideMark/>
          </w:tcPr>
          <w:p w14:paraId="04C6909E" w14:textId="77777777" w:rsidR="00D52EC7" w:rsidRPr="00E47AA9" w:rsidRDefault="00D52EC7" w:rsidP="00353702">
            <w:pPr>
              <w:spacing w:after="0" w:line="240" w:lineRule="auto"/>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xml:space="preserve">Доходы бюджетов бюджетной системы российской федерации от возврата бюджетами </w:t>
            </w:r>
            <w:r w:rsidRPr="00E47AA9">
              <w:rPr>
                <w:rFonts w:ascii="Times New Roman" w:eastAsia="Times New Roman" w:hAnsi="Times New Roman" w:cs="Times New Roman"/>
                <w:sz w:val="19"/>
                <w:szCs w:val="19"/>
                <w:lang w:eastAsia="ru-RU"/>
              </w:rPr>
              <w:lastRenderedPageBreak/>
              <w:t>бюджетной системы РФ и организациями остатков субсидий, субвенций и иных межбюджетных трансфертов, имеющих целевое назначение, прошлых лет</w:t>
            </w:r>
          </w:p>
        </w:tc>
        <w:tc>
          <w:tcPr>
            <w:tcW w:w="1000" w:type="dxa"/>
            <w:tcBorders>
              <w:top w:val="nil"/>
              <w:left w:val="nil"/>
              <w:bottom w:val="single" w:sz="4" w:space="0" w:color="auto"/>
              <w:right w:val="single" w:sz="4" w:space="0" w:color="auto"/>
            </w:tcBorders>
            <w:shd w:val="clear" w:color="auto" w:fill="auto"/>
            <w:noWrap/>
            <w:vAlign w:val="bottom"/>
            <w:hideMark/>
          </w:tcPr>
          <w:p w14:paraId="50A69DC4"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lastRenderedPageBreak/>
              <w:t>0,00</w:t>
            </w:r>
          </w:p>
        </w:tc>
        <w:tc>
          <w:tcPr>
            <w:tcW w:w="1000" w:type="dxa"/>
            <w:tcBorders>
              <w:top w:val="nil"/>
              <w:left w:val="nil"/>
              <w:bottom w:val="single" w:sz="4" w:space="0" w:color="auto"/>
              <w:right w:val="single" w:sz="4" w:space="0" w:color="auto"/>
            </w:tcBorders>
            <w:shd w:val="clear" w:color="auto" w:fill="auto"/>
            <w:noWrap/>
            <w:vAlign w:val="bottom"/>
            <w:hideMark/>
          </w:tcPr>
          <w:p w14:paraId="22FF5407"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580,08</w:t>
            </w:r>
          </w:p>
        </w:tc>
        <w:tc>
          <w:tcPr>
            <w:tcW w:w="1000" w:type="dxa"/>
            <w:tcBorders>
              <w:top w:val="nil"/>
              <w:left w:val="nil"/>
              <w:bottom w:val="single" w:sz="4" w:space="0" w:color="auto"/>
              <w:right w:val="single" w:sz="4" w:space="0" w:color="auto"/>
            </w:tcBorders>
            <w:shd w:val="clear" w:color="000000" w:fill="FFFFFF"/>
            <w:noWrap/>
            <w:vAlign w:val="bottom"/>
            <w:hideMark/>
          </w:tcPr>
          <w:p w14:paraId="384752A1"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281,82</w:t>
            </w:r>
          </w:p>
        </w:tc>
        <w:tc>
          <w:tcPr>
            <w:tcW w:w="1000" w:type="dxa"/>
            <w:tcBorders>
              <w:top w:val="nil"/>
              <w:left w:val="nil"/>
              <w:bottom w:val="single" w:sz="4" w:space="0" w:color="auto"/>
              <w:right w:val="single" w:sz="4" w:space="0" w:color="auto"/>
            </w:tcBorders>
            <w:shd w:val="clear" w:color="000000" w:fill="FFFFFF"/>
            <w:noWrap/>
            <w:vAlign w:val="bottom"/>
            <w:hideMark/>
          </w:tcPr>
          <w:p w14:paraId="2339CC46"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886,13</w:t>
            </w:r>
          </w:p>
        </w:tc>
        <w:tc>
          <w:tcPr>
            <w:tcW w:w="1160" w:type="dxa"/>
            <w:tcBorders>
              <w:top w:val="nil"/>
              <w:left w:val="nil"/>
              <w:bottom w:val="single" w:sz="4" w:space="0" w:color="auto"/>
              <w:right w:val="single" w:sz="4" w:space="0" w:color="auto"/>
            </w:tcBorders>
            <w:shd w:val="clear" w:color="000000" w:fill="FFFFFF"/>
            <w:noWrap/>
            <w:vAlign w:val="bottom"/>
            <w:hideMark/>
          </w:tcPr>
          <w:p w14:paraId="7B5E4E7A"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0,00</w:t>
            </w:r>
          </w:p>
        </w:tc>
        <w:tc>
          <w:tcPr>
            <w:tcW w:w="756" w:type="dxa"/>
            <w:tcBorders>
              <w:top w:val="nil"/>
              <w:left w:val="nil"/>
              <w:bottom w:val="single" w:sz="4" w:space="0" w:color="auto"/>
              <w:right w:val="single" w:sz="4" w:space="0" w:color="auto"/>
            </w:tcBorders>
            <w:shd w:val="clear" w:color="000000" w:fill="FFFFFF"/>
            <w:noWrap/>
            <w:vAlign w:val="bottom"/>
            <w:hideMark/>
          </w:tcPr>
          <w:p w14:paraId="6BF58F3C"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152,76</w:t>
            </w:r>
          </w:p>
        </w:tc>
        <w:tc>
          <w:tcPr>
            <w:tcW w:w="1168" w:type="dxa"/>
            <w:tcBorders>
              <w:top w:val="nil"/>
              <w:left w:val="nil"/>
              <w:bottom w:val="single" w:sz="4" w:space="0" w:color="auto"/>
              <w:right w:val="single" w:sz="4" w:space="0" w:color="auto"/>
            </w:tcBorders>
            <w:shd w:val="clear" w:color="000000" w:fill="FFFFFF"/>
            <w:noWrap/>
            <w:vAlign w:val="bottom"/>
            <w:hideMark/>
          </w:tcPr>
          <w:p w14:paraId="4684E6CF"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306,05</w:t>
            </w:r>
          </w:p>
        </w:tc>
        <w:tc>
          <w:tcPr>
            <w:tcW w:w="236" w:type="dxa"/>
            <w:vAlign w:val="center"/>
            <w:hideMark/>
          </w:tcPr>
          <w:p w14:paraId="73977055" w14:textId="77777777" w:rsidR="00D52EC7" w:rsidRPr="00E47AA9" w:rsidRDefault="00D52EC7" w:rsidP="00353702">
            <w:pPr>
              <w:spacing w:after="0" w:line="240" w:lineRule="auto"/>
              <w:rPr>
                <w:rFonts w:ascii="Times New Roman" w:eastAsia="Times New Roman" w:hAnsi="Times New Roman" w:cs="Times New Roman"/>
                <w:sz w:val="20"/>
                <w:szCs w:val="20"/>
                <w:lang w:eastAsia="ru-RU"/>
              </w:rPr>
            </w:pPr>
          </w:p>
        </w:tc>
      </w:tr>
      <w:tr w:rsidR="00E47AA9" w:rsidRPr="00E47AA9" w14:paraId="78478CFC" w14:textId="77777777" w:rsidTr="00353702">
        <w:trPr>
          <w:trHeight w:val="20"/>
        </w:trPr>
        <w:tc>
          <w:tcPr>
            <w:tcW w:w="2978" w:type="dxa"/>
            <w:tcBorders>
              <w:top w:val="nil"/>
              <w:left w:val="single" w:sz="4" w:space="0" w:color="auto"/>
              <w:bottom w:val="single" w:sz="4" w:space="0" w:color="auto"/>
              <w:right w:val="single" w:sz="4" w:space="0" w:color="auto"/>
            </w:tcBorders>
            <w:shd w:val="clear" w:color="auto" w:fill="auto"/>
            <w:vAlign w:val="center"/>
            <w:hideMark/>
          </w:tcPr>
          <w:p w14:paraId="63C9BF10" w14:textId="77777777" w:rsidR="00D52EC7" w:rsidRPr="00E47AA9" w:rsidRDefault="00D52EC7" w:rsidP="00353702">
            <w:pPr>
              <w:spacing w:after="0" w:line="240" w:lineRule="auto"/>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Возврат остатков субсидий, субвенций и иных межбюджетных трансфертов, имеющих целевое назначение, прошлых лет</w:t>
            </w:r>
          </w:p>
        </w:tc>
        <w:tc>
          <w:tcPr>
            <w:tcW w:w="1000" w:type="dxa"/>
            <w:tcBorders>
              <w:top w:val="nil"/>
              <w:left w:val="nil"/>
              <w:bottom w:val="single" w:sz="4" w:space="0" w:color="auto"/>
              <w:right w:val="single" w:sz="4" w:space="0" w:color="auto"/>
            </w:tcBorders>
            <w:shd w:val="clear" w:color="auto" w:fill="auto"/>
            <w:noWrap/>
            <w:vAlign w:val="bottom"/>
            <w:hideMark/>
          </w:tcPr>
          <w:p w14:paraId="4DB3B575"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0,00</w:t>
            </w:r>
          </w:p>
        </w:tc>
        <w:tc>
          <w:tcPr>
            <w:tcW w:w="1000" w:type="dxa"/>
            <w:tcBorders>
              <w:top w:val="nil"/>
              <w:left w:val="nil"/>
              <w:bottom w:val="single" w:sz="4" w:space="0" w:color="auto"/>
              <w:right w:val="single" w:sz="4" w:space="0" w:color="auto"/>
            </w:tcBorders>
            <w:shd w:val="clear" w:color="auto" w:fill="auto"/>
            <w:noWrap/>
            <w:vAlign w:val="bottom"/>
            <w:hideMark/>
          </w:tcPr>
          <w:p w14:paraId="024531E2"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-434,31</w:t>
            </w:r>
          </w:p>
        </w:tc>
        <w:tc>
          <w:tcPr>
            <w:tcW w:w="1000" w:type="dxa"/>
            <w:tcBorders>
              <w:top w:val="nil"/>
              <w:left w:val="nil"/>
              <w:bottom w:val="single" w:sz="4" w:space="0" w:color="auto"/>
              <w:right w:val="single" w:sz="4" w:space="0" w:color="auto"/>
            </w:tcBorders>
            <w:shd w:val="clear" w:color="000000" w:fill="FFFFFF"/>
            <w:noWrap/>
            <w:vAlign w:val="bottom"/>
            <w:hideMark/>
          </w:tcPr>
          <w:p w14:paraId="33975F8D"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0,00</w:t>
            </w:r>
          </w:p>
        </w:tc>
        <w:tc>
          <w:tcPr>
            <w:tcW w:w="1000" w:type="dxa"/>
            <w:tcBorders>
              <w:top w:val="nil"/>
              <w:left w:val="nil"/>
              <w:bottom w:val="single" w:sz="4" w:space="0" w:color="auto"/>
              <w:right w:val="single" w:sz="4" w:space="0" w:color="auto"/>
            </w:tcBorders>
            <w:shd w:val="clear" w:color="000000" w:fill="FFFFFF"/>
            <w:noWrap/>
            <w:vAlign w:val="bottom"/>
            <w:hideMark/>
          </w:tcPr>
          <w:p w14:paraId="513983C2"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-241,35</w:t>
            </w:r>
          </w:p>
        </w:tc>
        <w:tc>
          <w:tcPr>
            <w:tcW w:w="1160" w:type="dxa"/>
            <w:tcBorders>
              <w:top w:val="nil"/>
              <w:left w:val="nil"/>
              <w:bottom w:val="single" w:sz="4" w:space="0" w:color="auto"/>
              <w:right w:val="single" w:sz="4" w:space="0" w:color="auto"/>
            </w:tcBorders>
            <w:shd w:val="clear" w:color="000000" w:fill="FFFFFF"/>
            <w:noWrap/>
            <w:vAlign w:val="bottom"/>
            <w:hideMark/>
          </w:tcPr>
          <w:p w14:paraId="26808AA9"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0,00</w:t>
            </w:r>
          </w:p>
        </w:tc>
        <w:tc>
          <w:tcPr>
            <w:tcW w:w="756" w:type="dxa"/>
            <w:tcBorders>
              <w:top w:val="nil"/>
              <w:left w:val="nil"/>
              <w:bottom w:val="single" w:sz="4" w:space="0" w:color="auto"/>
              <w:right w:val="single" w:sz="4" w:space="0" w:color="auto"/>
            </w:tcBorders>
            <w:shd w:val="clear" w:color="000000" w:fill="FFFFFF"/>
            <w:noWrap/>
            <w:vAlign w:val="bottom"/>
            <w:hideMark/>
          </w:tcPr>
          <w:p w14:paraId="2C543F6D"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55,57</w:t>
            </w:r>
          </w:p>
        </w:tc>
        <w:tc>
          <w:tcPr>
            <w:tcW w:w="1168" w:type="dxa"/>
            <w:tcBorders>
              <w:top w:val="nil"/>
              <w:left w:val="nil"/>
              <w:bottom w:val="single" w:sz="4" w:space="0" w:color="auto"/>
              <w:right w:val="single" w:sz="4" w:space="0" w:color="auto"/>
            </w:tcBorders>
            <w:shd w:val="clear" w:color="000000" w:fill="FFFFFF"/>
            <w:noWrap/>
            <w:vAlign w:val="bottom"/>
            <w:hideMark/>
          </w:tcPr>
          <w:p w14:paraId="3711FDC2" w14:textId="77777777" w:rsidR="00D52EC7" w:rsidRPr="00E47AA9" w:rsidRDefault="00D52EC7" w:rsidP="00353702">
            <w:pPr>
              <w:spacing w:after="0" w:line="240" w:lineRule="auto"/>
              <w:jc w:val="right"/>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192,96</w:t>
            </w:r>
          </w:p>
        </w:tc>
        <w:tc>
          <w:tcPr>
            <w:tcW w:w="236" w:type="dxa"/>
            <w:vAlign w:val="center"/>
            <w:hideMark/>
          </w:tcPr>
          <w:p w14:paraId="4840C80E" w14:textId="77777777" w:rsidR="00D52EC7" w:rsidRPr="00E47AA9" w:rsidRDefault="00D52EC7" w:rsidP="00353702">
            <w:pPr>
              <w:spacing w:after="0" w:line="240" w:lineRule="auto"/>
              <w:rPr>
                <w:rFonts w:ascii="Times New Roman" w:eastAsia="Times New Roman" w:hAnsi="Times New Roman" w:cs="Times New Roman"/>
                <w:sz w:val="20"/>
                <w:szCs w:val="20"/>
                <w:lang w:eastAsia="ru-RU"/>
              </w:rPr>
            </w:pPr>
          </w:p>
        </w:tc>
      </w:tr>
    </w:tbl>
    <w:p w14:paraId="6BF89FD2" w14:textId="77777777" w:rsidR="00D52EC7" w:rsidRPr="00E47AA9" w:rsidRDefault="00D52EC7" w:rsidP="00D52EC7">
      <w:pPr>
        <w:spacing w:after="0" w:line="240" w:lineRule="auto"/>
        <w:jc w:val="center"/>
        <w:rPr>
          <w:rFonts w:ascii="Times New Roman" w:eastAsia="Times New Roman" w:hAnsi="Times New Roman" w:cs="Times New Roman"/>
          <w:b/>
          <w:sz w:val="28"/>
          <w:szCs w:val="28"/>
          <w:lang w:eastAsia="ru-RU"/>
        </w:rPr>
      </w:pPr>
    </w:p>
    <w:p w14:paraId="3C183A4B" w14:textId="77777777" w:rsidR="00D52EC7" w:rsidRPr="00E47AA9" w:rsidRDefault="00D52EC7" w:rsidP="00D52EC7">
      <w:pPr>
        <w:shd w:val="clear" w:color="auto" w:fill="FFFFFF" w:themeFill="background1"/>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b/>
          <w:sz w:val="28"/>
          <w:szCs w:val="28"/>
          <w:lang w:eastAsia="ru-RU"/>
        </w:rPr>
        <w:t>4.2.1. Безвозмездные поступления от других бюджетов бюджетной системы Российской Федерации</w:t>
      </w:r>
    </w:p>
    <w:p w14:paraId="08812498" w14:textId="77777777" w:rsidR="00D52EC7" w:rsidRPr="00E47AA9" w:rsidRDefault="00D52EC7" w:rsidP="00D52EC7">
      <w:pPr>
        <w:shd w:val="clear" w:color="auto" w:fill="FFFFFF" w:themeFill="background1"/>
        <w:spacing w:before="120"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Безвозмездные поступления из федерального бюджета составили 37524,12 млн рублей, или 99,69 %, от плановых назначений </w:t>
      </w:r>
      <w:r w:rsidRPr="00E47AA9">
        <w:rPr>
          <w:rFonts w:ascii="Times New Roman" w:eastAsia="Times New Roman" w:hAnsi="Times New Roman" w:cs="Times New Roman"/>
          <w:sz w:val="28"/>
          <w:szCs w:val="28"/>
          <w:lang w:eastAsia="ru-RU"/>
        </w:rPr>
        <w:br/>
        <w:t xml:space="preserve">(37642,15 млн рублей). </w:t>
      </w:r>
    </w:p>
    <w:p w14:paraId="5D658A6C"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Структура безвозмездных поступлений из федерального бюдже</w:t>
      </w:r>
      <w:r w:rsidR="00BC5C60" w:rsidRPr="00E47AA9">
        <w:rPr>
          <w:rFonts w:ascii="Times New Roman" w:eastAsia="Times New Roman" w:hAnsi="Times New Roman" w:cs="Times New Roman"/>
          <w:sz w:val="28"/>
          <w:szCs w:val="28"/>
          <w:lang w:eastAsia="ru-RU"/>
        </w:rPr>
        <w:t>та в разрезе источников в 2023 –</w:t>
      </w:r>
      <w:r w:rsidRPr="00E47AA9">
        <w:rPr>
          <w:rFonts w:ascii="Times New Roman" w:eastAsia="Times New Roman" w:hAnsi="Times New Roman" w:cs="Times New Roman"/>
          <w:sz w:val="28"/>
          <w:szCs w:val="28"/>
          <w:lang w:eastAsia="ru-RU"/>
        </w:rPr>
        <w:t xml:space="preserve"> 2024 годах представлена на диаграмме.</w:t>
      </w:r>
    </w:p>
    <w:p w14:paraId="1B7C3BB6" w14:textId="77777777" w:rsidR="00D52EC7" w:rsidRPr="00E47AA9" w:rsidRDefault="00D52EC7" w:rsidP="00D52EC7">
      <w:pPr>
        <w:spacing w:after="0" w:line="240" w:lineRule="auto"/>
        <w:jc w:val="both"/>
        <w:rPr>
          <w:rFonts w:ascii="Times New Roman" w:eastAsia="Times New Roman" w:hAnsi="Times New Roman" w:cs="Times New Roman"/>
          <w:sz w:val="28"/>
          <w:szCs w:val="28"/>
          <w:lang w:eastAsia="ru-RU"/>
        </w:rPr>
      </w:pPr>
    </w:p>
    <w:tbl>
      <w:tblPr>
        <w:tblStyle w:val="ab"/>
        <w:tblW w:w="9507"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671"/>
      </w:tblGrid>
      <w:tr w:rsidR="00E47AA9" w:rsidRPr="00E47AA9" w14:paraId="6189CED3" w14:textId="77777777" w:rsidTr="00353702">
        <w:trPr>
          <w:trHeight w:val="4026"/>
        </w:trPr>
        <w:tc>
          <w:tcPr>
            <w:tcW w:w="4836" w:type="dxa"/>
          </w:tcPr>
          <w:p w14:paraId="080B6CDE" w14:textId="77777777" w:rsidR="00D52EC7" w:rsidRPr="00E47AA9" w:rsidRDefault="00D52EC7" w:rsidP="00353702">
            <w:pPr>
              <w:jc w:val="center"/>
              <w:rPr>
                <w:rFonts w:ascii="Times New Roman" w:eastAsia="Times New Roman" w:hAnsi="Times New Roman" w:cs="Times New Roman"/>
                <w:b/>
                <w:bCs/>
                <w:sz w:val="24"/>
                <w:szCs w:val="24"/>
                <w:lang w:eastAsia="ru-RU"/>
              </w:rPr>
            </w:pPr>
            <w:r w:rsidRPr="00E47AA9">
              <w:rPr>
                <w:rFonts w:ascii="Times New Roman" w:eastAsia="Times New Roman" w:hAnsi="Times New Roman" w:cs="Times New Roman"/>
                <w:b/>
                <w:bCs/>
                <w:sz w:val="24"/>
                <w:szCs w:val="24"/>
                <w:lang w:eastAsia="ru-RU"/>
              </w:rPr>
              <w:t>2023 год</w:t>
            </w:r>
          </w:p>
          <w:p w14:paraId="395C3985" w14:textId="77777777" w:rsidR="00D52EC7" w:rsidRPr="00E47AA9" w:rsidRDefault="00D52EC7" w:rsidP="00353702">
            <w:pPr>
              <w:jc w:val="both"/>
              <w:rPr>
                <w:rFonts w:ascii="Times New Roman" w:eastAsia="Times New Roman" w:hAnsi="Times New Roman" w:cs="Times New Roman"/>
                <w:sz w:val="28"/>
                <w:szCs w:val="28"/>
                <w:lang w:eastAsia="ru-RU"/>
              </w:rPr>
            </w:pPr>
            <w:r w:rsidRPr="00E47AA9">
              <w:rPr>
                <w:rFonts w:ascii="Times New Roman" w:hAnsi="Times New Roman" w:cs="Times New Roman"/>
                <w:noProof/>
                <w:lang w:eastAsia="ru-RU"/>
              </w:rPr>
              <w:drawing>
                <wp:inline distT="0" distB="0" distL="0" distR="0" wp14:anchorId="2956BC18" wp14:editId="08FD570E">
                  <wp:extent cx="2933700" cy="2352675"/>
                  <wp:effectExtent l="0" t="0" r="0" b="0"/>
                  <wp:docPr id="1051524949"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5F06CC1D-1252-C07F-AD1E-25896B0FE9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c>
          <w:tcPr>
            <w:tcW w:w="4671" w:type="dxa"/>
          </w:tcPr>
          <w:p w14:paraId="221777FD" w14:textId="77777777" w:rsidR="00D52EC7" w:rsidRPr="00E47AA9" w:rsidRDefault="00D52EC7" w:rsidP="00353702">
            <w:pPr>
              <w:jc w:val="center"/>
              <w:rPr>
                <w:rFonts w:ascii="Times New Roman" w:eastAsia="Times New Roman" w:hAnsi="Times New Roman" w:cs="Times New Roman"/>
                <w:b/>
                <w:bCs/>
                <w:sz w:val="24"/>
                <w:szCs w:val="24"/>
                <w:lang w:eastAsia="ru-RU"/>
              </w:rPr>
            </w:pPr>
            <w:r w:rsidRPr="00E47AA9">
              <w:rPr>
                <w:rFonts w:ascii="Times New Roman" w:eastAsia="Times New Roman" w:hAnsi="Times New Roman" w:cs="Times New Roman"/>
                <w:b/>
                <w:bCs/>
                <w:sz w:val="24"/>
                <w:szCs w:val="24"/>
                <w:lang w:eastAsia="ru-RU"/>
              </w:rPr>
              <w:t>2024 год</w:t>
            </w:r>
          </w:p>
          <w:p w14:paraId="7962E220" w14:textId="77777777" w:rsidR="00D52EC7" w:rsidRPr="00E47AA9" w:rsidRDefault="00D52EC7" w:rsidP="00353702">
            <w:pPr>
              <w:jc w:val="both"/>
              <w:rPr>
                <w:rFonts w:ascii="Times New Roman" w:eastAsia="Times New Roman" w:hAnsi="Times New Roman" w:cs="Times New Roman"/>
                <w:sz w:val="28"/>
                <w:szCs w:val="28"/>
                <w:lang w:eastAsia="ru-RU"/>
              </w:rPr>
            </w:pPr>
            <w:r w:rsidRPr="00E47AA9">
              <w:rPr>
                <w:rFonts w:ascii="Times New Roman" w:hAnsi="Times New Roman" w:cs="Times New Roman"/>
                <w:noProof/>
                <w:lang w:eastAsia="ru-RU"/>
              </w:rPr>
              <w:drawing>
                <wp:anchor distT="0" distB="0" distL="114300" distR="114300" simplePos="0" relativeHeight="251668480" behindDoc="1" locked="0" layoutInCell="1" allowOverlap="1" wp14:anchorId="20FBFBFF" wp14:editId="7DFF2F23">
                  <wp:simplePos x="0" y="0"/>
                  <wp:positionH relativeFrom="margin">
                    <wp:posOffset>14605</wp:posOffset>
                  </wp:positionH>
                  <wp:positionV relativeFrom="paragraph">
                    <wp:posOffset>15711</wp:posOffset>
                  </wp:positionV>
                  <wp:extent cx="2828925" cy="2339975"/>
                  <wp:effectExtent l="0" t="0" r="0" b="0"/>
                  <wp:wrapTight wrapText="bothSides">
                    <wp:wrapPolygon edited="0">
                      <wp:start x="8291" y="3165"/>
                      <wp:lineTo x="1018" y="6331"/>
                      <wp:lineTo x="873" y="9847"/>
                      <wp:lineTo x="3491" y="11958"/>
                      <wp:lineTo x="4364" y="11958"/>
                      <wp:lineTo x="4218" y="14771"/>
                      <wp:lineTo x="5382" y="17585"/>
                      <wp:lineTo x="5382" y="17936"/>
                      <wp:lineTo x="8000" y="19695"/>
                      <wp:lineTo x="8582" y="20047"/>
                      <wp:lineTo x="10764" y="20047"/>
                      <wp:lineTo x="19200" y="18288"/>
                      <wp:lineTo x="18909" y="17409"/>
                      <wp:lineTo x="20364" y="15650"/>
                      <wp:lineTo x="17745" y="11958"/>
                      <wp:lineTo x="19200" y="9496"/>
                      <wp:lineTo x="19055" y="8968"/>
                      <wp:lineTo x="19636" y="6858"/>
                      <wp:lineTo x="17745" y="6331"/>
                      <wp:lineTo x="17891" y="5451"/>
                      <wp:lineTo x="12655" y="3517"/>
                      <wp:lineTo x="10182" y="3165"/>
                      <wp:lineTo x="8291" y="3165"/>
                    </wp:wrapPolygon>
                  </wp:wrapTight>
                  <wp:docPr id="579083710"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E03C4634-68B2-7953-6942-94B18B512D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page">
                    <wp14:pctWidth>0</wp14:pctWidth>
                  </wp14:sizeRelH>
                  <wp14:sizeRelV relativeFrom="page">
                    <wp14:pctHeight>0</wp14:pctHeight>
                  </wp14:sizeRelV>
                </wp:anchor>
              </w:drawing>
            </w:r>
          </w:p>
        </w:tc>
      </w:tr>
    </w:tbl>
    <w:p w14:paraId="7ED04F63" w14:textId="77777777" w:rsidR="00D52EC7" w:rsidRPr="00E47AA9" w:rsidRDefault="00D52EC7" w:rsidP="00D52EC7">
      <w:pPr>
        <w:spacing w:before="120"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Финансовая помощь распределилась следующим образом.</w:t>
      </w:r>
    </w:p>
    <w:p w14:paraId="188287E5" w14:textId="27BA0F95" w:rsidR="00D52EC7" w:rsidRPr="00E47AA9" w:rsidRDefault="00D52EC7" w:rsidP="00D52EC7">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i/>
          <w:sz w:val="28"/>
          <w:szCs w:val="28"/>
          <w:u w:val="single"/>
        </w:rPr>
        <w:t>Дотации</w:t>
      </w:r>
      <w:r w:rsidRPr="00E47AA9">
        <w:rPr>
          <w:rFonts w:ascii="Times New Roman" w:eastAsia="Times New Roman" w:hAnsi="Times New Roman" w:cs="Times New Roman"/>
          <w:sz w:val="28"/>
          <w:szCs w:val="28"/>
        </w:rPr>
        <w:t xml:space="preserve"> поступили в краевой бюджет в сумме 7413,05 млн рублей, или 102,53 % к плану (7230,01 млн рублей). Сверх плана поступило дотаций в сумме 183,0</w:t>
      </w:r>
      <w:r w:rsidR="0097203A" w:rsidRPr="00E47AA9">
        <w:rPr>
          <w:rFonts w:ascii="Times New Roman" w:eastAsia="Times New Roman" w:hAnsi="Times New Roman" w:cs="Times New Roman"/>
          <w:sz w:val="28"/>
          <w:szCs w:val="28"/>
        </w:rPr>
        <w:t>3</w:t>
      </w:r>
      <w:r w:rsidRPr="00E47AA9">
        <w:rPr>
          <w:rFonts w:ascii="Times New Roman" w:eastAsia="Times New Roman" w:hAnsi="Times New Roman" w:cs="Times New Roman"/>
          <w:sz w:val="28"/>
          <w:szCs w:val="28"/>
        </w:rPr>
        <w:t xml:space="preserve"> млн рублей.</w:t>
      </w:r>
    </w:p>
    <w:p w14:paraId="62A42AA4"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В отчетном году </w:t>
      </w:r>
      <w:r w:rsidRPr="00E47AA9">
        <w:rPr>
          <w:rFonts w:ascii="Times New Roman" w:eastAsia="Times New Roman" w:hAnsi="Times New Roman" w:cs="Times New Roman"/>
          <w:i/>
          <w:sz w:val="28"/>
          <w:szCs w:val="28"/>
        </w:rPr>
        <w:t>в планируемом объеме</w:t>
      </w:r>
      <w:r w:rsidRPr="00E47AA9">
        <w:rPr>
          <w:rFonts w:ascii="Times New Roman" w:eastAsia="Times New Roman" w:hAnsi="Times New Roman" w:cs="Times New Roman"/>
          <w:sz w:val="28"/>
          <w:szCs w:val="28"/>
        </w:rPr>
        <w:t xml:space="preserve"> поступили дотации: </w:t>
      </w:r>
    </w:p>
    <w:p w14:paraId="4F04B63C"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на выравнивание бюджетной обеспеченности – 6063,32 млн рублей;</w:t>
      </w:r>
    </w:p>
    <w:p w14:paraId="02D001C7"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на поддержку мер по обеспечению сбалансированности бюджетов – 837,85 млн рублей;</w:t>
      </w:r>
    </w:p>
    <w:p w14:paraId="00E0EAF1"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lastRenderedPageBreak/>
        <w:t>связанные с особым режимом безопасного функционирования закрытых административно-территориальных образований – 328,85 млн рублей.</w:t>
      </w:r>
    </w:p>
    <w:p w14:paraId="4FA1C325"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rPr>
      </w:pPr>
      <w:r w:rsidRPr="00E47AA9">
        <w:rPr>
          <w:rFonts w:ascii="Times New Roman" w:eastAsia="Calibri" w:hAnsi="Times New Roman" w:cs="Times New Roman"/>
          <w:i/>
          <w:sz w:val="28"/>
        </w:rPr>
        <w:t>В 2024 году в краевой бюджет поступили непланируемые</w:t>
      </w:r>
      <w:r w:rsidRPr="00E47AA9">
        <w:rPr>
          <w:rFonts w:ascii="Times New Roman" w:eastAsia="Calibri" w:hAnsi="Times New Roman" w:cs="Times New Roman"/>
          <w:sz w:val="28"/>
        </w:rPr>
        <w:t xml:space="preserve"> дотации из федерального бюджета </w:t>
      </w:r>
      <w:r w:rsidRPr="00E47AA9">
        <w:rPr>
          <w:rFonts w:ascii="Times New Roman" w:eastAsia="Times New Roman" w:hAnsi="Times New Roman" w:cs="Times New Roman"/>
          <w:sz w:val="28"/>
          <w:szCs w:val="28"/>
        </w:rPr>
        <w:t>за достижение показателей деятельности органов исполнительной власти субъектов Российской Федерации –</w:t>
      </w:r>
      <w:r w:rsidRPr="00E47AA9">
        <w:rPr>
          <w:rFonts w:ascii="Times New Roman" w:eastAsia="Times New Roman" w:hAnsi="Times New Roman" w:cs="Times New Roman"/>
          <w:sz w:val="28"/>
          <w:szCs w:val="28"/>
        </w:rPr>
        <w:br/>
        <w:t>183,03 млн рублей.</w:t>
      </w:r>
    </w:p>
    <w:p w14:paraId="0BC837A2" w14:textId="0209E6DD"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iCs/>
          <w:sz w:val="28"/>
          <w:szCs w:val="28"/>
          <w:u w:val="single"/>
          <w:lang w:eastAsia="ru-RU"/>
        </w:rPr>
        <w:t>Су</w:t>
      </w:r>
      <w:r w:rsidRPr="00E47AA9">
        <w:rPr>
          <w:rFonts w:ascii="Times New Roman" w:eastAsia="Times New Roman" w:hAnsi="Times New Roman" w:cs="Times New Roman"/>
          <w:i/>
          <w:sz w:val="28"/>
          <w:szCs w:val="28"/>
          <w:u w:val="single"/>
          <w:lang w:eastAsia="ru-RU"/>
        </w:rPr>
        <w:t>бсидии</w:t>
      </w:r>
      <w:r w:rsidRPr="00E47AA9">
        <w:rPr>
          <w:rFonts w:ascii="Times New Roman" w:eastAsia="Times New Roman" w:hAnsi="Times New Roman" w:cs="Times New Roman"/>
          <w:sz w:val="28"/>
          <w:szCs w:val="28"/>
          <w:lang w:eastAsia="ru-RU"/>
        </w:rPr>
        <w:t xml:space="preserve"> на софинансирование расходов составили общую сумму 23330,23 млн рублей, годовой план исполнен на 95,91 % </w:t>
      </w:r>
      <w:r w:rsidRPr="00E47AA9">
        <w:rPr>
          <w:rFonts w:ascii="Times New Roman" w:eastAsia="Times New Roman" w:hAnsi="Times New Roman" w:cs="Times New Roman"/>
          <w:sz w:val="28"/>
          <w:szCs w:val="28"/>
          <w:lang w:eastAsia="ru-RU"/>
        </w:rPr>
        <w:br/>
        <w:t xml:space="preserve">(план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24324,05 млн рублей).</w:t>
      </w:r>
    </w:p>
    <w:p w14:paraId="1B0AF661" w14:textId="77B33139" w:rsidR="00D52EC7" w:rsidRPr="00E47AA9" w:rsidRDefault="00D52EC7" w:rsidP="00D52EC7">
      <w:pPr>
        <w:spacing w:after="0" w:line="240" w:lineRule="auto"/>
        <w:ind w:firstLine="709"/>
        <w:jc w:val="both"/>
        <w:rPr>
          <w:rFonts w:ascii="Times New Roman" w:eastAsia="Times New Roman" w:hAnsi="Times New Roman" w:cs="Times New Roman"/>
          <w:sz w:val="28"/>
          <w:szCs w:val="28"/>
          <w:shd w:val="clear" w:color="auto" w:fill="FFFFFF"/>
          <w:lang w:eastAsia="ru-RU"/>
        </w:rPr>
      </w:pPr>
      <w:r w:rsidRPr="00E47AA9">
        <w:rPr>
          <w:rFonts w:ascii="Times New Roman" w:eastAsia="Times New Roman" w:hAnsi="Times New Roman" w:cs="Times New Roman"/>
          <w:sz w:val="28"/>
          <w:szCs w:val="28"/>
          <w:shd w:val="clear" w:color="auto" w:fill="FFFFFF"/>
          <w:lang w:eastAsia="ru-RU"/>
        </w:rPr>
        <w:t xml:space="preserve">В 2024 году в краевой бюджет направлены субсидии по </w:t>
      </w:r>
      <w:r w:rsidRPr="00E47AA9">
        <w:rPr>
          <w:rFonts w:ascii="Times New Roman" w:eastAsia="Times New Roman" w:hAnsi="Times New Roman" w:cs="Times New Roman"/>
          <w:sz w:val="28"/>
          <w:szCs w:val="28"/>
          <w:shd w:val="clear" w:color="auto" w:fill="FFFFFF" w:themeFill="background1"/>
          <w:lang w:eastAsia="ru-RU"/>
        </w:rPr>
        <w:t xml:space="preserve">80 </w:t>
      </w:r>
      <w:r w:rsidRPr="00E47AA9">
        <w:rPr>
          <w:rFonts w:ascii="Times New Roman" w:eastAsia="Times New Roman" w:hAnsi="Times New Roman" w:cs="Times New Roman"/>
          <w:sz w:val="28"/>
          <w:szCs w:val="28"/>
          <w:shd w:val="clear" w:color="auto" w:fill="FFFFFF"/>
          <w:lang w:eastAsia="ru-RU"/>
        </w:rPr>
        <w:t xml:space="preserve">направлениям, из них наибольшую долю в общем объеме поступивших субсидий занимают субсидии: </w:t>
      </w:r>
    </w:p>
    <w:p w14:paraId="0E9AA761"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shd w:val="clear" w:color="auto" w:fill="FFFFFF"/>
          <w:lang w:eastAsia="ru-RU"/>
        </w:rPr>
      </w:pPr>
      <w:r w:rsidRPr="00E47AA9">
        <w:rPr>
          <w:rFonts w:ascii="Times New Roman" w:eastAsia="Times New Roman" w:hAnsi="Times New Roman" w:cs="Times New Roman"/>
          <w:sz w:val="28"/>
          <w:szCs w:val="28"/>
          <w:shd w:val="clear" w:color="auto" w:fill="FFFFFF"/>
          <w:lang w:eastAsia="ru-RU"/>
        </w:rPr>
        <w:t>на реализацию мероприятий планов социального развития центров экономического роста субъектов Российской Федерации, входящих в состав Дальневосточного федерального округа – доля 23,20 % (поступило 5412,92 млн рублей)</w:t>
      </w:r>
      <w:r w:rsidR="00BA1342" w:rsidRPr="00E47AA9">
        <w:rPr>
          <w:rFonts w:ascii="Times New Roman" w:eastAsia="Times New Roman" w:hAnsi="Times New Roman" w:cs="Times New Roman"/>
          <w:sz w:val="28"/>
          <w:szCs w:val="28"/>
          <w:shd w:val="clear" w:color="auto" w:fill="FFFFFF"/>
          <w:lang w:eastAsia="ru-RU"/>
        </w:rPr>
        <w:t>;</w:t>
      </w:r>
      <w:r w:rsidRPr="00E47AA9">
        <w:rPr>
          <w:rFonts w:ascii="Times New Roman" w:eastAsia="Times New Roman" w:hAnsi="Times New Roman" w:cs="Times New Roman"/>
          <w:sz w:val="28"/>
          <w:szCs w:val="28"/>
          <w:shd w:val="clear" w:color="auto" w:fill="FFFFFF"/>
          <w:lang w:eastAsia="ru-RU"/>
        </w:rPr>
        <w:t xml:space="preserve"> </w:t>
      </w:r>
    </w:p>
    <w:p w14:paraId="5E13FA4B"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shd w:val="clear" w:color="auto" w:fill="FFFFFF"/>
          <w:lang w:eastAsia="ru-RU"/>
        </w:rPr>
        <w:t xml:space="preserve">на </w:t>
      </w:r>
      <w:r w:rsidRPr="00E47AA9">
        <w:rPr>
          <w:rFonts w:ascii="Times New Roman" w:eastAsia="Times New Roman" w:hAnsi="Times New Roman" w:cs="Times New Roman"/>
          <w:sz w:val="28"/>
          <w:szCs w:val="28"/>
          <w:lang w:eastAsia="ru-RU"/>
        </w:rPr>
        <w:t>выплату региональных социальных доплат к пенсии – доля 17,14 % (поступило 3998,32 млн рублей)</w:t>
      </w:r>
      <w:r w:rsidR="00BA1342"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w:t>
      </w:r>
    </w:p>
    <w:p w14:paraId="3F760914" w14:textId="77777777" w:rsidR="00D52EC7" w:rsidRPr="00E47AA9" w:rsidRDefault="00D52EC7" w:rsidP="00D52EC7">
      <w:pPr>
        <w:spacing w:after="0" w:line="240" w:lineRule="auto"/>
        <w:ind w:firstLine="709"/>
        <w:jc w:val="both"/>
        <w:rPr>
          <w:rFonts w:ascii="Times New Roman" w:hAnsi="Times New Roman" w:cs="Times New Roman"/>
        </w:rPr>
      </w:pPr>
      <w:r w:rsidRPr="00E47AA9">
        <w:rPr>
          <w:rFonts w:ascii="Times New Roman" w:eastAsia="Times New Roman" w:hAnsi="Times New Roman" w:cs="Times New Roman"/>
          <w:sz w:val="28"/>
          <w:szCs w:val="28"/>
          <w:lang w:eastAsia="ru-RU"/>
        </w:rPr>
        <w:t>на приведение в нормативное состояние автомобильных дорог и искусственных дорожных сооружений – 8,85 % (2065,23 млн рублей)</w:t>
      </w:r>
      <w:r w:rsidR="00BA1342" w:rsidRPr="00E47AA9">
        <w:rPr>
          <w:rFonts w:ascii="Times New Roman" w:eastAsia="Times New Roman" w:hAnsi="Times New Roman" w:cs="Times New Roman"/>
          <w:sz w:val="28"/>
          <w:szCs w:val="28"/>
          <w:lang w:eastAsia="ru-RU"/>
        </w:rPr>
        <w:t>;</w:t>
      </w:r>
      <w:r w:rsidRPr="00E47AA9">
        <w:rPr>
          <w:rFonts w:ascii="Times New Roman" w:hAnsi="Times New Roman" w:cs="Times New Roman"/>
        </w:rPr>
        <w:t xml:space="preserve"> </w:t>
      </w:r>
    </w:p>
    <w:p w14:paraId="2E472B71" w14:textId="77777777" w:rsidR="00D52EC7" w:rsidRPr="00E47AA9" w:rsidRDefault="00D52EC7" w:rsidP="00D52EC7">
      <w:pPr>
        <w:spacing w:after="0" w:line="240" w:lineRule="auto"/>
        <w:ind w:firstLine="709"/>
        <w:jc w:val="both"/>
        <w:rPr>
          <w:rFonts w:ascii="Times New Roman" w:hAnsi="Times New Roman" w:cs="Times New Roman"/>
        </w:rPr>
      </w:pPr>
      <w:r w:rsidRPr="00E47AA9">
        <w:rPr>
          <w:rFonts w:ascii="Times New Roman" w:eastAsia="Times New Roman" w:hAnsi="Times New Roman" w:cs="Times New Roman"/>
          <w:sz w:val="28"/>
          <w:szCs w:val="28"/>
          <w:lang w:eastAsia="ru-RU"/>
        </w:rPr>
        <w:t>на реализацию региональных проектов модернизации первичного звена здравоохранения – 5,02 % (1170,53 млн рублей);</w:t>
      </w:r>
      <w:r w:rsidRPr="00E47AA9">
        <w:rPr>
          <w:rFonts w:ascii="Times New Roman" w:hAnsi="Times New Roman" w:cs="Times New Roman"/>
        </w:rPr>
        <w:t xml:space="preserve"> </w:t>
      </w:r>
    </w:p>
    <w:p w14:paraId="7B5A6C75"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shd w:val="clear" w:color="auto" w:fill="FFFFFF"/>
          <w:lang w:eastAsia="ru-RU"/>
        </w:rPr>
      </w:pPr>
      <w:r w:rsidRPr="00E47AA9">
        <w:rPr>
          <w:rFonts w:ascii="Times New Roman" w:eastAsia="Times New Roman" w:hAnsi="Times New Roman" w:cs="Times New Roman"/>
          <w:sz w:val="28"/>
          <w:szCs w:val="28"/>
          <w:lang w:eastAsia="ru-RU"/>
        </w:rPr>
        <w:t>на организацию бесплатного горячего питания обучающихся, получающих начальное общее образование в государственных и муниципальных образовательных организациях – 4,68 % (1092,10 млн рублей).</w:t>
      </w:r>
    </w:p>
    <w:p w14:paraId="56FFBF9C" w14:textId="77777777" w:rsidR="00D52EC7" w:rsidRPr="00E47AA9" w:rsidRDefault="00D52EC7" w:rsidP="00D52EC7">
      <w:pPr>
        <w:spacing w:after="0" w:line="240" w:lineRule="auto"/>
        <w:ind w:firstLine="700"/>
        <w:jc w:val="both"/>
        <w:rPr>
          <w:rFonts w:ascii="Times New Roman" w:eastAsia="Calibri" w:hAnsi="Times New Roman" w:cs="Times New Roman"/>
          <w:sz w:val="28"/>
        </w:rPr>
      </w:pPr>
      <w:r w:rsidRPr="00E47AA9">
        <w:rPr>
          <w:rFonts w:ascii="Times New Roman" w:eastAsia="Calibri" w:hAnsi="Times New Roman" w:cs="Times New Roman"/>
          <w:i/>
          <w:iCs/>
          <w:sz w:val="28"/>
        </w:rPr>
        <w:t>Свыше планируемого объема</w:t>
      </w:r>
      <w:r w:rsidRPr="00E47AA9">
        <w:rPr>
          <w:rFonts w:ascii="Times New Roman" w:eastAsia="Calibri" w:hAnsi="Times New Roman" w:cs="Times New Roman"/>
          <w:sz w:val="28"/>
        </w:rPr>
        <w:t xml:space="preserve"> в отчетном году поступили субсидии на: </w:t>
      </w:r>
    </w:p>
    <w:p w14:paraId="2C66AE4C" w14:textId="35EAF5D3" w:rsidR="00D52EC7" w:rsidRPr="00E47AA9" w:rsidRDefault="00D52EC7" w:rsidP="00D52EC7">
      <w:pPr>
        <w:spacing w:after="0" w:line="240" w:lineRule="auto"/>
        <w:ind w:firstLine="700"/>
        <w:jc w:val="both"/>
        <w:rPr>
          <w:rFonts w:ascii="Times New Roman" w:eastAsia="Calibri" w:hAnsi="Times New Roman" w:cs="Times New Roman"/>
          <w:sz w:val="28"/>
        </w:rPr>
      </w:pPr>
      <w:r w:rsidRPr="00E47AA9">
        <w:rPr>
          <w:rFonts w:ascii="Times New Roman" w:eastAsia="Calibri" w:hAnsi="Times New Roman" w:cs="Times New Roman"/>
          <w:sz w:val="28"/>
        </w:rPr>
        <w:t xml:space="preserve">поддержку субъектов Российской Федерации для создания инженерной и транспортной инфраструктуры в целях развития туристских кластеров на 27,87 млн рублей, или в 58,3 раз выше плана (план </w:t>
      </w:r>
      <w:r w:rsidR="00AB3977" w:rsidRPr="00E47AA9">
        <w:rPr>
          <w:rFonts w:ascii="Times New Roman" w:eastAsia="Calibri" w:hAnsi="Times New Roman" w:cs="Times New Roman"/>
          <w:sz w:val="28"/>
        </w:rPr>
        <w:t xml:space="preserve">– </w:t>
      </w:r>
      <w:r w:rsidRPr="00E47AA9">
        <w:rPr>
          <w:rFonts w:ascii="Times New Roman" w:eastAsia="Calibri" w:hAnsi="Times New Roman" w:cs="Times New Roman"/>
          <w:sz w:val="28"/>
        </w:rPr>
        <w:t xml:space="preserve">0,49 млн рублей); </w:t>
      </w:r>
    </w:p>
    <w:p w14:paraId="7A395F4A" w14:textId="47F8C994" w:rsidR="00D52EC7" w:rsidRPr="00E47AA9" w:rsidRDefault="00D52EC7" w:rsidP="00D52EC7">
      <w:pPr>
        <w:spacing w:after="0" w:line="240" w:lineRule="auto"/>
        <w:ind w:firstLine="700"/>
        <w:jc w:val="both"/>
        <w:rPr>
          <w:rFonts w:ascii="Times New Roman" w:eastAsia="Calibri" w:hAnsi="Times New Roman" w:cs="Times New Roman"/>
          <w:sz w:val="28"/>
        </w:rPr>
      </w:pPr>
      <w:r w:rsidRPr="00E47AA9">
        <w:rPr>
          <w:rFonts w:ascii="Times New Roman" w:eastAsia="Calibri" w:hAnsi="Times New Roman" w:cs="Times New Roman"/>
          <w:sz w:val="28"/>
        </w:rPr>
        <w:t xml:space="preserve">прочие субсидии на 295,79 млн рублей, или в </w:t>
      </w:r>
      <w:r w:rsidR="005E4677" w:rsidRPr="00E47AA9">
        <w:rPr>
          <w:rFonts w:ascii="Times New Roman" w:eastAsia="Calibri" w:hAnsi="Times New Roman" w:cs="Times New Roman"/>
          <w:sz w:val="28"/>
        </w:rPr>
        <w:t>1</w:t>
      </w:r>
      <w:r w:rsidRPr="00E47AA9">
        <w:rPr>
          <w:rFonts w:ascii="Times New Roman" w:eastAsia="Calibri" w:hAnsi="Times New Roman" w:cs="Times New Roman"/>
          <w:sz w:val="28"/>
        </w:rPr>
        <w:t>,7 раз выше плана (план</w:t>
      </w:r>
      <w:r w:rsidR="00BA1342" w:rsidRPr="00E47AA9">
        <w:rPr>
          <w:rFonts w:ascii="Times New Roman" w:eastAsia="Calibri" w:hAnsi="Times New Roman" w:cs="Times New Roman"/>
          <w:sz w:val="28"/>
        </w:rPr>
        <w:t> </w:t>
      </w:r>
      <w:r w:rsidR="001D6C53" w:rsidRPr="00E47AA9">
        <w:rPr>
          <w:rFonts w:ascii="Times New Roman" w:eastAsia="Calibri" w:hAnsi="Times New Roman" w:cs="Times New Roman"/>
          <w:sz w:val="28"/>
        </w:rPr>
        <w:t xml:space="preserve">– </w:t>
      </w:r>
      <w:r w:rsidRPr="00E47AA9">
        <w:rPr>
          <w:rFonts w:ascii="Times New Roman" w:eastAsia="Calibri" w:hAnsi="Times New Roman" w:cs="Times New Roman"/>
          <w:sz w:val="28"/>
        </w:rPr>
        <w:t>178,62 млн рублей);</w:t>
      </w:r>
    </w:p>
    <w:p w14:paraId="0609973E" w14:textId="77777777" w:rsidR="00D52EC7" w:rsidRPr="00E47AA9" w:rsidRDefault="00D52EC7" w:rsidP="00D52EC7">
      <w:pPr>
        <w:spacing w:after="0" w:line="240" w:lineRule="auto"/>
        <w:ind w:firstLine="700"/>
        <w:jc w:val="both"/>
        <w:rPr>
          <w:rFonts w:ascii="Times New Roman" w:hAnsi="Times New Roman" w:cs="Times New Roman"/>
        </w:rPr>
      </w:pPr>
      <w:r w:rsidRPr="00E47AA9">
        <w:rPr>
          <w:rFonts w:ascii="Times New Roman" w:eastAsia="Calibri" w:hAnsi="Times New Roman" w:cs="Times New Roman"/>
          <w:sz w:val="28"/>
        </w:rPr>
        <w:t>в целях софинансирования расходных обязательств субъектов Российской Федерации, возникающих при реализации мероприятий по проведению массового обследования новорожденных на врожденные и (или) наследственные заболевания (расширенный неонатальный скрининг) – на 11,06 млн рублей, или на 36,53 % к плану (30,29 млн рублей);</w:t>
      </w:r>
      <w:r w:rsidRPr="00E47AA9">
        <w:rPr>
          <w:rFonts w:ascii="Times New Roman" w:hAnsi="Times New Roman" w:cs="Times New Roman"/>
        </w:rPr>
        <w:t xml:space="preserve"> </w:t>
      </w:r>
    </w:p>
    <w:p w14:paraId="38FBD4A7" w14:textId="504D497C" w:rsidR="00D52EC7" w:rsidRPr="00E47AA9" w:rsidRDefault="00D52EC7" w:rsidP="00D52EC7">
      <w:pPr>
        <w:spacing w:after="0" w:line="240" w:lineRule="auto"/>
        <w:ind w:firstLine="700"/>
        <w:jc w:val="both"/>
        <w:rPr>
          <w:rFonts w:ascii="Times New Roman" w:eastAsia="Calibri" w:hAnsi="Times New Roman" w:cs="Times New Roman"/>
          <w:sz w:val="28"/>
        </w:rPr>
      </w:pPr>
      <w:r w:rsidRPr="00E47AA9">
        <w:rPr>
          <w:rFonts w:ascii="Times New Roman" w:eastAsia="Calibri" w:hAnsi="Times New Roman" w:cs="Times New Roman"/>
          <w:sz w:val="28"/>
        </w:rPr>
        <w:t xml:space="preserve">в целях софинансирования расходных обязательств субъектов Российской Федерации, возникающих при реализации мероприятий по обеспечению детей с сахарным диабетом 1 типа в возрасте от 4 до 17 лет системами непрерывного мониторинга глюкозы – на </w:t>
      </w:r>
      <w:r w:rsidRPr="00E47AA9">
        <w:rPr>
          <w:rFonts w:ascii="Times New Roman" w:eastAsia="Calibri" w:hAnsi="Times New Roman" w:cs="Times New Roman"/>
          <w:sz w:val="28"/>
        </w:rPr>
        <w:br/>
        <w:t>6,68 млн рублей, или на 11,19 %</w:t>
      </w:r>
      <w:r w:rsidR="00BA1342" w:rsidRPr="00E47AA9">
        <w:rPr>
          <w:rFonts w:ascii="Times New Roman" w:eastAsia="Calibri" w:hAnsi="Times New Roman" w:cs="Times New Roman"/>
          <w:sz w:val="28"/>
        </w:rPr>
        <w:t>,</w:t>
      </w:r>
      <w:r w:rsidRPr="00E47AA9">
        <w:rPr>
          <w:rFonts w:ascii="Times New Roman" w:eastAsia="Calibri" w:hAnsi="Times New Roman" w:cs="Times New Roman"/>
          <w:sz w:val="28"/>
        </w:rPr>
        <w:t xml:space="preserve"> к плану (план </w:t>
      </w:r>
      <w:r w:rsidR="00AB3977" w:rsidRPr="00E47AA9">
        <w:rPr>
          <w:rFonts w:ascii="Times New Roman" w:eastAsia="Calibri" w:hAnsi="Times New Roman" w:cs="Times New Roman"/>
          <w:sz w:val="28"/>
        </w:rPr>
        <w:t xml:space="preserve">– </w:t>
      </w:r>
      <w:r w:rsidRPr="00E47AA9">
        <w:rPr>
          <w:rFonts w:ascii="Times New Roman" w:eastAsia="Calibri" w:hAnsi="Times New Roman" w:cs="Times New Roman"/>
          <w:sz w:val="28"/>
        </w:rPr>
        <w:t>59,74 млн рублей);</w:t>
      </w:r>
    </w:p>
    <w:p w14:paraId="3019EE2D" w14:textId="77777777" w:rsidR="00D52EC7" w:rsidRPr="00E47AA9" w:rsidRDefault="00D52EC7" w:rsidP="00D52EC7">
      <w:pPr>
        <w:spacing w:after="0" w:line="240" w:lineRule="auto"/>
        <w:ind w:firstLine="700"/>
        <w:jc w:val="both"/>
        <w:rPr>
          <w:rFonts w:ascii="Times New Roman" w:hAnsi="Times New Roman" w:cs="Times New Roman"/>
        </w:rPr>
      </w:pPr>
      <w:r w:rsidRPr="00E47AA9">
        <w:rPr>
          <w:rFonts w:ascii="Times New Roman" w:eastAsia="Calibri" w:hAnsi="Times New Roman" w:cs="Times New Roman"/>
          <w:sz w:val="28"/>
        </w:rPr>
        <w:t xml:space="preserve">софинансирование расходов, связанных с оказанием государственной социальной помощи на основании социального контракта отдельным </w:t>
      </w:r>
      <w:r w:rsidRPr="00E47AA9">
        <w:rPr>
          <w:rFonts w:ascii="Times New Roman" w:eastAsia="Calibri" w:hAnsi="Times New Roman" w:cs="Times New Roman"/>
          <w:sz w:val="28"/>
        </w:rPr>
        <w:lastRenderedPageBreak/>
        <w:t xml:space="preserve">категориям граждан – на 14,57 млн рублей, или на 8,61 % к плану </w:t>
      </w:r>
      <w:r w:rsidRPr="00E47AA9">
        <w:rPr>
          <w:rFonts w:ascii="Times New Roman" w:eastAsia="Calibri" w:hAnsi="Times New Roman" w:cs="Times New Roman"/>
          <w:sz w:val="28"/>
        </w:rPr>
        <w:br/>
        <w:t>(169,30 млн рублей);</w:t>
      </w:r>
      <w:r w:rsidRPr="00E47AA9">
        <w:rPr>
          <w:rFonts w:ascii="Times New Roman" w:hAnsi="Times New Roman" w:cs="Times New Roman"/>
        </w:rPr>
        <w:t xml:space="preserve"> </w:t>
      </w:r>
    </w:p>
    <w:p w14:paraId="6DD2F037" w14:textId="279B94AD" w:rsidR="00D52EC7" w:rsidRPr="00E47AA9" w:rsidRDefault="00D52EC7" w:rsidP="00D52EC7">
      <w:pPr>
        <w:spacing w:after="0" w:line="240" w:lineRule="auto"/>
        <w:ind w:firstLine="700"/>
        <w:jc w:val="both"/>
        <w:rPr>
          <w:rFonts w:ascii="Times New Roman" w:eastAsia="Calibri" w:hAnsi="Times New Roman" w:cs="Times New Roman"/>
          <w:sz w:val="28"/>
        </w:rPr>
      </w:pPr>
      <w:r w:rsidRPr="00E47AA9">
        <w:rPr>
          <w:rFonts w:ascii="Times New Roman" w:eastAsia="Calibri" w:hAnsi="Times New Roman" w:cs="Times New Roman"/>
          <w:sz w:val="28"/>
        </w:rPr>
        <w:t xml:space="preserve">осуществление единовременной выплаты при рождении первого ребенка, а также предоставление регионального материнского (семейного) капитала при рождении второго ребенка в субъектах Российской Федерации, входящих в состав Дальневосточного федерального округа </w:t>
      </w:r>
      <w:r w:rsidR="00A94C5F" w:rsidRPr="00E47AA9">
        <w:rPr>
          <w:rFonts w:ascii="Times New Roman" w:eastAsia="Calibri" w:hAnsi="Times New Roman" w:cs="Times New Roman"/>
          <w:sz w:val="28"/>
        </w:rPr>
        <w:t>–</w:t>
      </w:r>
      <w:r w:rsidRPr="00E47AA9">
        <w:rPr>
          <w:rFonts w:ascii="Times New Roman" w:eastAsia="Calibri" w:hAnsi="Times New Roman" w:cs="Times New Roman"/>
          <w:sz w:val="28"/>
        </w:rPr>
        <w:t xml:space="preserve"> на 23,23 млн рублей, или на 3,88 % к плану (план </w:t>
      </w:r>
      <w:r w:rsidR="00AB3977" w:rsidRPr="00E47AA9">
        <w:rPr>
          <w:rFonts w:ascii="Times New Roman" w:eastAsia="Calibri" w:hAnsi="Times New Roman" w:cs="Times New Roman"/>
          <w:sz w:val="28"/>
        </w:rPr>
        <w:t xml:space="preserve">– </w:t>
      </w:r>
      <w:r w:rsidRPr="00E47AA9">
        <w:rPr>
          <w:rFonts w:ascii="Times New Roman" w:eastAsia="Calibri" w:hAnsi="Times New Roman" w:cs="Times New Roman"/>
          <w:sz w:val="28"/>
        </w:rPr>
        <w:t>598,73 млн рублей);</w:t>
      </w:r>
    </w:p>
    <w:p w14:paraId="50564CD7" w14:textId="77777777" w:rsidR="00D52EC7" w:rsidRPr="00E47AA9" w:rsidRDefault="00D52EC7" w:rsidP="00D52EC7">
      <w:pPr>
        <w:spacing w:after="0" w:line="240" w:lineRule="auto"/>
        <w:ind w:firstLine="700"/>
        <w:jc w:val="both"/>
        <w:rPr>
          <w:rFonts w:ascii="Times New Roman" w:eastAsia="Calibri" w:hAnsi="Times New Roman" w:cs="Times New Roman"/>
          <w:sz w:val="28"/>
        </w:rPr>
      </w:pPr>
      <w:r w:rsidRPr="00E47AA9">
        <w:rPr>
          <w:rFonts w:ascii="Times New Roman" w:eastAsia="Calibri" w:hAnsi="Times New Roman" w:cs="Times New Roman"/>
          <w:sz w:val="28"/>
        </w:rPr>
        <w:t>поддержку приоритетных направлений агропромышленного комплекса и развитие малых форм хозяйствования – на 11,75 млн рублей, или на 3,34 % выше плана (351,67 млн рублей).</w:t>
      </w:r>
    </w:p>
    <w:p w14:paraId="19CEAC73" w14:textId="77777777" w:rsidR="00D52EC7" w:rsidRPr="00E47AA9" w:rsidRDefault="00D52EC7" w:rsidP="00D52EC7">
      <w:pPr>
        <w:spacing w:after="0" w:line="240" w:lineRule="auto"/>
        <w:ind w:firstLine="700"/>
        <w:jc w:val="both"/>
        <w:rPr>
          <w:rFonts w:ascii="Times New Roman" w:eastAsia="Calibri" w:hAnsi="Times New Roman" w:cs="Times New Roman"/>
          <w:sz w:val="28"/>
        </w:rPr>
      </w:pPr>
      <w:r w:rsidRPr="00E47AA9">
        <w:rPr>
          <w:rFonts w:ascii="Times New Roman" w:eastAsia="Calibri" w:hAnsi="Times New Roman" w:cs="Times New Roman"/>
          <w:i/>
          <w:sz w:val="28"/>
        </w:rPr>
        <w:t>В 2024 году поступили незапланированные</w:t>
      </w:r>
      <w:r w:rsidRPr="00E47AA9">
        <w:rPr>
          <w:rFonts w:ascii="Times New Roman" w:eastAsia="Calibri" w:hAnsi="Times New Roman" w:cs="Times New Roman"/>
          <w:sz w:val="28"/>
        </w:rPr>
        <w:t xml:space="preserve"> субсидии в общей сумме 191,37 млн рублей </w:t>
      </w:r>
      <w:r w:rsidR="00A94C5F" w:rsidRPr="00E47AA9">
        <w:rPr>
          <w:rFonts w:ascii="Times New Roman" w:eastAsia="Calibri" w:hAnsi="Times New Roman" w:cs="Times New Roman"/>
          <w:sz w:val="28"/>
        </w:rPr>
        <w:t>–</w:t>
      </w:r>
      <w:r w:rsidRPr="00E47AA9">
        <w:rPr>
          <w:rFonts w:ascii="Times New Roman" w:eastAsia="Calibri" w:hAnsi="Times New Roman" w:cs="Times New Roman"/>
          <w:sz w:val="28"/>
        </w:rPr>
        <w:t xml:space="preserve"> софинансирование капитальных вложений в объекты государственной (муниципальной) собственности в рамках обеспечения комплексного развития сельских территорий. </w:t>
      </w:r>
    </w:p>
    <w:p w14:paraId="28BA712D" w14:textId="77777777" w:rsidR="00D52EC7" w:rsidRPr="00E47AA9" w:rsidRDefault="00D52EC7" w:rsidP="00D52EC7">
      <w:pPr>
        <w:spacing w:after="0" w:line="240" w:lineRule="auto"/>
        <w:ind w:firstLine="700"/>
        <w:jc w:val="both"/>
        <w:rPr>
          <w:rFonts w:ascii="Times New Roman" w:eastAsia="Calibri" w:hAnsi="Times New Roman" w:cs="Times New Roman"/>
          <w:sz w:val="28"/>
        </w:rPr>
      </w:pPr>
      <w:r w:rsidRPr="00E47AA9">
        <w:rPr>
          <w:rFonts w:ascii="Times New Roman" w:eastAsia="Calibri" w:hAnsi="Times New Roman" w:cs="Times New Roman"/>
          <w:i/>
          <w:iCs/>
          <w:sz w:val="28"/>
        </w:rPr>
        <w:t>Не поступили</w:t>
      </w:r>
      <w:r w:rsidRPr="00E47AA9">
        <w:rPr>
          <w:rFonts w:ascii="Times New Roman" w:eastAsia="Calibri" w:hAnsi="Times New Roman" w:cs="Times New Roman"/>
          <w:sz w:val="28"/>
        </w:rPr>
        <w:t xml:space="preserve"> планируемые субсидии в целях софинансирования расходных обязательств субъектов Российской Федерации, входящих в состав Дальневосточного федерального округа, по удалению имущества, затонувшего во внутренних морских водах, в территориальном море и исключительной экономической зоне Российской Федерации – </w:t>
      </w:r>
      <w:r w:rsidRPr="00E47AA9">
        <w:rPr>
          <w:rFonts w:ascii="Times New Roman" w:eastAsia="Calibri" w:hAnsi="Times New Roman" w:cs="Times New Roman"/>
          <w:sz w:val="28"/>
        </w:rPr>
        <w:br/>
        <w:t>в объеме 74,07 млн рублей.</w:t>
      </w:r>
    </w:p>
    <w:p w14:paraId="13948412"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u w:val="single"/>
          <w:lang w:eastAsia="ru-RU"/>
        </w:rPr>
        <w:t>Субвенции,</w:t>
      </w:r>
      <w:r w:rsidRPr="00E47AA9">
        <w:rPr>
          <w:rFonts w:ascii="Times New Roman" w:eastAsia="Times New Roman" w:hAnsi="Times New Roman" w:cs="Times New Roman"/>
          <w:sz w:val="28"/>
          <w:szCs w:val="28"/>
          <w:lang w:eastAsia="ru-RU"/>
        </w:rPr>
        <w:t xml:space="preserve"> п</w:t>
      </w:r>
      <w:r w:rsidRPr="00E47AA9">
        <w:rPr>
          <w:rFonts w:ascii="Times New Roman" w:eastAsia="Times New Roman" w:hAnsi="Times New Roman" w:cs="Times New Roman"/>
          <w:iCs/>
          <w:sz w:val="28"/>
          <w:szCs w:val="28"/>
          <w:lang w:eastAsia="ru-RU"/>
        </w:rPr>
        <w:t>еречисленные в краевой бюджет, с</w:t>
      </w:r>
      <w:r w:rsidRPr="00E47AA9">
        <w:rPr>
          <w:rFonts w:ascii="Times New Roman" w:eastAsia="Times New Roman" w:hAnsi="Times New Roman" w:cs="Times New Roman"/>
          <w:sz w:val="28"/>
          <w:szCs w:val="28"/>
          <w:lang w:eastAsia="ru-RU"/>
        </w:rPr>
        <w:t xml:space="preserve">оставили </w:t>
      </w:r>
      <w:r w:rsidRPr="00E47AA9">
        <w:rPr>
          <w:rFonts w:ascii="Times New Roman" w:eastAsia="Times New Roman" w:hAnsi="Times New Roman" w:cs="Times New Roman"/>
          <w:sz w:val="28"/>
          <w:szCs w:val="28"/>
          <w:lang w:eastAsia="ru-RU"/>
        </w:rPr>
        <w:br/>
        <w:t>3324,68 млн рублей, или 101,77 % от плана (3266,77 млн рублей). Сверх плана поступило 57,91 млн рублей.</w:t>
      </w:r>
    </w:p>
    <w:p w14:paraId="439B6D45"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Свыше плановых назначений</w:t>
      </w:r>
      <w:r w:rsidRPr="00E47AA9">
        <w:rPr>
          <w:rFonts w:ascii="Times New Roman" w:eastAsia="Times New Roman" w:hAnsi="Times New Roman" w:cs="Times New Roman"/>
          <w:sz w:val="28"/>
          <w:szCs w:val="28"/>
          <w:lang w:eastAsia="ru-RU"/>
        </w:rPr>
        <w:t xml:space="preserve"> поступили субвенции на общую сумму 312,10 млн рублей, в том числе:</w:t>
      </w:r>
    </w:p>
    <w:p w14:paraId="3CBBDBE4" w14:textId="4F0CEEB4"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1,92 млн рублей, или на 2,08 % выше плана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92,14 млн рублей, поступило – 94,06 млн рублей) на</w:t>
      </w:r>
      <w:r w:rsidRPr="00E47AA9">
        <w:rPr>
          <w:rFonts w:ascii="Times New Roman" w:hAnsi="Times New Roman" w:cs="Times New Roman"/>
        </w:rPr>
        <w:t xml:space="preserve"> </w:t>
      </w:r>
      <w:r w:rsidRPr="00E47AA9">
        <w:rPr>
          <w:rFonts w:ascii="Times New Roman" w:eastAsia="Times New Roman" w:hAnsi="Times New Roman" w:cs="Times New Roman"/>
          <w:sz w:val="28"/>
          <w:szCs w:val="28"/>
          <w:lang w:eastAsia="ru-RU"/>
        </w:rPr>
        <w:t>осуществление переданного полномочия Российской Федерации по осуществлению ежегодной денежной выплаты лицам, награжденным нагрудным знаком "Почетный донор России";</w:t>
      </w:r>
    </w:p>
    <w:p w14:paraId="0DEF7BEB" w14:textId="14094816"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0,25 тыс. рублей, или на 0,42 % выше плана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59,00 тыс. рублей, поступило – 59,25 тыс. рублей) на выплату государственного единовременного пособия и ежемесячной денежной компенсации гражданам при возникновении поствакцинальных осложнений в соответствии с Федеральным законом от 17.09.1998 № 157-ФЗ "Об иммунопрофилактике инфекционных болезней";</w:t>
      </w:r>
    </w:p>
    <w:p w14:paraId="3771A1CA"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290,00 млн рублей, или на 48,96 % выше плана (план – 592,29 млн рублей, поступило - 882,29 млн рублей) на оплату жилищно-коммунальных услуг отдельным категориям граждан;</w:t>
      </w:r>
    </w:p>
    <w:p w14:paraId="1D589DCC"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20,18 млн рублей, или на 3,41 % выше плана (план – 592,73 млн рублей, поступило – 612,91 млн рублей) на 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p w14:paraId="6BAA65A9"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lastRenderedPageBreak/>
        <w:t>На уровне плановых назначений</w:t>
      </w:r>
      <w:r w:rsidRPr="00E47AA9">
        <w:rPr>
          <w:rFonts w:ascii="Times New Roman" w:eastAsia="Times New Roman" w:hAnsi="Times New Roman" w:cs="Times New Roman"/>
          <w:sz w:val="28"/>
          <w:szCs w:val="28"/>
          <w:lang w:eastAsia="ru-RU"/>
        </w:rPr>
        <w:t xml:space="preserve"> исполнены субвенции, предусмотренные на:</w:t>
      </w:r>
    </w:p>
    <w:p w14:paraId="030AFA56"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осуществление переданных полномочий Российской Федерации по федеральному государственному контролю за соблюдением правил технической эксплуатации внеуличного транспорта и правил пользования внеуличным транспортом (1,66 млн рублей);</w:t>
      </w:r>
    </w:p>
    <w:p w14:paraId="5732651F"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осуществление первичного воинского учета органами местного самоуправления поселений, муниципальных и городских округов </w:t>
      </w:r>
      <w:r w:rsidRPr="00E47AA9">
        <w:rPr>
          <w:rFonts w:ascii="Times New Roman" w:eastAsia="Times New Roman" w:hAnsi="Times New Roman" w:cs="Times New Roman"/>
          <w:sz w:val="28"/>
          <w:szCs w:val="28"/>
          <w:lang w:eastAsia="ru-RU"/>
        </w:rPr>
        <w:br/>
        <w:t>(42,87 млн рублей);</w:t>
      </w:r>
    </w:p>
    <w:p w14:paraId="435E32BA"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осуществление мер пожарной безопасности и тушение лесных пожаров (287,06 млн рублей);</w:t>
      </w:r>
    </w:p>
    <w:p w14:paraId="0FCCD999"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увеличение площади </w:t>
      </w:r>
      <w:proofErr w:type="spellStart"/>
      <w:r w:rsidRPr="00E47AA9">
        <w:rPr>
          <w:rFonts w:ascii="Times New Roman" w:eastAsia="Times New Roman" w:hAnsi="Times New Roman" w:cs="Times New Roman"/>
          <w:sz w:val="28"/>
          <w:szCs w:val="28"/>
          <w:lang w:eastAsia="ru-RU"/>
        </w:rPr>
        <w:t>лесовосстановления</w:t>
      </w:r>
      <w:proofErr w:type="spellEnd"/>
      <w:r w:rsidRPr="00E47AA9">
        <w:rPr>
          <w:rFonts w:ascii="Times New Roman" w:eastAsia="Times New Roman" w:hAnsi="Times New Roman" w:cs="Times New Roman"/>
          <w:sz w:val="28"/>
          <w:szCs w:val="28"/>
          <w:lang w:eastAsia="ru-RU"/>
        </w:rPr>
        <w:t xml:space="preserve"> (12,07 млн рублей);</w:t>
      </w:r>
    </w:p>
    <w:p w14:paraId="40C475C2"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формирование запаса лесных семян для </w:t>
      </w:r>
      <w:proofErr w:type="spellStart"/>
      <w:r w:rsidRPr="00E47AA9">
        <w:rPr>
          <w:rFonts w:ascii="Times New Roman" w:eastAsia="Times New Roman" w:hAnsi="Times New Roman" w:cs="Times New Roman"/>
          <w:sz w:val="28"/>
          <w:szCs w:val="28"/>
          <w:lang w:eastAsia="ru-RU"/>
        </w:rPr>
        <w:t>лесовосстановления</w:t>
      </w:r>
      <w:proofErr w:type="spellEnd"/>
      <w:r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br/>
        <w:t>(0,28 млн рублей);</w:t>
      </w:r>
    </w:p>
    <w:p w14:paraId="4BE66FA3"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оснащение специализированных учреждений органов государственной власти субъектов Российской Федерации </w:t>
      </w:r>
      <w:proofErr w:type="spellStart"/>
      <w:r w:rsidRPr="00E47AA9">
        <w:rPr>
          <w:rFonts w:ascii="Times New Roman" w:eastAsia="Times New Roman" w:hAnsi="Times New Roman" w:cs="Times New Roman"/>
          <w:sz w:val="28"/>
          <w:szCs w:val="28"/>
          <w:lang w:eastAsia="ru-RU"/>
        </w:rPr>
        <w:t>лесопожарной</w:t>
      </w:r>
      <w:proofErr w:type="spellEnd"/>
      <w:r w:rsidRPr="00E47AA9">
        <w:rPr>
          <w:rFonts w:ascii="Times New Roman" w:eastAsia="Times New Roman" w:hAnsi="Times New Roman" w:cs="Times New Roman"/>
          <w:sz w:val="28"/>
          <w:szCs w:val="28"/>
          <w:lang w:eastAsia="ru-RU"/>
        </w:rPr>
        <w:t xml:space="preserve"> техникой и оборудованием для проведения комплекса мероприятий по охране лесов от пожаров (69,77 млн рублей);</w:t>
      </w:r>
    </w:p>
    <w:p w14:paraId="6255AA16"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единая субвенция (186,90 млн рублей).</w:t>
      </w:r>
    </w:p>
    <w:p w14:paraId="0B6B0116"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proofErr w:type="spellStart"/>
      <w:r w:rsidRPr="00E47AA9">
        <w:rPr>
          <w:rFonts w:ascii="Times New Roman" w:eastAsia="Times New Roman" w:hAnsi="Times New Roman" w:cs="Times New Roman"/>
          <w:i/>
          <w:sz w:val="28"/>
          <w:szCs w:val="28"/>
          <w:lang w:eastAsia="ru-RU"/>
        </w:rPr>
        <w:t>Недопоступили</w:t>
      </w:r>
      <w:proofErr w:type="spellEnd"/>
      <w:r w:rsidRPr="00E47AA9">
        <w:rPr>
          <w:rFonts w:ascii="Times New Roman" w:eastAsia="Times New Roman" w:hAnsi="Times New Roman" w:cs="Times New Roman"/>
          <w:i/>
          <w:sz w:val="28"/>
          <w:szCs w:val="28"/>
          <w:lang w:eastAsia="ru-RU"/>
        </w:rPr>
        <w:t xml:space="preserve"> </w:t>
      </w:r>
      <w:r w:rsidRPr="00E47AA9">
        <w:rPr>
          <w:rFonts w:ascii="Times New Roman" w:eastAsia="Times New Roman" w:hAnsi="Times New Roman" w:cs="Times New Roman"/>
          <w:sz w:val="28"/>
          <w:szCs w:val="28"/>
          <w:lang w:eastAsia="ru-RU"/>
        </w:rPr>
        <w:t>субвенции на общую сумму 254,19 млн рублей, из них:</w:t>
      </w:r>
    </w:p>
    <w:p w14:paraId="23155C78"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141,83 млн рублей – на социальные выплаты безработным гражданам и иным категориям граждан в соответствии с законодательством о занятости населения (план – 716,70 млн рублей, поступило – 574,86 млн рублей);</w:t>
      </w:r>
    </w:p>
    <w:p w14:paraId="05893945"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45,64 млн рублей – на осуществление полномочий по обеспечению жильем отдельных категорий граждан, установленных Федеральным законом от 24.11.1995 № 181-ФЗ "О социальной защите инвалидов в Российской Федерации" (план – 71,53 млн рублей, поступило – 25,89 млн рублей);</w:t>
      </w:r>
    </w:p>
    <w:p w14:paraId="7C66BF17"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44,53 млн рублей – на осуществление отдельных полномочий в области водных отношений (план – 82,59 млн рублей, поступило – 38,06 млн рублей);</w:t>
      </w:r>
    </w:p>
    <w:p w14:paraId="0CBDC9F3"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15,75 млн рублей – на приобретение беспилотных авиационных систем органами исполнительной власти субъектов Российской Федерации в области лесных отношений (план – 31,50 млн рублей, поступило – 15,75 млн рублей);</w:t>
      </w:r>
    </w:p>
    <w:p w14:paraId="67F914AA"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5,69 млн рублей – на осуществление полномочий по обеспечению жильем отдельных категорий граждан, установленных Федеральным законом от 12.01.1995 № 5-ФЗ "О ветеранах" (план – 17,20 млн рублей, поступило – 11,51 млн рублей).</w:t>
      </w:r>
    </w:p>
    <w:p w14:paraId="599AB019"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Указанные субвенции поступили в краевой бюджет согласно заявкам по фактической потребности заявителей, а также по фактическому объему выполненных работ на основании актов о выполнении работ.</w:t>
      </w:r>
    </w:p>
    <w:p w14:paraId="1E628FF7"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u w:val="single"/>
          <w:lang w:eastAsia="ru-RU"/>
        </w:rPr>
        <w:t>Иные межбюджетные трансферты</w:t>
      </w:r>
      <w:r w:rsidRPr="00E47AA9">
        <w:rPr>
          <w:rFonts w:ascii="Times New Roman" w:eastAsia="Times New Roman" w:hAnsi="Times New Roman" w:cs="Times New Roman"/>
          <w:sz w:val="28"/>
          <w:szCs w:val="28"/>
          <w:lang w:eastAsia="ru-RU"/>
        </w:rPr>
        <w:t xml:space="preserve"> составили 3456,16 млн рублей, или 122,50 % (план –</w:t>
      </w:r>
      <w:r w:rsidRPr="00E47AA9">
        <w:rPr>
          <w:rFonts w:ascii="Times New Roman" w:eastAsia="Calibri" w:hAnsi="Times New Roman" w:cs="Times New Roman"/>
        </w:rPr>
        <w:t xml:space="preserve"> </w:t>
      </w:r>
      <w:r w:rsidRPr="00E47AA9">
        <w:rPr>
          <w:rFonts w:ascii="Times New Roman" w:eastAsia="Times New Roman" w:hAnsi="Times New Roman" w:cs="Times New Roman"/>
          <w:sz w:val="28"/>
          <w:szCs w:val="28"/>
          <w:lang w:eastAsia="ru-RU"/>
        </w:rPr>
        <w:t xml:space="preserve">2821,32 млн рублей). Перевыполнение плановых назначений – 634,84 млн рублей. </w:t>
      </w:r>
    </w:p>
    <w:p w14:paraId="4639CB40"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Основную долю (89,33 %) в общем объеме поступивших иных межбюджетных трансфертов составили межбюджетные трансферты, передаваемые бюджетам:</w:t>
      </w:r>
    </w:p>
    <w:p w14:paraId="32372BE5"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ежемесячное денежное вознаграждение за классное руководство педагогическим работникам государственных и муниципальных образовательных организаций, реализующих образовательные программы начального общего образования, образовательные программы основного общего образования, образовательные программы среднего общего образования (доля 46,55 % в общем объеме поступивших иных межбюджетных трансфертов) – 1608,72 млн рублей;</w:t>
      </w:r>
    </w:p>
    <w:p w14:paraId="099BBB46"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реализацию мероприятий по восстановлению автомобильных дорог регионального или межмуниципального и местного значения при ликвидации последствий чрезвычайных ситуаций (доля 23,99 %) – 829,20 млн рублей;</w:t>
      </w:r>
    </w:p>
    <w:p w14:paraId="366C200E"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за счет средств резервного фонда Правительства Российской Федерации (доля 18,79 %) – 649,42 млн рублей. </w:t>
      </w:r>
    </w:p>
    <w:p w14:paraId="6D1698B1"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Свыше плановых назначений</w:t>
      </w:r>
      <w:r w:rsidRPr="00E47AA9">
        <w:rPr>
          <w:rFonts w:ascii="Times New Roman" w:eastAsia="Times New Roman" w:hAnsi="Times New Roman" w:cs="Times New Roman"/>
          <w:iCs/>
          <w:sz w:val="28"/>
          <w:szCs w:val="28"/>
          <w:lang w:eastAsia="ru-RU"/>
        </w:rPr>
        <w:t xml:space="preserve"> </w:t>
      </w:r>
      <w:r w:rsidRPr="00E47AA9">
        <w:rPr>
          <w:rFonts w:ascii="Times New Roman" w:eastAsia="Times New Roman" w:hAnsi="Times New Roman" w:cs="Times New Roman"/>
          <w:sz w:val="28"/>
          <w:szCs w:val="28"/>
          <w:lang w:eastAsia="ru-RU"/>
        </w:rPr>
        <w:t>поступили иные межбюджетные трансферты на общую сумму 7,60 млн рублей, из них на:</w:t>
      </w:r>
    </w:p>
    <w:p w14:paraId="16ECB5D0"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обеспечение деятельности депутатов Государственной Думы и их помощников в избирательных округах – на 2,91 млн рублей, или на 13,09 % выше (план – 22,24 млн рублей);</w:t>
      </w:r>
    </w:p>
    <w:p w14:paraId="1207BB9D"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обеспечение деятельности сенаторов Российской Федерации и их помощников в субъектах Российской Федерации – на 4,69 млн рублей, или на 54,44 % выше плана (8,61 млн рублей).</w:t>
      </w:r>
    </w:p>
    <w:p w14:paraId="4DB541B6" w14:textId="77777777" w:rsidR="00D52EC7" w:rsidRPr="00E47AA9" w:rsidRDefault="00D52EC7" w:rsidP="00D52EC7">
      <w:pPr>
        <w:spacing w:after="0" w:line="240" w:lineRule="auto"/>
        <w:ind w:firstLine="700"/>
        <w:jc w:val="both"/>
        <w:rPr>
          <w:rFonts w:ascii="Times New Roman" w:eastAsia="Calibri" w:hAnsi="Times New Roman" w:cs="Times New Roman"/>
          <w:sz w:val="28"/>
        </w:rPr>
      </w:pPr>
      <w:r w:rsidRPr="00E47AA9">
        <w:rPr>
          <w:rFonts w:ascii="Times New Roman" w:eastAsia="Calibri" w:hAnsi="Times New Roman" w:cs="Times New Roman"/>
          <w:i/>
          <w:sz w:val="28"/>
        </w:rPr>
        <w:t>Поступили незапланированные</w:t>
      </w:r>
      <w:r w:rsidRPr="00E47AA9">
        <w:rPr>
          <w:rFonts w:ascii="Times New Roman" w:eastAsia="Calibri" w:hAnsi="Times New Roman" w:cs="Times New Roman"/>
          <w:sz w:val="28"/>
        </w:rPr>
        <w:t xml:space="preserve"> иные межбюджетные трансферты в общей сумме 652,30 млн рублей, в том числе:</w:t>
      </w:r>
    </w:p>
    <w:p w14:paraId="3DA6CE7D" w14:textId="77777777" w:rsidR="00D52EC7" w:rsidRPr="00E47AA9" w:rsidRDefault="00D52EC7" w:rsidP="00D52EC7">
      <w:pPr>
        <w:spacing w:after="0" w:line="240" w:lineRule="auto"/>
        <w:ind w:firstLine="700"/>
        <w:jc w:val="both"/>
        <w:rPr>
          <w:rFonts w:ascii="Times New Roman" w:eastAsia="Calibri" w:hAnsi="Times New Roman" w:cs="Times New Roman"/>
          <w:sz w:val="28"/>
        </w:rPr>
      </w:pPr>
      <w:r w:rsidRPr="00E47AA9">
        <w:rPr>
          <w:rFonts w:ascii="Times New Roman" w:eastAsia="Calibri" w:hAnsi="Times New Roman" w:cs="Times New Roman"/>
          <w:sz w:val="28"/>
        </w:rPr>
        <w:t xml:space="preserve">на реализацию организационных мероприятий, связанных с обеспечением лиц лекарственными препаратами, предназначенными для лечения больных гемофилией, </w:t>
      </w:r>
      <w:proofErr w:type="spellStart"/>
      <w:r w:rsidRPr="00E47AA9">
        <w:rPr>
          <w:rFonts w:ascii="Times New Roman" w:eastAsia="Calibri" w:hAnsi="Times New Roman" w:cs="Times New Roman"/>
          <w:sz w:val="28"/>
        </w:rPr>
        <w:t>муковисцидозом</w:t>
      </w:r>
      <w:proofErr w:type="spellEnd"/>
      <w:r w:rsidRPr="00E47AA9">
        <w:rPr>
          <w:rFonts w:ascii="Times New Roman" w:eastAsia="Calibri" w:hAnsi="Times New Roman" w:cs="Times New Roman"/>
          <w:sz w:val="28"/>
        </w:rPr>
        <w:t xml:space="preserve">, гипофизарным нанизмом, болезнью Гоше, злокачественными новообразованиями лимфоидной, кроветворной и родственных им тканей, рассеянным склерозом, </w:t>
      </w:r>
      <w:proofErr w:type="spellStart"/>
      <w:r w:rsidRPr="00E47AA9">
        <w:rPr>
          <w:rFonts w:ascii="Times New Roman" w:eastAsia="Calibri" w:hAnsi="Times New Roman" w:cs="Times New Roman"/>
          <w:sz w:val="28"/>
        </w:rPr>
        <w:t>гемолитико</w:t>
      </w:r>
      <w:proofErr w:type="spellEnd"/>
      <w:r w:rsidRPr="00E47AA9">
        <w:rPr>
          <w:rFonts w:ascii="Times New Roman" w:eastAsia="Calibri" w:hAnsi="Times New Roman" w:cs="Times New Roman"/>
          <w:sz w:val="28"/>
        </w:rPr>
        <w:t xml:space="preserve">-уремическим синдромом, юношеским артритом с системным началом, </w:t>
      </w:r>
      <w:proofErr w:type="spellStart"/>
      <w:r w:rsidRPr="00E47AA9">
        <w:rPr>
          <w:rFonts w:ascii="Times New Roman" w:eastAsia="Calibri" w:hAnsi="Times New Roman" w:cs="Times New Roman"/>
          <w:sz w:val="28"/>
        </w:rPr>
        <w:t>мукополисахаридозом</w:t>
      </w:r>
      <w:proofErr w:type="spellEnd"/>
      <w:r w:rsidRPr="00E47AA9">
        <w:rPr>
          <w:rFonts w:ascii="Times New Roman" w:eastAsia="Calibri" w:hAnsi="Times New Roman" w:cs="Times New Roman"/>
          <w:sz w:val="28"/>
        </w:rPr>
        <w:t xml:space="preserve"> I, II и VI типов, </w:t>
      </w:r>
      <w:proofErr w:type="spellStart"/>
      <w:r w:rsidRPr="00E47AA9">
        <w:rPr>
          <w:rFonts w:ascii="Times New Roman" w:eastAsia="Calibri" w:hAnsi="Times New Roman" w:cs="Times New Roman"/>
          <w:sz w:val="28"/>
        </w:rPr>
        <w:t>апластической</w:t>
      </w:r>
      <w:proofErr w:type="spellEnd"/>
      <w:r w:rsidRPr="00E47AA9">
        <w:rPr>
          <w:rFonts w:ascii="Times New Roman" w:eastAsia="Calibri" w:hAnsi="Times New Roman" w:cs="Times New Roman"/>
          <w:sz w:val="28"/>
        </w:rPr>
        <w:t xml:space="preserve"> анемией неуточненной, наследственным дефицитом факторов II (фибриногена), VII (лабильного), </w:t>
      </w:r>
      <w:r w:rsidRPr="00E47AA9">
        <w:rPr>
          <w:rFonts w:ascii="Times New Roman" w:eastAsia="Calibri" w:hAnsi="Times New Roman" w:cs="Times New Roman"/>
          <w:sz w:val="28"/>
        </w:rPr>
        <w:br/>
        <w:t>X (Стюарта-</w:t>
      </w:r>
      <w:proofErr w:type="spellStart"/>
      <w:r w:rsidRPr="00E47AA9">
        <w:rPr>
          <w:rFonts w:ascii="Times New Roman" w:eastAsia="Calibri" w:hAnsi="Times New Roman" w:cs="Times New Roman"/>
          <w:sz w:val="28"/>
        </w:rPr>
        <w:t>Прауэра</w:t>
      </w:r>
      <w:proofErr w:type="spellEnd"/>
      <w:r w:rsidRPr="00E47AA9">
        <w:rPr>
          <w:rFonts w:ascii="Times New Roman" w:eastAsia="Calibri" w:hAnsi="Times New Roman" w:cs="Times New Roman"/>
          <w:sz w:val="28"/>
        </w:rPr>
        <w:t xml:space="preserve">), а также после трансплантации органов и (или) тканей – 2,88 млн рублей; </w:t>
      </w:r>
    </w:p>
    <w:p w14:paraId="434C766A" w14:textId="1979E5B8" w:rsidR="00D52EC7" w:rsidRPr="00E47AA9" w:rsidRDefault="00D52EC7" w:rsidP="00D52EC7">
      <w:pPr>
        <w:spacing w:after="0" w:line="240" w:lineRule="auto"/>
        <w:ind w:firstLine="700"/>
        <w:jc w:val="both"/>
        <w:rPr>
          <w:rFonts w:ascii="Times New Roman" w:eastAsia="Calibri" w:hAnsi="Times New Roman" w:cs="Times New Roman"/>
          <w:sz w:val="28"/>
        </w:rPr>
      </w:pPr>
      <w:r w:rsidRPr="00E47AA9">
        <w:rPr>
          <w:rFonts w:ascii="Times New Roman" w:eastAsia="Calibri" w:hAnsi="Times New Roman" w:cs="Times New Roman"/>
          <w:sz w:val="28"/>
        </w:rPr>
        <w:t>за счет средств резервного фонда Правительства Российской Федерации</w:t>
      </w:r>
      <w:r w:rsidR="00AB3977" w:rsidRPr="00E47AA9">
        <w:rPr>
          <w:rFonts w:ascii="Times New Roman" w:eastAsia="Calibri" w:hAnsi="Times New Roman" w:cs="Times New Roman"/>
          <w:sz w:val="28"/>
        </w:rPr>
        <w:t> </w:t>
      </w:r>
      <w:r w:rsidRPr="00E47AA9">
        <w:rPr>
          <w:rFonts w:ascii="Times New Roman" w:eastAsia="Calibri" w:hAnsi="Times New Roman" w:cs="Times New Roman"/>
          <w:sz w:val="28"/>
        </w:rPr>
        <w:t>– 649,42 млн рублей.</w:t>
      </w:r>
    </w:p>
    <w:p w14:paraId="676794A6" w14:textId="77777777" w:rsidR="00D52EC7" w:rsidRPr="00E47AA9" w:rsidRDefault="00D52EC7" w:rsidP="00081AC1">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4.2.2. Безвозмездные поступления от государственных организаций</w:t>
      </w:r>
    </w:p>
    <w:p w14:paraId="0BBEA3D6"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2024 году безвозмездные поступления от государственных организаций составили 218,65 млн рублей, что в 2,6 раза выше плана (84,10 млн рублей), в том числе:</w:t>
      </w:r>
    </w:p>
    <w:p w14:paraId="2BA00210"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255,05 млн рублей - средства получены от публично-правовой компании "Фонд развития территорий" (далее – ППК "Фонд развития территорий") на обеспечение мероприятий по модернизации систем коммунальной </w:t>
      </w:r>
      <w:r w:rsidRPr="00E47AA9">
        <w:rPr>
          <w:rFonts w:ascii="Times New Roman" w:eastAsia="Times New Roman" w:hAnsi="Times New Roman" w:cs="Times New Roman"/>
          <w:sz w:val="28"/>
          <w:szCs w:val="28"/>
          <w:lang w:eastAsia="ru-RU"/>
        </w:rPr>
        <w:lastRenderedPageBreak/>
        <w:t xml:space="preserve">инфраструктуры, что выше плана на 170,65 млн рублей, или в 3,0 раза </w:t>
      </w:r>
      <w:r w:rsidRPr="00E47AA9">
        <w:rPr>
          <w:rFonts w:ascii="Times New Roman" w:eastAsia="Times New Roman" w:hAnsi="Times New Roman" w:cs="Times New Roman"/>
          <w:sz w:val="28"/>
          <w:szCs w:val="28"/>
          <w:lang w:eastAsia="ru-RU"/>
        </w:rPr>
        <w:br/>
        <w:t>(план 84,40 млн рублей).</w:t>
      </w:r>
      <w:r w:rsidRPr="00E47AA9">
        <w:rPr>
          <w:rFonts w:ascii="Times New Roman" w:hAnsi="Times New Roman" w:cs="Times New Roman"/>
        </w:rPr>
        <w:t xml:space="preserve"> </w:t>
      </w:r>
      <w:r w:rsidRPr="00E47AA9">
        <w:rPr>
          <w:rFonts w:ascii="Times New Roman" w:eastAsia="Times New Roman" w:hAnsi="Times New Roman" w:cs="Times New Roman"/>
          <w:sz w:val="28"/>
          <w:szCs w:val="28"/>
          <w:lang w:eastAsia="ru-RU"/>
        </w:rPr>
        <w:t>Согласно информации, министерства жилищно-коммунального хозяйства Приморского края поступление по фактической потребности на основании заявки, представленной Приморским краем;</w:t>
      </w:r>
    </w:p>
    <w:p w14:paraId="347BF7EE" w14:textId="4C59C52C"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(минус) 5,59 млн рублей - возврат в ППК "Фонд развития территорий"</w:t>
      </w:r>
      <w:r w:rsidRPr="00E47AA9">
        <w:rPr>
          <w:rFonts w:ascii="Times New Roman" w:hAnsi="Times New Roman" w:cs="Times New Roman"/>
        </w:rPr>
        <w:t xml:space="preserve"> </w:t>
      </w:r>
      <w:r w:rsidRPr="00E47AA9">
        <w:rPr>
          <w:rFonts w:ascii="Times New Roman" w:eastAsia="Times New Roman" w:hAnsi="Times New Roman" w:cs="Times New Roman"/>
          <w:sz w:val="28"/>
          <w:szCs w:val="28"/>
          <w:lang w:eastAsia="ru-RU"/>
        </w:rPr>
        <w:t>по безвозмездным поступлениям на выполнение мероприятий в рамках реализации специального инфраструктурного проекта (по восстановлению объектов водоснабжения и водоотведения, обеспечивающих жизнедеятельность населения, согласно письм</w:t>
      </w:r>
      <w:r w:rsidR="00A75F22" w:rsidRPr="00E47AA9">
        <w:rPr>
          <w:rFonts w:ascii="Times New Roman" w:eastAsia="Times New Roman" w:hAnsi="Times New Roman" w:cs="Times New Roman"/>
          <w:sz w:val="28"/>
          <w:szCs w:val="28"/>
          <w:lang w:eastAsia="ru-RU"/>
        </w:rPr>
        <w:t>у</w:t>
      </w:r>
      <w:r w:rsidRPr="00E47AA9">
        <w:rPr>
          <w:rFonts w:ascii="Times New Roman" w:eastAsia="Times New Roman" w:hAnsi="Times New Roman" w:cs="Times New Roman"/>
          <w:sz w:val="28"/>
          <w:szCs w:val="28"/>
          <w:lang w:eastAsia="ru-RU"/>
        </w:rPr>
        <w:t xml:space="preserve"> министерства</w:t>
      </w:r>
      <w:r w:rsidRPr="00E47AA9">
        <w:rPr>
          <w:rFonts w:ascii="Times New Roman" w:hAnsi="Times New Roman" w:cs="Times New Roman"/>
        </w:rPr>
        <w:t xml:space="preserve"> </w:t>
      </w:r>
      <w:r w:rsidRPr="00E47AA9">
        <w:rPr>
          <w:rFonts w:ascii="Times New Roman" w:eastAsia="Times New Roman" w:hAnsi="Times New Roman" w:cs="Times New Roman"/>
          <w:sz w:val="28"/>
          <w:szCs w:val="28"/>
          <w:lang w:eastAsia="ru-RU"/>
        </w:rPr>
        <w:t xml:space="preserve">жилищно-коммунального хозяйства Приморского края от 29.01.2024 </w:t>
      </w:r>
      <w:r w:rsidRPr="00E47AA9">
        <w:rPr>
          <w:rFonts w:ascii="Times New Roman" w:eastAsia="Times New Roman" w:hAnsi="Times New Roman" w:cs="Times New Roman"/>
          <w:sz w:val="28"/>
          <w:szCs w:val="28"/>
          <w:lang w:eastAsia="ru-RU"/>
        </w:rPr>
        <w:br/>
        <w:t>№ 19-455/3) (возврат не планировался);</w:t>
      </w:r>
    </w:p>
    <w:p w14:paraId="12E33051"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(минус) 30,81 млн рублей – возврат в ППК "Фонд развития территорий" ранее полученных безвозмездных поступлений на обеспечение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 (не планировался).</w:t>
      </w:r>
    </w:p>
    <w:p w14:paraId="30C15883" w14:textId="77777777" w:rsidR="00D52EC7" w:rsidRPr="00E47AA9" w:rsidRDefault="00D52EC7" w:rsidP="00081AC1">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 xml:space="preserve">4.2.3. Безвозмездные поступления от негосударственных организаций </w:t>
      </w:r>
    </w:p>
    <w:p w14:paraId="046D5F34"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отчетном году поступления от негосударственных организаций на предоставление грантов для получателей средств бюджетов субъектов Российской Федерации составили 43,72 млн рублей (планом не предусмотрено), в том числе: 11,67 млн рублей от Фонда поддержки детей, находящихся в трудной жизненной ситуации</w:t>
      </w:r>
      <w:r w:rsidR="003620C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32,05 млн рублей </w:t>
      </w:r>
      <w:r w:rsidR="003620C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из Фонда-оператора президентских грантов по развитию гражданского общества. </w:t>
      </w:r>
    </w:p>
    <w:p w14:paraId="72E9F78C" w14:textId="77777777" w:rsidR="00D52EC7" w:rsidRPr="00E47AA9" w:rsidRDefault="00D52EC7" w:rsidP="00081AC1">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4.2.4 Прочие безвозмездные поступления</w:t>
      </w:r>
    </w:p>
    <w:p w14:paraId="14CAB5C4"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Прочие безвозмездные поступления в отчетном году составили 166,55 млн рублей, что выше плана на 0,30 млн рублей, или на 0,18 % (план 166,25 млн рублей), в том числе:</w:t>
      </w:r>
    </w:p>
    <w:p w14:paraId="3FABD614"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11,75 млн рублей, в том числе 11,45 млн рублей от ППК "Фонд развития территории" и 0,30 млн рублей от Общероссийского общественно-государственного движения детей и молодежи "Движение первых" для организации-победителя ежегодного конкурса лучших проектов для детей и молодежи;</w:t>
      </w:r>
    </w:p>
    <w:p w14:paraId="3E4087BF"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154,80 млн рублей</w:t>
      </w:r>
      <w:r w:rsidRPr="00E47AA9">
        <w:rPr>
          <w:rFonts w:ascii="Times New Roman" w:hAnsi="Times New Roman" w:cs="Times New Roman"/>
        </w:rPr>
        <w:t xml:space="preserve"> </w:t>
      </w:r>
      <w:r w:rsidRPr="00E47AA9">
        <w:rPr>
          <w:rFonts w:ascii="Times New Roman" w:eastAsia="Times New Roman" w:hAnsi="Times New Roman" w:cs="Times New Roman"/>
          <w:sz w:val="28"/>
          <w:szCs w:val="28"/>
          <w:lang w:eastAsia="ru-RU"/>
        </w:rPr>
        <w:t>в планируемом объеме в соответствии с соглашением о безвозмездных целевых взносах с ПАО "</w:t>
      </w:r>
      <w:proofErr w:type="spellStart"/>
      <w:r w:rsidRPr="00E47AA9">
        <w:rPr>
          <w:rFonts w:ascii="Times New Roman" w:eastAsia="Times New Roman" w:hAnsi="Times New Roman" w:cs="Times New Roman"/>
          <w:sz w:val="28"/>
          <w:szCs w:val="28"/>
          <w:lang w:eastAsia="ru-RU"/>
        </w:rPr>
        <w:t>РусГидро</w:t>
      </w:r>
      <w:proofErr w:type="spellEnd"/>
      <w:r w:rsidRPr="00E47AA9">
        <w:rPr>
          <w:rFonts w:ascii="Times New Roman" w:eastAsia="Times New Roman" w:hAnsi="Times New Roman" w:cs="Times New Roman"/>
          <w:sz w:val="28"/>
          <w:szCs w:val="28"/>
          <w:lang w:eastAsia="ru-RU"/>
        </w:rPr>
        <w:t>" (соглашение от 08.04.2022 № 1010-87-2022).</w:t>
      </w:r>
    </w:p>
    <w:p w14:paraId="4CA472FE" w14:textId="77777777" w:rsidR="00D52EC7" w:rsidRPr="00E47AA9" w:rsidRDefault="00D52EC7" w:rsidP="00081AC1">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4.2.5. Возврат</w:t>
      </w:r>
      <w:r w:rsidRPr="00E47AA9">
        <w:rPr>
          <w:rFonts w:ascii="Times New Roman" w:eastAsia="Times New Roman" w:hAnsi="Times New Roman" w:cs="Times New Roman"/>
          <w:i/>
          <w:sz w:val="28"/>
          <w:szCs w:val="28"/>
          <w:lang w:eastAsia="ru-RU"/>
        </w:rPr>
        <w:t xml:space="preserve"> </w:t>
      </w:r>
      <w:r w:rsidRPr="00E47AA9">
        <w:rPr>
          <w:rFonts w:ascii="Times New Roman" w:eastAsia="Times New Roman" w:hAnsi="Times New Roman" w:cs="Times New Roman"/>
          <w:b/>
          <w:sz w:val="28"/>
          <w:szCs w:val="28"/>
          <w:lang w:eastAsia="ru-RU"/>
        </w:rPr>
        <w:t>остатков субсидий, субвенций и иных межбюджетных трансфертов, имеющих целевое назначение, прошлых лет</w:t>
      </w:r>
    </w:p>
    <w:p w14:paraId="5BDC547C"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доходах краевого бюджета </w:t>
      </w:r>
      <w:r w:rsidRPr="00E47AA9">
        <w:rPr>
          <w:rFonts w:ascii="Times New Roman" w:eastAsia="Times New Roman" w:hAnsi="Times New Roman" w:cs="Times New Roman"/>
          <w:iCs/>
          <w:sz w:val="28"/>
          <w:szCs w:val="28"/>
          <w:lang w:eastAsia="ru-RU"/>
        </w:rPr>
        <w:t>возврат остатков</w:t>
      </w:r>
      <w:r w:rsidRPr="00E47AA9">
        <w:rPr>
          <w:rFonts w:ascii="Times New Roman" w:eastAsia="Times New Roman" w:hAnsi="Times New Roman" w:cs="Times New Roman"/>
          <w:i/>
          <w:sz w:val="28"/>
          <w:szCs w:val="28"/>
          <w:lang w:eastAsia="ru-RU"/>
        </w:rPr>
        <w:t xml:space="preserve"> </w:t>
      </w:r>
      <w:r w:rsidRPr="00E47AA9">
        <w:rPr>
          <w:rFonts w:ascii="Times New Roman" w:eastAsia="Times New Roman" w:hAnsi="Times New Roman" w:cs="Times New Roman"/>
          <w:sz w:val="28"/>
          <w:szCs w:val="28"/>
          <w:lang w:eastAsia="ru-RU"/>
        </w:rPr>
        <w:t>составил 886,13 млн рублей, в том числе из бюджетов муниципальных образований Приморского края – 637,94 млн рублей, от государственных внебюджетных фондов – 18,30 млн рублей, от бюджетных учреждений – 29,53 млн рублей, автономных учреждений –</w:t>
      </w:r>
      <w:r w:rsidRPr="00E47AA9">
        <w:rPr>
          <w:rFonts w:ascii="Times New Roman" w:eastAsia="Calibri" w:hAnsi="Times New Roman" w:cs="Times New Roman"/>
        </w:rPr>
        <w:t xml:space="preserve"> </w:t>
      </w:r>
      <w:r w:rsidRPr="00E47AA9">
        <w:rPr>
          <w:rFonts w:ascii="Times New Roman" w:eastAsia="Times New Roman" w:hAnsi="Times New Roman" w:cs="Times New Roman"/>
          <w:sz w:val="28"/>
          <w:szCs w:val="28"/>
          <w:lang w:eastAsia="ru-RU"/>
        </w:rPr>
        <w:t xml:space="preserve">20,39 млн рублей и иных организаций – 179,97 млн рублей. </w:t>
      </w:r>
    </w:p>
    <w:p w14:paraId="16D3B747" w14:textId="77777777" w:rsidR="002F47F6" w:rsidRPr="00E47AA9" w:rsidRDefault="00D52EC7" w:rsidP="002F47F6">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lastRenderedPageBreak/>
        <w:t xml:space="preserve">4.2.6. Возврат из краевого бюджета остатков субсидий, субвенций и иных межбюджетных трансфертов, имеющих целевое назначение, </w:t>
      </w:r>
    </w:p>
    <w:p w14:paraId="2EA20D90" w14:textId="532AE347" w:rsidR="00D52EC7" w:rsidRPr="00E47AA9" w:rsidRDefault="00D52EC7" w:rsidP="002F47F6">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прошлых лет</w:t>
      </w:r>
    </w:p>
    <w:p w14:paraId="19EF1219"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2024 году возврат из краевого бюджета</w:t>
      </w:r>
      <w:r w:rsidRPr="00E47AA9">
        <w:rPr>
          <w:rFonts w:ascii="Times New Roman" w:eastAsia="Times New Roman" w:hAnsi="Times New Roman" w:cs="Times New Roman"/>
          <w:b/>
          <w:sz w:val="28"/>
          <w:szCs w:val="28"/>
          <w:lang w:eastAsia="ru-RU"/>
        </w:rPr>
        <w:t xml:space="preserve"> </w:t>
      </w:r>
      <w:r w:rsidRPr="00E47AA9">
        <w:rPr>
          <w:rFonts w:ascii="Times New Roman" w:eastAsia="Times New Roman" w:hAnsi="Times New Roman" w:cs="Times New Roman"/>
          <w:sz w:val="28"/>
          <w:szCs w:val="28"/>
          <w:lang w:eastAsia="ru-RU"/>
        </w:rPr>
        <w:t>остатков целевых средств прошлых лет произведен 16 главными администраторами в сумме 241,35 млн рублей, из них по:</w:t>
      </w:r>
    </w:p>
    <w:p w14:paraId="0396192F"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министерству профессионального образования и занятости населения Приморского края – 50,93 млн рублей;</w:t>
      </w:r>
    </w:p>
    <w:p w14:paraId="3050DA38"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министерству здравоохранения Приморского края – 46,11 млн рублей;</w:t>
      </w:r>
    </w:p>
    <w:p w14:paraId="28D06E63"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министерству физической культуры и спорта Приморского края –</w:t>
      </w:r>
      <w:r w:rsidRPr="00E47AA9">
        <w:rPr>
          <w:rFonts w:ascii="Times New Roman" w:eastAsia="Times New Roman" w:hAnsi="Times New Roman" w:cs="Times New Roman"/>
          <w:sz w:val="28"/>
          <w:szCs w:val="28"/>
          <w:lang w:eastAsia="ru-RU"/>
        </w:rPr>
        <w:br/>
        <w:t>35,28 млн рублей;</w:t>
      </w:r>
    </w:p>
    <w:p w14:paraId="5F278FD9"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министерству экономического развития Приморского края </w:t>
      </w:r>
      <w:r w:rsidR="003620C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30,96 млн рублей; </w:t>
      </w:r>
    </w:p>
    <w:p w14:paraId="0BC66767"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министерству сельского хозяйства Приморского края – 25,15 млн рублей;</w:t>
      </w:r>
    </w:p>
    <w:p w14:paraId="55799FA7"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министерству труда и социальной политики Приморского края – </w:t>
      </w:r>
      <w:r w:rsidRPr="00E47AA9">
        <w:rPr>
          <w:rFonts w:ascii="Times New Roman" w:eastAsia="Times New Roman" w:hAnsi="Times New Roman" w:cs="Times New Roman"/>
          <w:sz w:val="28"/>
          <w:szCs w:val="28"/>
          <w:lang w:eastAsia="ru-RU"/>
        </w:rPr>
        <w:br/>
        <w:t>22,74 млн рублей;</w:t>
      </w:r>
    </w:p>
    <w:p w14:paraId="35EE9D37"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министерству транспорта и дорожного хозяйства Приморского края – 15,15 млн рублей;</w:t>
      </w:r>
    </w:p>
    <w:p w14:paraId="1E120EC4" w14:textId="77777777" w:rsidR="00D52EC7" w:rsidRPr="00E47AA9" w:rsidRDefault="00D52EC7" w:rsidP="00D52EC7">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министерству образования Приморского края – 7,74 млн рублей.</w:t>
      </w:r>
    </w:p>
    <w:p w14:paraId="35CD2921" w14:textId="77777777" w:rsidR="00D52EC7" w:rsidRPr="00E47AA9" w:rsidRDefault="00D52EC7" w:rsidP="00D52EC7">
      <w:pPr>
        <w:spacing w:after="0" w:line="240" w:lineRule="auto"/>
        <w:rPr>
          <w:rFonts w:ascii="Times New Roman" w:eastAsia="Times New Roman" w:hAnsi="Times New Roman" w:cs="Times New Roman"/>
          <w:b/>
          <w:sz w:val="28"/>
          <w:szCs w:val="28"/>
          <w:lang w:eastAsia="ru-RU"/>
        </w:rPr>
      </w:pPr>
    </w:p>
    <w:p w14:paraId="1AAFAC1C" w14:textId="77777777" w:rsidR="00D52EC7" w:rsidRPr="00E47AA9" w:rsidRDefault="00D52EC7" w:rsidP="002F47F6">
      <w:pPr>
        <w:spacing w:after="0" w:line="240" w:lineRule="auto"/>
        <w:jc w:val="center"/>
        <w:rPr>
          <w:rFonts w:ascii="Times New Roman" w:eastAsia="Times New Roman" w:hAnsi="Times New Roman" w:cs="Times New Roman"/>
          <w:b/>
          <w:bCs/>
          <w:sz w:val="28"/>
          <w:szCs w:val="28"/>
          <w:lang w:eastAsia="ru-RU"/>
        </w:rPr>
      </w:pPr>
      <w:r w:rsidRPr="00E47AA9">
        <w:rPr>
          <w:rFonts w:ascii="Times New Roman" w:eastAsia="Times New Roman" w:hAnsi="Times New Roman" w:cs="Times New Roman"/>
          <w:b/>
          <w:sz w:val="28"/>
          <w:szCs w:val="28"/>
          <w:lang w:eastAsia="ru-RU"/>
        </w:rPr>
        <w:t>4.3.</w:t>
      </w:r>
      <w:r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b/>
          <w:bCs/>
          <w:sz w:val="28"/>
          <w:szCs w:val="28"/>
          <w:lang w:eastAsia="ru-RU"/>
        </w:rPr>
        <w:t>Информация о недоимке в консолидированный бюджет Приморского края по видам экономической деятельности за 2024 год</w:t>
      </w:r>
    </w:p>
    <w:p w14:paraId="606A6ED5"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Контрольно-счетной палатой</w:t>
      </w:r>
      <w:r w:rsidRPr="00E47AA9">
        <w:rPr>
          <w:rFonts w:ascii="Times New Roman" w:eastAsia="Times New Roman" w:hAnsi="Times New Roman" w:cs="Times New Roman"/>
          <w:sz w:val="28"/>
          <w:szCs w:val="28"/>
          <w:lang w:eastAsia="ru-RU"/>
        </w:rPr>
        <w:tab/>
        <w:t xml:space="preserve"> проведен анализ недоимки</w:t>
      </w:r>
      <w:r w:rsidRPr="00E47AA9">
        <w:rPr>
          <w:rStyle w:val="a8"/>
          <w:rFonts w:ascii="Times New Roman" w:hAnsi="Times New Roman"/>
          <w:sz w:val="28"/>
          <w:szCs w:val="28"/>
        </w:rPr>
        <w:footnoteReference w:id="22"/>
      </w:r>
      <w:r w:rsidRPr="00E47AA9">
        <w:rPr>
          <w:rFonts w:ascii="Times New Roman" w:eastAsia="Times New Roman" w:hAnsi="Times New Roman" w:cs="Times New Roman"/>
          <w:sz w:val="28"/>
          <w:szCs w:val="28"/>
          <w:lang w:eastAsia="ru-RU"/>
        </w:rPr>
        <w:t xml:space="preserve"> в консолидированный бюджет Приморского края по видам экономической деятельности за период 2020</w:t>
      </w:r>
      <w:r w:rsidR="003620C7" w:rsidRPr="00E47AA9">
        <w:rPr>
          <w:rFonts w:ascii="Times New Roman" w:eastAsia="Times New Roman" w:hAnsi="Times New Roman" w:cs="Times New Roman"/>
          <w:sz w:val="28"/>
          <w:szCs w:val="28"/>
          <w:lang w:eastAsia="ru-RU"/>
        </w:rPr>
        <w:t xml:space="preserve"> – </w:t>
      </w:r>
      <w:r w:rsidRPr="00E47AA9">
        <w:rPr>
          <w:rFonts w:ascii="Times New Roman" w:eastAsia="Times New Roman" w:hAnsi="Times New Roman" w:cs="Times New Roman"/>
          <w:sz w:val="28"/>
          <w:szCs w:val="28"/>
          <w:lang w:eastAsia="ru-RU"/>
        </w:rPr>
        <w:t>2024 годов</w:t>
      </w:r>
      <w:r w:rsidRPr="00E47AA9">
        <w:rPr>
          <w:rStyle w:val="a8"/>
          <w:rFonts w:ascii="Times New Roman" w:hAnsi="Times New Roman"/>
          <w:sz w:val="28"/>
          <w:szCs w:val="28"/>
          <w:lang w:eastAsia="ru-RU"/>
        </w:rPr>
        <w:footnoteReference w:id="23"/>
      </w:r>
      <w:r w:rsidRPr="00E47AA9">
        <w:rPr>
          <w:rFonts w:ascii="Times New Roman" w:eastAsia="Times New Roman" w:hAnsi="Times New Roman" w:cs="Times New Roman"/>
          <w:sz w:val="28"/>
          <w:szCs w:val="28"/>
          <w:lang w:eastAsia="ru-RU"/>
        </w:rPr>
        <w:t xml:space="preserve">. </w:t>
      </w:r>
    </w:p>
    <w:p w14:paraId="6E2AD836"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ходе анализа использована информация о поступлениях в консолидированный бюджет Приморского края и недоимке по видам экономической деятельности, размещенная на официальном сайте</w:t>
      </w:r>
      <w:r w:rsidRPr="00E47AA9">
        <w:rPr>
          <w:rStyle w:val="a8"/>
          <w:rFonts w:ascii="Times New Roman" w:hAnsi="Times New Roman"/>
          <w:sz w:val="28"/>
          <w:szCs w:val="28"/>
        </w:rPr>
        <w:footnoteReference w:id="24"/>
      </w:r>
      <w:r w:rsidRPr="00E47AA9">
        <w:rPr>
          <w:rFonts w:ascii="Times New Roman" w:eastAsia="Times New Roman" w:hAnsi="Times New Roman" w:cs="Times New Roman"/>
          <w:sz w:val="28"/>
          <w:szCs w:val="28"/>
          <w:lang w:eastAsia="ru-RU"/>
        </w:rPr>
        <w:t xml:space="preserve"> министерства финансов Приморского края.</w:t>
      </w:r>
    </w:p>
    <w:p w14:paraId="7CB592F7"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p>
    <w:p w14:paraId="5CD3F79A" w14:textId="77777777" w:rsidR="00D52EC7" w:rsidRPr="00E47AA9" w:rsidRDefault="00D52EC7" w:rsidP="00D52EC7">
      <w:pPr>
        <w:spacing w:after="0" w:line="240" w:lineRule="auto"/>
        <w:jc w:val="both"/>
        <w:rPr>
          <w:rFonts w:ascii="Times New Roman" w:eastAsia="Times New Roman" w:hAnsi="Times New Roman" w:cs="Times New Roman"/>
          <w:sz w:val="28"/>
          <w:szCs w:val="28"/>
          <w:lang w:eastAsia="ru-RU"/>
        </w:rPr>
      </w:pPr>
      <w:r w:rsidRPr="00E47AA9">
        <w:rPr>
          <w:rFonts w:ascii="Times New Roman" w:hAnsi="Times New Roman" w:cs="Times New Roman"/>
          <w:noProof/>
          <w:lang w:eastAsia="ru-RU"/>
        </w:rPr>
        <w:lastRenderedPageBreak/>
        <w:drawing>
          <wp:inline distT="0" distB="0" distL="0" distR="0" wp14:anchorId="41C0592F" wp14:editId="19AF02DD">
            <wp:extent cx="6112510" cy="3443844"/>
            <wp:effectExtent l="0" t="0" r="2540" b="4445"/>
            <wp:docPr id="8" name="Диаграмма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35AAEA62-561F-4D02-A2AE-D3AABAC99C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ACEC21C" w14:textId="77777777" w:rsidR="00D52EC7" w:rsidRPr="00E47AA9" w:rsidRDefault="00D52EC7" w:rsidP="00D52EC7">
      <w:pPr>
        <w:spacing w:after="0" w:line="240" w:lineRule="auto"/>
        <w:jc w:val="both"/>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Показатели соответствуют данным, размещенным на официальном сайте министерства финансов Приморского края, так как по информации УФНС России по Приморскому краю в сумму поступлений 2022 года не вошли суммы за период с 23.12.2022 по 31.12.2022.</w:t>
      </w:r>
    </w:p>
    <w:p w14:paraId="78F98CFA" w14:textId="77777777" w:rsidR="00D52EC7" w:rsidRPr="00E47AA9" w:rsidRDefault="00D52EC7" w:rsidP="00D52EC7">
      <w:pPr>
        <w:spacing w:after="0" w:line="240" w:lineRule="auto"/>
        <w:ind w:left="708"/>
        <w:jc w:val="both"/>
        <w:rPr>
          <w:rFonts w:ascii="Times New Roman" w:eastAsia="Times New Roman" w:hAnsi="Times New Roman" w:cs="Times New Roman"/>
          <w:sz w:val="20"/>
          <w:szCs w:val="20"/>
          <w:lang w:eastAsia="ru-RU"/>
        </w:rPr>
      </w:pPr>
    </w:p>
    <w:p w14:paraId="18A246BD"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результате анализа установлено, что общая сумма недоимки в консолидированный бюджет Приморского края имеет тенденцию постоянного роста. </w:t>
      </w:r>
    </w:p>
    <w:p w14:paraId="24807423"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Так, за 2024 год по сравнению с показателем за 2023 год недоимка увеличилась на 533,10 млн рублей, или на 10,67 %, и составила 5528,37 млн рублей, а по отношению к 2022 году – на 541,70 млн рублей, или на 10,86 %. По сравнению с уровнем 2022 и 2021 годов – в 2024 году рост практически в 2 раза.</w:t>
      </w:r>
    </w:p>
    <w:p w14:paraId="6EF43462"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Сравнительный анализ недоимки в консолидированный бюджет в разрезе основных видов экономической деятельности в 2023 и 2024 годах в суммовом выражении представлен диаграммой.</w:t>
      </w:r>
    </w:p>
    <w:p w14:paraId="298A935B" w14:textId="77777777" w:rsidR="00D52EC7" w:rsidRPr="00E47AA9" w:rsidRDefault="00D52EC7" w:rsidP="00D52EC7">
      <w:pPr>
        <w:spacing w:after="0" w:line="240" w:lineRule="auto"/>
        <w:rPr>
          <w:rFonts w:ascii="Times New Roman" w:eastAsia="Times New Roman" w:hAnsi="Times New Roman" w:cs="Times New Roman"/>
          <w:sz w:val="28"/>
          <w:szCs w:val="28"/>
          <w:lang w:eastAsia="ru-RU"/>
        </w:rPr>
      </w:pPr>
      <w:r w:rsidRPr="00E47AA9">
        <w:rPr>
          <w:rFonts w:ascii="Times New Roman" w:hAnsi="Times New Roman" w:cs="Times New Roman"/>
          <w:noProof/>
          <w:lang w:eastAsia="ru-RU"/>
        </w:rPr>
        <w:lastRenderedPageBreak/>
        <w:drawing>
          <wp:inline distT="0" distB="0" distL="0" distR="0" wp14:anchorId="70527CC7" wp14:editId="27AEB44D">
            <wp:extent cx="6148800" cy="6854400"/>
            <wp:effectExtent l="0" t="0" r="4445" b="3810"/>
            <wp:docPr id="9" name="Диаграмма 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33092CA4-B63B-48EE-B505-2B097D12D8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443D85C" w14:textId="77777777" w:rsidR="00D52EC7" w:rsidRPr="00E47AA9" w:rsidRDefault="00D52EC7" w:rsidP="00D52EC7">
      <w:pPr>
        <w:spacing w:after="0" w:line="240" w:lineRule="auto"/>
        <w:ind w:firstLine="709"/>
        <w:rPr>
          <w:rFonts w:ascii="Times New Roman" w:eastAsia="Times New Roman" w:hAnsi="Times New Roman" w:cs="Times New Roman"/>
          <w:sz w:val="28"/>
          <w:szCs w:val="28"/>
          <w:lang w:eastAsia="ru-RU"/>
        </w:rPr>
      </w:pPr>
    </w:p>
    <w:p w14:paraId="79D01424"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разрезе отраслей экономики в регионе наибольшее </w:t>
      </w:r>
      <w:r w:rsidRPr="00E47AA9">
        <w:rPr>
          <w:rFonts w:ascii="Times New Roman" w:eastAsia="Times New Roman" w:hAnsi="Times New Roman" w:cs="Times New Roman"/>
          <w:i/>
          <w:sz w:val="28"/>
          <w:szCs w:val="28"/>
          <w:lang w:eastAsia="ru-RU"/>
        </w:rPr>
        <w:t xml:space="preserve">увеличение </w:t>
      </w:r>
      <w:r w:rsidRPr="00E47AA9">
        <w:rPr>
          <w:rFonts w:ascii="Times New Roman" w:eastAsia="Times New Roman" w:hAnsi="Times New Roman" w:cs="Times New Roman"/>
          <w:sz w:val="28"/>
          <w:szCs w:val="28"/>
          <w:lang w:eastAsia="ru-RU"/>
        </w:rPr>
        <w:t xml:space="preserve">недоимки в 2024 году по сравнению с предыдущим годом произошло по таким видам экономической деятельности, как: </w:t>
      </w:r>
    </w:p>
    <w:p w14:paraId="3EA1974C"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добыча полезных ископаемых – на 351,40 млн рублей, или в 3,7 раза, и составила 481,61 млн рублей;</w:t>
      </w:r>
    </w:p>
    <w:p w14:paraId="58361FF1"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торговля оптовая, кроме оптовой торговли автотранспортными средствами и мотоциклами – на 223,20 млн рублей, или на 25,67 %, до 1092,80 млн рублей;</w:t>
      </w:r>
    </w:p>
    <w:p w14:paraId="2F743885"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строительство – на 96,21 млн рублей, или на 15,53 %, и составила 715,43 млн рублей;</w:t>
      </w:r>
    </w:p>
    <w:p w14:paraId="18A9033C"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производство кокса и нефтепродуктов – на 63,40 млн рублей (на 01.01.2024 отсутствовала);</w:t>
      </w:r>
    </w:p>
    <w:p w14:paraId="26EDE220"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операции с недвижимым имуществом – на 31,69 млн рублей, или на 25,92 %, до 153,96 млн рублей;</w:t>
      </w:r>
    </w:p>
    <w:p w14:paraId="0F08AA7D"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производство прочих транспортных средств и оборудования – на 27,97 млн рублей, или в 4 раза, и составила 37,16 млн рублей;</w:t>
      </w:r>
    </w:p>
    <w:p w14:paraId="5A812E1D"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аренда и лизинг – на 18,92 млн рублей, или на 18,50 %, до 121,18 млн рублей;</w:t>
      </w:r>
    </w:p>
    <w:p w14:paraId="28D2EAEC"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производство пищевых продуктов, напитков – на 11,35 млн рублей, или на 30,21 %, до 48,93 млн рублей;</w:t>
      </w:r>
    </w:p>
    <w:p w14:paraId="3E8B3826"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производство бумаги и бумажных изделий – на 9,31 млн рублей, или в 2,7 раза, и составила 14,68 млн рублей.</w:t>
      </w:r>
    </w:p>
    <w:p w14:paraId="7DF5F087"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При этом по итогам 2024 года сложилось значительное </w:t>
      </w:r>
      <w:r w:rsidRPr="00E47AA9">
        <w:rPr>
          <w:rFonts w:ascii="Times New Roman" w:eastAsia="Times New Roman" w:hAnsi="Times New Roman" w:cs="Times New Roman"/>
          <w:i/>
          <w:sz w:val="28"/>
          <w:szCs w:val="28"/>
          <w:lang w:eastAsia="ru-RU"/>
        </w:rPr>
        <w:t>снижение</w:t>
      </w:r>
      <w:r w:rsidRPr="00E47AA9">
        <w:rPr>
          <w:rFonts w:ascii="Times New Roman" w:eastAsia="Times New Roman" w:hAnsi="Times New Roman" w:cs="Times New Roman"/>
          <w:sz w:val="28"/>
          <w:szCs w:val="28"/>
          <w:lang w:eastAsia="ru-RU"/>
        </w:rPr>
        <w:t xml:space="preserve"> недоимки по таким видам экономической деятельности, как:</w:t>
      </w:r>
    </w:p>
    <w:p w14:paraId="5F196C5E"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складское хозяйство и вспомогательная транспортная деятельность – на 48,49 млн рублей, или на 24,51 % до 149,37 млн рублей;</w:t>
      </w:r>
    </w:p>
    <w:p w14:paraId="6D5F3FC4"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деятельность в области спорта, отдыха и развлечений – на 48,08 млн рублей, или на 81,75 %, до 10,73 млн рублей;</w:t>
      </w:r>
    </w:p>
    <w:p w14:paraId="7A1E3870"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торговля оптовая и розничная автотранспортными средствами и мотоциклами и их ремонт – на 37,42 млн рублей, или на 33,68 %, до 73,70 млн рублей;</w:t>
      </w:r>
    </w:p>
    <w:p w14:paraId="746812CD" w14:textId="77777777" w:rsidR="00D52EC7" w:rsidRPr="00E47AA9" w:rsidRDefault="00D52EC7" w:rsidP="00D52EC7">
      <w:pPr>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обработка древесины и производство изделий из дерева и пробки, кроме мебели – на 21,94 млн рублей, или на 55,28 %, до 17,75 млн рублей;</w:t>
      </w:r>
    </w:p>
    <w:p w14:paraId="57A634E3" w14:textId="77777777" w:rsidR="00D52EC7" w:rsidRPr="00E47AA9" w:rsidRDefault="00D52EC7" w:rsidP="00D52EC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растениеводство и животноводство, охота и предоставление соответствующих услуг в этих областях – на 14,71 млн рублей, или на 12,10 %, до 106,92 млн рублей.</w:t>
      </w:r>
    </w:p>
    <w:p w14:paraId="0E53D445" w14:textId="41031091" w:rsidR="005B79D2" w:rsidRPr="00E47AA9" w:rsidRDefault="005B79D2" w:rsidP="005B79D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sz w:val="28"/>
          <w:szCs w:val="28"/>
        </w:rPr>
        <w:t xml:space="preserve">Контрольно-счетная палата отмечает растущий уровень недоимки в консолидированный бюджет Приморского края, что указывает на сложности с исполнением налоговых обязательств со стороны налогоплательщиков. </w:t>
      </w:r>
      <w:r w:rsidRPr="00E47AA9">
        <w:rPr>
          <w:rFonts w:ascii="Times New Roman" w:eastAsia="Times New Roman" w:hAnsi="Times New Roman" w:cs="Times New Roman"/>
          <w:sz w:val="28"/>
          <w:szCs w:val="28"/>
          <w:lang w:eastAsia="ru-RU"/>
        </w:rPr>
        <w:t>Для решения проблемы требуется не только создание благоприятных условий для бизнеса и населения, а также комплекс мер по улучшению налогового администрирования и укрепления налоговой дисциплины.</w:t>
      </w:r>
    </w:p>
    <w:p w14:paraId="441263B2" w14:textId="77777777" w:rsidR="00D52EC7" w:rsidRPr="00E47AA9" w:rsidRDefault="00D52EC7" w:rsidP="00D52EC7">
      <w:pPr>
        <w:spacing w:after="0" w:line="240" w:lineRule="auto"/>
        <w:jc w:val="center"/>
        <w:rPr>
          <w:rFonts w:ascii="Times New Roman" w:eastAsia="Times New Roman" w:hAnsi="Times New Roman" w:cs="Times New Roman"/>
          <w:sz w:val="28"/>
          <w:szCs w:val="28"/>
          <w:lang w:eastAsia="ru-RU"/>
        </w:rPr>
      </w:pPr>
    </w:p>
    <w:p w14:paraId="10877590" w14:textId="77777777" w:rsidR="00353702" w:rsidRPr="00E47AA9" w:rsidRDefault="00353702" w:rsidP="00353702">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5. РАСХОДЫ КРАЕВОГО БЮДЖЕТА</w:t>
      </w:r>
    </w:p>
    <w:p w14:paraId="37B5DD3F" w14:textId="77777777" w:rsidR="00353702" w:rsidRPr="00E47AA9" w:rsidRDefault="00353702" w:rsidP="00353702">
      <w:pPr>
        <w:widowControl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bCs/>
          <w:sz w:val="28"/>
          <w:szCs w:val="28"/>
          <w:lang w:eastAsia="ru-RU"/>
        </w:rPr>
        <w:t>1. </w:t>
      </w:r>
      <w:r w:rsidRPr="00E47AA9">
        <w:rPr>
          <w:rFonts w:ascii="Times New Roman" w:eastAsia="Times New Roman" w:hAnsi="Times New Roman" w:cs="Times New Roman"/>
          <w:sz w:val="28"/>
          <w:szCs w:val="28"/>
          <w:lang w:eastAsia="ru-RU"/>
        </w:rPr>
        <w:t xml:space="preserve">В ходе исполнения краевого бюджета плановые показатели расходов на 2024 год, утвержденные в первоначальной редакции закона о краевом бюджете в сумме </w:t>
      </w:r>
      <w:r w:rsidRPr="00E47AA9">
        <w:rPr>
          <w:rFonts w:ascii="Times New Roman" w:hAnsi="Times New Roman" w:cs="Times New Roman"/>
          <w:bCs/>
          <w:sz w:val="28"/>
          <w:szCs w:val="28"/>
        </w:rPr>
        <w:t xml:space="preserve">230070,54 </w:t>
      </w:r>
      <w:r w:rsidRPr="00E47AA9">
        <w:rPr>
          <w:rFonts w:ascii="Times New Roman" w:eastAsia="Times New Roman" w:hAnsi="Times New Roman" w:cs="Times New Roman"/>
          <w:sz w:val="28"/>
          <w:szCs w:val="28"/>
          <w:lang w:eastAsia="ru-RU"/>
        </w:rPr>
        <w:t>млн рублей, корректировались 7 раз соответствующими законами Приморского края</w:t>
      </w:r>
      <w:r w:rsidRPr="00E47AA9">
        <w:rPr>
          <w:rStyle w:val="a8"/>
          <w:rFonts w:ascii="Times New Roman" w:hAnsi="Times New Roman"/>
          <w:sz w:val="28"/>
          <w:szCs w:val="28"/>
        </w:rPr>
        <w:footnoteReference w:id="25"/>
      </w:r>
      <w:r w:rsidRPr="00E47AA9">
        <w:rPr>
          <w:rFonts w:ascii="Times New Roman" w:eastAsia="Times New Roman" w:hAnsi="Times New Roman" w:cs="Times New Roman"/>
          <w:sz w:val="28"/>
          <w:szCs w:val="28"/>
          <w:lang w:eastAsia="ru-RU"/>
        </w:rPr>
        <w:t xml:space="preserve">, что увеличило общий объем расходов на 2024 год на </w:t>
      </w:r>
      <w:r w:rsidRPr="00E47AA9">
        <w:rPr>
          <w:rFonts w:ascii="Times New Roman" w:hAnsi="Times New Roman" w:cs="Times New Roman"/>
          <w:bCs/>
          <w:sz w:val="28"/>
          <w:szCs w:val="28"/>
        </w:rPr>
        <w:t xml:space="preserve">14859,38 </w:t>
      </w:r>
      <w:r w:rsidRPr="00E47AA9">
        <w:rPr>
          <w:rFonts w:ascii="Times New Roman" w:eastAsia="Times New Roman" w:hAnsi="Times New Roman" w:cs="Times New Roman"/>
          <w:sz w:val="28"/>
          <w:szCs w:val="28"/>
          <w:lang w:eastAsia="ru-RU"/>
        </w:rPr>
        <w:t>млн рублей, или на 6,46 %</w:t>
      </w:r>
      <w:r w:rsidR="000E4AF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до </w:t>
      </w:r>
      <w:r w:rsidRPr="00E47AA9">
        <w:rPr>
          <w:rFonts w:ascii="Times New Roman" w:hAnsi="Times New Roman" w:cs="Times New Roman"/>
          <w:bCs/>
          <w:sz w:val="28"/>
          <w:szCs w:val="28"/>
        </w:rPr>
        <w:t xml:space="preserve">244929,92 </w:t>
      </w:r>
      <w:r w:rsidRPr="00E47AA9">
        <w:rPr>
          <w:rFonts w:ascii="Times New Roman" w:eastAsia="Times New Roman" w:hAnsi="Times New Roman" w:cs="Times New Roman"/>
          <w:sz w:val="28"/>
          <w:szCs w:val="28"/>
          <w:lang w:eastAsia="ru-RU"/>
        </w:rPr>
        <w:t xml:space="preserve">млн рублей. </w:t>
      </w:r>
    </w:p>
    <w:p w14:paraId="56F57BBF" w14:textId="77777777" w:rsidR="00353702" w:rsidRPr="00E47AA9" w:rsidRDefault="00353702" w:rsidP="00353702">
      <w:pPr>
        <w:widowControl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 xml:space="preserve">Указанные корректировки годовых бюджетных назначений коснулись 14 разделов бюджетной классификации расходов бюджета, из них: по 9 разделам – снижение в общем объеме на </w:t>
      </w:r>
      <w:r w:rsidRPr="00E47AA9">
        <w:rPr>
          <w:rFonts w:ascii="Times New Roman" w:hAnsi="Times New Roman" w:cs="Times New Roman"/>
          <w:sz w:val="28"/>
          <w:szCs w:val="28"/>
        </w:rPr>
        <w:t>5658,58 </w:t>
      </w:r>
      <w:r w:rsidRPr="00E47AA9">
        <w:rPr>
          <w:rFonts w:ascii="Times New Roman" w:eastAsia="Times New Roman" w:hAnsi="Times New Roman" w:cs="Times New Roman"/>
          <w:sz w:val="28"/>
          <w:szCs w:val="28"/>
          <w:lang w:eastAsia="ru-RU"/>
        </w:rPr>
        <w:t xml:space="preserve">млн рублей, по 5 – увеличение на 20517,96 млн рублей. Изменения бюджетных ассигнований в основном связаны с дополнительными поступлениями межбюджетных трансфертов из федерального бюджета целевого назначения, перемещением между целевыми статьями программных и непрограммных расходов краевого бюджета по предложениям главных распорядителей бюджетных средств, в том числе по сокращению инвестиционных и текущих расходов краевого бюджета. </w:t>
      </w:r>
    </w:p>
    <w:p w14:paraId="229941A1" w14:textId="77777777" w:rsidR="00353702" w:rsidRPr="00E47AA9" w:rsidRDefault="00353702" w:rsidP="00353702">
      <w:pPr>
        <w:widowControl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Кроме того, в соответствии со статьей 217 Бюджетного кодекса Российской Федерации годовые плановые назначения по расходам увеличены министерством финансов Приморского края без внесения изменений в закон о краевом бюджете на 754,34 млн рублей, или на 0,31 %. Таким образом, уточненный объем плановых назначений по расходам краевого бюджета на 2024 год составил 245684,26 млн рублей.</w:t>
      </w:r>
    </w:p>
    <w:p w14:paraId="6C777EE6" w14:textId="77777777" w:rsidR="00353702" w:rsidRPr="00E47AA9" w:rsidRDefault="00353702" w:rsidP="0035370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Сведения об изменениях бюджетных назначений в отчетном году по разделам классификации расходов представлены в таблице. </w:t>
      </w:r>
    </w:p>
    <w:tbl>
      <w:tblPr>
        <w:tblW w:w="10252" w:type="dxa"/>
        <w:tblInd w:w="-709" w:type="dxa"/>
        <w:tblLayout w:type="fixed"/>
        <w:tblLook w:val="04A0" w:firstRow="1" w:lastRow="0" w:firstColumn="1" w:lastColumn="0" w:noHBand="0" w:noVBand="1"/>
      </w:tblPr>
      <w:tblGrid>
        <w:gridCol w:w="1843"/>
        <w:gridCol w:w="567"/>
        <w:gridCol w:w="1276"/>
        <w:gridCol w:w="1276"/>
        <w:gridCol w:w="1134"/>
        <w:gridCol w:w="1309"/>
        <w:gridCol w:w="1417"/>
        <w:gridCol w:w="1385"/>
        <w:gridCol w:w="45"/>
      </w:tblGrid>
      <w:tr w:rsidR="00E47AA9" w:rsidRPr="00E47AA9" w14:paraId="2F7C4E5E" w14:textId="77777777" w:rsidTr="00353702">
        <w:trPr>
          <w:gridAfter w:val="1"/>
          <w:wAfter w:w="45" w:type="dxa"/>
          <w:trHeight w:val="20"/>
          <w:tblHeader/>
        </w:trPr>
        <w:tc>
          <w:tcPr>
            <w:tcW w:w="1843" w:type="dxa"/>
            <w:tcBorders>
              <w:top w:val="nil"/>
              <w:left w:val="nil"/>
              <w:bottom w:val="single" w:sz="4" w:space="0" w:color="auto"/>
              <w:right w:val="nil"/>
            </w:tcBorders>
            <w:shd w:val="clear" w:color="000000" w:fill="FFFFFF"/>
            <w:vAlign w:val="center"/>
            <w:hideMark/>
          </w:tcPr>
          <w:p w14:paraId="3F4C2D59"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w:t>
            </w:r>
          </w:p>
        </w:tc>
        <w:tc>
          <w:tcPr>
            <w:tcW w:w="567" w:type="dxa"/>
            <w:tcBorders>
              <w:top w:val="nil"/>
              <w:left w:val="nil"/>
              <w:bottom w:val="single" w:sz="4" w:space="0" w:color="auto"/>
              <w:right w:val="nil"/>
            </w:tcBorders>
            <w:shd w:val="clear" w:color="000000" w:fill="FFFFFF"/>
            <w:vAlign w:val="center"/>
            <w:hideMark/>
          </w:tcPr>
          <w:p w14:paraId="68748978"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w:t>
            </w:r>
          </w:p>
        </w:tc>
        <w:tc>
          <w:tcPr>
            <w:tcW w:w="1276" w:type="dxa"/>
            <w:tcBorders>
              <w:top w:val="nil"/>
              <w:left w:val="nil"/>
              <w:bottom w:val="single" w:sz="4" w:space="0" w:color="auto"/>
              <w:right w:val="nil"/>
            </w:tcBorders>
            <w:shd w:val="clear" w:color="000000" w:fill="FFFFFF"/>
            <w:vAlign w:val="center"/>
            <w:hideMark/>
          </w:tcPr>
          <w:p w14:paraId="59CAAE23"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w:t>
            </w:r>
          </w:p>
        </w:tc>
        <w:tc>
          <w:tcPr>
            <w:tcW w:w="1276" w:type="dxa"/>
            <w:tcBorders>
              <w:top w:val="nil"/>
              <w:left w:val="nil"/>
              <w:bottom w:val="single" w:sz="4" w:space="0" w:color="auto"/>
              <w:right w:val="nil"/>
            </w:tcBorders>
            <w:shd w:val="clear" w:color="000000" w:fill="FFFFFF"/>
            <w:vAlign w:val="center"/>
            <w:hideMark/>
          </w:tcPr>
          <w:p w14:paraId="4F8763FC"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w:t>
            </w:r>
          </w:p>
        </w:tc>
        <w:tc>
          <w:tcPr>
            <w:tcW w:w="1134" w:type="dxa"/>
            <w:tcBorders>
              <w:top w:val="nil"/>
              <w:left w:val="nil"/>
              <w:bottom w:val="single" w:sz="4" w:space="0" w:color="auto"/>
              <w:right w:val="nil"/>
            </w:tcBorders>
            <w:shd w:val="clear" w:color="000000" w:fill="FFFFFF"/>
            <w:vAlign w:val="center"/>
            <w:hideMark/>
          </w:tcPr>
          <w:p w14:paraId="18138A46"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w:t>
            </w:r>
          </w:p>
        </w:tc>
        <w:tc>
          <w:tcPr>
            <w:tcW w:w="4111" w:type="dxa"/>
            <w:gridSpan w:val="3"/>
            <w:tcBorders>
              <w:top w:val="nil"/>
              <w:left w:val="nil"/>
              <w:bottom w:val="single" w:sz="4" w:space="0" w:color="auto"/>
              <w:right w:val="nil"/>
            </w:tcBorders>
            <w:shd w:val="clear" w:color="000000" w:fill="FFFFFF"/>
            <w:vAlign w:val="center"/>
            <w:hideMark/>
          </w:tcPr>
          <w:p w14:paraId="40AC5D19"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197BC944" w14:textId="77777777" w:rsidTr="00353702">
        <w:trPr>
          <w:trHeight w:val="20"/>
          <w:tblHeader/>
        </w:trPr>
        <w:tc>
          <w:tcPr>
            <w:tcW w:w="1843"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4ED72E29" w14:textId="77777777" w:rsidR="00353702" w:rsidRPr="00E47AA9" w:rsidRDefault="00353702" w:rsidP="00353702">
            <w:pPr>
              <w:spacing w:after="0" w:line="240" w:lineRule="auto"/>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Наименование</w:t>
            </w:r>
          </w:p>
          <w:p w14:paraId="3012B5B5" w14:textId="77777777" w:rsidR="00353702" w:rsidRPr="00E47AA9" w:rsidRDefault="00353702" w:rsidP="00353702">
            <w:pPr>
              <w:spacing w:after="0" w:line="240" w:lineRule="auto"/>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раздела</w:t>
            </w:r>
          </w:p>
        </w:tc>
        <w:tc>
          <w:tcPr>
            <w:tcW w:w="567" w:type="dxa"/>
            <w:vMerge w:val="restart"/>
            <w:tcBorders>
              <w:top w:val="single" w:sz="4" w:space="0" w:color="auto"/>
              <w:left w:val="nil"/>
              <w:bottom w:val="single" w:sz="4" w:space="0" w:color="auto"/>
              <w:right w:val="single" w:sz="4" w:space="0" w:color="auto"/>
            </w:tcBorders>
            <w:shd w:val="clear" w:color="000000" w:fill="FFFFFF"/>
            <w:vAlign w:val="center"/>
          </w:tcPr>
          <w:p w14:paraId="58D1C049" w14:textId="77777777" w:rsidR="00353702" w:rsidRPr="00E47AA9" w:rsidRDefault="00353702" w:rsidP="00353702">
            <w:pPr>
              <w:spacing w:after="0" w:line="240" w:lineRule="auto"/>
              <w:jc w:val="center"/>
              <w:rPr>
                <w:rFonts w:ascii="Times New Roman" w:eastAsia="Times New Roman" w:hAnsi="Times New Roman" w:cs="Times New Roman"/>
                <w:sz w:val="19"/>
                <w:szCs w:val="19"/>
                <w:lang w:eastAsia="ru-RU"/>
              </w:rPr>
            </w:pPr>
            <w:proofErr w:type="spellStart"/>
            <w:r w:rsidRPr="00E47AA9">
              <w:rPr>
                <w:rFonts w:ascii="Times New Roman" w:eastAsia="Times New Roman" w:hAnsi="Times New Roman" w:cs="Times New Roman"/>
                <w:sz w:val="19"/>
                <w:szCs w:val="19"/>
                <w:lang w:eastAsia="ru-RU"/>
              </w:rPr>
              <w:t>Рз</w:t>
            </w:r>
            <w:proofErr w:type="spellEnd"/>
          </w:p>
        </w:tc>
        <w:tc>
          <w:tcPr>
            <w:tcW w:w="3686" w:type="dxa"/>
            <w:gridSpan w:val="3"/>
            <w:tcBorders>
              <w:top w:val="single" w:sz="4" w:space="0" w:color="auto"/>
              <w:left w:val="nil"/>
              <w:bottom w:val="single" w:sz="4" w:space="0" w:color="auto"/>
              <w:right w:val="single" w:sz="4" w:space="0" w:color="auto"/>
            </w:tcBorders>
            <w:shd w:val="clear" w:color="000000" w:fill="FFFFFF"/>
            <w:vAlign w:val="center"/>
          </w:tcPr>
          <w:p w14:paraId="01CAA111" w14:textId="77777777" w:rsidR="00353702" w:rsidRPr="00E47AA9" w:rsidRDefault="00353702" w:rsidP="00353702">
            <w:pPr>
              <w:spacing w:after="0" w:line="240" w:lineRule="auto"/>
              <w:ind w:right="-108" w:hanging="156"/>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xml:space="preserve">Закон </w:t>
            </w:r>
            <w:r w:rsidRPr="00E47AA9">
              <w:rPr>
                <w:rFonts w:ascii="Times New Roman" w:hAnsi="Times New Roman" w:cs="Times New Roman"/>
                <w:bCs/>
                <w:sz w:val="18"/>
                <w:szCs w:val="18"/>
              </w:rPr>
              <w:t>№ 495-КЗ на 2024 год</w:t>
            </w:r>
          </w:p>
        </w:tc>
        <w:tc>
          <w:tcPr>
            <w:tcW w:w="1309" w:type="dxa"/>
            <w:vMerge w:val="restart"/>
            <w:tcBorders>
              <w:top w:val="single" w:sz="4" w:space="0" w:color="auto"/>
              <w:left w:val="nil"/>
              <w:bottom w:val="single" w:sz="4" w:space="0" w:color="auto"/>
              <w:right w:val="single" w:sz="4" w:space="0" w:color="auto"/>
            </w:tcBorders>
            <w:shd w:val="clear" w:color="000000" w:fill="FFFFFF"/>
            <w:vAlign w:val="center"/>
          </w:tcPr>
          <w:p w14:paraId="5591B5E8" w14:textId="77777777" w:rsidR="00353702" w:rsidRPr="00E47AA9" w:rsidRDefault="00353702" w:rsidP="00353702">
            <w:pPr>
              <w:spacing w:after="0" w:line="240" w:lineRule="auto"/>
              <w:ind w:left="-216" w:right="-108"/>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xml:space="preserve">Уточненные бюджетные назначения </w:t>
            </w:r>
          </w:p>
          <w:p w14:paraId="51FC6FFB" w14:textId="77777777" w:rsidR="00353702" w:rsidRPr="00E47AA9" w:rsidRDefault="00353702" w:rsidP="00353702">
            <w:pPr>
              <w:spacing w:after="0" w:line="240" w:lineRule="auto"/>
              <w:ind w:left="-216" w:right="-108"/>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на 2024</w:t>
            </w:r>
          </w:p>
          <w:p w14:paraId="5C60D3D6" w14:textId="77777777" w:rsidR="00353702" w:rsidRPr="00E47AA9" w:rsidRDefault="00353702" w:rsidP="00353702">
            <w:pPr>
              <w:spacing w:after="0" w:line="240" w:lineRule="auto"/>
              <w:ind w:left="-216" w:right="-108"/>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xml:space="preserve"> год согласно отчету</w:t>
            </w:r>
          </w:p>
        </w:tc>
        <w:tc>
          <w:tcPr>
            <w:tcW w:w="2847" w:type="dxa"/>
            <w:gridSpan w:val="3"/>
            <w:vMerge w:val="restart"/>
            <w:tcBorders>
              <w:top w:val="single" w:sz="4" w:space="0" w:color="auto"/>
              <w:left w:val="single" w:sz="4" w:space="0" w:color="auto"/>
              <w:right w:val="single" w:sz="4" w:space="0" w:color="auto"/>
            </w:tcBorders>
            <w:shd w:val="clear" w:color="000000" w:fill="FFFFFF"/>
            <w:vAlign w:val="center"/>
          </w:tcPr>
          <w:p w14:paraId="09ABA8EA" w14:textId="77777777" w:rsidR="00353702" w:rsidRPr="00E47AA9" w:rsidRDefault="00353702" w:rsidP="00353702">
            <w:pPr>
              <w:spacing w:after="0" w:line="240" w:lineRule="auto"/>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Отклонения от бюджетных назначений, утвержденных Законом № 495-КЗ</w:t>
            </w:r>
          </w:p>
        </w:tc>
      </w:tr>
      <w:tr w:rsidR="00E47AA9" w:rsidRPr="00E47AA9" w14:paraId="4B83EA82" w14:textId="77777777" w:rsidTr="00353702">
        <w:trPr>
          <w:trHeight w:val="218"/>
          <w:tblHeader/>
        </w:trPr>
        <w:tc>
          <w:tcPr>
            <w:tcW w:w="1843" w:type="dxa"/>
            <w:vMerge/>
            <w:tcBorders>
              <w:top w:val="single" w:sz="4" w:space="0" w:color="auto"/>
              <w:left w:val="single" w:sz="4" w:space="0" w:color="auto"/>
              <w:bottom w:val="single" w:sz="4" w:space="0" w:color="auto"/>
              <w:right w:val="single" w:sz="4" w:space="0" w:color="auto"/>
            </w:tcBorders>
            <w:shd w:val="clear" w:color="000000" w:fill="FFFFFF"/>
            <w:vAlign w:val="center"/>
          </w:tcPr>
          <w:p w14:paraId="3CE4E848" w14:textId="77777777" w:rsidR="00353702" w:rsidRPr="00E47AA9" w:rsidRDefault="00353702" w:rsidP="00353702">
            <w:pPr>
              <w:spacing w:after="0" w:line="240" w:lineRule="auto"/>
              <w:jc w:val="center"/>
              <w:rPr>
                <w:rFonts w:ascii="Times New Roman" w:eastAsia="Times New Roman" w:hAnsi="Times New Roman" w:cs="Times New Roman"/>
                <w:sz w:val="19"/>
                <w:szCs w:val="19"/>
                <w:lang w:eastAsia="ru-RU"/>
              </w:rPr>
            </w:pPr>
          </w:p>
        </w:tc>
        <w:tc>
          <w:tcPr>
            <w:tcW w:w="567" w:type="dxa"/>
            <w:vMerge/>
            <w:tcBorders>
              <w:top w:val="single" w:sz="4" w:space="0" w:color="auto"/>
              <w:left w:val="nil"/>
              <w:bottom w:val="single" w:sz="4" w:space="0" w:color="auto"/>
              <w:right w:val="single" w:sz="4" w:space="0" w:color="auto"/>
            </w:tcBorders>
            <w:shd w:val="clear" w:color="000000" w:fill="FFFFFF"/>
            <w:vAlign w:val="center"/>
          </w:tcPr>
          <w:p w14:paraId="34AFDCF0" w14:textId="77777777" w:rsidR="00353702" w:rsidRPr="00E47AA9" w:rsidRDefault="00353702" w:rsidP="00353702">
            <w:pPr>
              <w:spacing w:after="0" w:line="240" w:lineRule="auto"/>
              <w:jc w:val="center"/>
              <w:rPr>
                <w:rFonts w:ascii="Times New Roman" w:eastAsia="Times New Roman" w:hAnsi="Times New Roman" w:cs="Times New Roman"/>
                <w:sz w:val="19"/>
                <w:szCs w:val="19"/>
                <w:lang w:eastAsia="ru-RU"/>
              </w:rPr>
            </w:pPr>
          </w:p>
        </w:tc>
        <w:tc>
          <w:tcPr>
            <w:tcW w:w="1276" w:type="dxa"/>
            <w:vMerge w:val="restart"/>
            <w:tcBorders>
              <w:top w:val="single" w:sz="4" w:space="0" w:color="auto"/>
              <w:left w:val="nil"/>
              <w:bottom w:val="single" w:sz="4" w:space="0" w:color="auto"/>
              <w:right w:val="single" w:sz="4" w:space="0" w:color="auto"/>
            </w:tcBorders>
            <w:shd w:val="clear" w:color="000000" w:fill="FFFFFF"/>
            <w:vAlign w:val="center"/>
          </w:tcPr>
          <w:p w14:paraId="59BBA14D" w14:textId="77777777" w:rsidR="00353702" w:rsidRPr="00E47AA9" w:rsidRDefault="00353702" w:rsidP="00353702">
            <w:pPr>
              <w:spacing w:after="0" w:line="240" w:lineRule="auto"/>
              <w:jc w:val="center"/>
              <w:rPr>
                <w:rFonts w:ascii="Times New Roman" w:eastAsia="Times New Roman" w:hAnsi="Times New Roman" w:cs="Times New Roman"/>
                <w:sz w:val="19"/>
                <w:szCs w:val="19"/>
                <w:lang w:eastAsia="ru-RU"/>
              </w:rPr>
            </w:pPr>
            <w:proofErr w:type="spellStart"/>
            <w:proofErr w:type="gramStart"/>
            <w:r w:rsidRPr="00E47AA9">
              <w:rPr>
                <w:rFonts w:ascii="Times New Roman" w:eastAsia="Times New Roman" w:hAnsi="Times New Roman" w:cs="Times New Roman"/>
                <w:sz w:val="19"/>
                <w:szCs w:val="19"/>
                <w:lang w:eastAsia="ru-RU"/>
              </w:rPr>
              <w:t>перво</w:t>
            </w:r>
            <w:proofErr w:type="spellEnd"/>
            <w:r w:rsidRPr="00E47AA9">
              <w:rPr>
                <w:rFonts w:ascii="Times New Roman" w:eastAsia="Times New Roman" w:hAnsi="Times New Roman" w:cs="Times New Roman"/>
                <w:sz w:val="19"/>
                <w:szCs w:val="19"/>
                <w:lang w:eastAsia="ru-RU"/>
              </w:rPr>
              <w:t>-начальная</w:t>
            </w:r>
            <w:proofErr w:type="gramEnd"/>
            <w:r w:rsidRPr="00E47AA9">
              <w:rPr>
                <w:rFonts w:ascii="Times New Roman" w:eastAsia="Times New Roman" w:hAnsi="Times New Roman" w:cs="Times New Roman"/>
                <w:sz w:val="19"/>
                <w:szCs w:val="19"/>
                <w:lang w:eastAsia="ru-RU"/>
              </w:rPr>
              <w:t xml:space="preserve"> редакция </w:t>
            </w:r>
          </w:p>
          <w:p w14:paraId="0E27F712" w14:textId="77777777" w:rsidR="00353702" w:rsidRPr="00E47AA9" w:rsidRDefault="00353702" w:rsidP="00353702">
            <w:pPr>
              <w:spacing w:after="0" w:line="240" w:lineRule="auto"/>
              <w:jc w:val="center"/>
              <w:rPr>
                <w:rFonts w:ascii="Times New Roman" w:eastAsia="Times New Roman" w:hAnsi="Times New Roman" w:cs="Times New Roman"/>
                <w:sz w:val="19"/>
                <w:szCs w:val="19"/>
                <w:lang w:eastAsia="ru-RU"/>
              </w:rPr>
            </w:pPr>
          </w:p>
        </w:tc>
        <w:tc>
          <w:tcPr>
            <w:tcW w:w="1276" w:type="dxa"/>
            <w:vMerge w:val="restart"/>
            <w:tcBorders>
              <w:top w:val="single" w:sz="4" w:space="0" w:color="auto"/>
              <w:left w:val="nil"/>
              <w:bottom w:val="single" w:sz="4" w:space="0" w:color="auto"/>
              <w:right w:val="single" w:sz="4" w:space="0" w:color="auto"/>
            </w:tcBorders>
            <w:shd w:val="clear" w:color="000000" w:fill="FFFFFF"/>
            <w:vAlign w:val="center"/>
          </w:tcPr>
          <w:p w14:paraId="2E3E16D3" w14:textId="77777777" w:rsidR="00353702" w:rsidRPr="00E47AA9" w:rsidRDefault="00353702" w:rsidP="00353702">
            <w:pPr>
              <w:spacing w:after="0" w:line="240" w:lineRule="auto"/>
              <w:ind w:right="-108"/>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xml:space="preserve">действующая редакция </w:t>
            </w:r>
          </w:p>
          <w:p w14:paraId="1EFE79B7" w14:textId="77777777" w:rsidR="00353702" w:rsidRPr="00E47AA9" w:rsidRDefault="00353702" w:rsidP="00353702">
            <w:pPr>
              <w:spacing w:after="0" w:line="240" w:lineRule="auto"/>
              <w:ind w:right="-108"/>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xml:space="preserve"> </w:t>
            </w:r>
          </w:p>
        </w:tc>
        <w:tc>
          <w:tcPr>
            <w:tcW w:w="1134" w:type="dxa"/>
            <w:vMerge w:val="restart"/>
            <w:tcBorders>
              <w:top w:val="single" w:sz="4" w:space="0" w:color="auto"/>
              <w:left w:val="nil"/>
              <w:bottom w:val="single" w:sz="4" w:space="0" w:color="auto"/>
              <w:right w:val="single" w:sz="4" w:space="0" w:color="auto"/>
            </w:tcBorders>
            <w:shd w:val="clear" w:color="000000" w:fill="FFFFFF"/>
            <w:vAlign w:val="center"/>
          </w:tcPr>
          <w:p w14:paraId="23902BE3" w14:textId="77777777" w:rsidR="00353702" w:rsidRPr="00E47AA9" w:rsidRDefault="00353702" w:rsidP="00353702">
            <w:pPr>
              <w:spacing w:after="0" w:line="240" w:lineRule="auto"/>
              <w:ind w:right="-108" w:hanging="156"/>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отклонения</w:t>
            </w:r>
          </w:p>
        </w:tc>
        <w:tc>
          <w:tcPr>
            <w:tcW w:w="1309" w:type="dxa"/>
            <w:vMerge/>
            <w:tcBorders>
              <w:top w:val="single" w:sz="4" w:space="0" w:color="auto"/>
              <w:left w:val="nil"/>
              <w:bottom w:val="single" w:sz="4" w:space="0" w:color="auto"/>
              <w:right w:val="single" w:sz="4" w:space="0" w:color="auto"/>
            </w:tcBorders>
            <w:shd w:val="clear" w:color="000000" w:fill="FFFFFF"/>
            <w:vAlign w:val="center"/>
          </w:tcPr>
          <w:p w14:paraId="6CF0651A" w14:textId="77777777" w:rsidR="00353702" w:rsidRPr="00E47AA9" w:rsidRDefault="00353702" w:rsidP="00353702">
            <w:pPr>
              <w:spacing w:after="0" w:line="240" w:lineRule="auto"/>
              <w:ind w:left="-216" w:right="-108"/>
              <w:jc w:val="center"/>
              <w:rPr>
                <w:rFonts w:ascii="Times New Roman" w:eastAsia="Times New Roman" w:hAnsi="Times New Roman" w:cs="Times New Roman"/>
                <w:sz w:val="19"/>
                <w:szCs w:val="19"/>
                <w:lang w:eastAsia="ru-RU"/>
              </w:rPr>
            </w:pPr>
          </w:p>
        </w:tc>
        <w:tc>
          <w:tcPr>
            <w:tcW w:w="2847" w:type="dxa"/>
            <w:gridSpan w:val="3"/>
            <w:vMerge/>
            <w:tcBorders>
              <w:left w:val="single" w:sz="4" w:space="0" w:color="auto"/>
              <w:bottom w:val="single" w:sz="4" w:space="0" w:color="auto"/>
              <w:right w:val="single" w:sz="4" w:space="0" w:color="auto"/>
            </w:tcBorders>
            <w:shd w:val="clear" w:color="000000" w:fill="FFFFFF"/>
            <w:vAlign w:val="center"/>
          </w:tcPr>
          <w:p w14:paraId="5D6374C7" w14:textId="77777777" w:rsidR="00353702" w:rsidRPr="00E47AA9" w:rsidRDefault="00353702" w:rsidP="00353702">
            <w:pPr>
              <w:spacing w:after="0" w:line="240" w:lineRule="auto"/>
              <w:jc w:val="center"/>
              <w:rPr>
                <w:rFonts w:ascii="Times New Roman" w:eastAsia="Times New Roman" w:hAnsi="Times New Roman" w:cs="Times New Roman"/>
                <w:sz w:val="19"/>
                <w:szCs w:val="19"/>
                <w:lang w:eastAsia="ru-RU"/>
              </w:rPr>
            </w:pPr>
          </w:p>
        </w:tc>
      </w:tr>
      <w:tr w:rsidR="00E47AA9" w:rsidRPr="00E47AA9" w14:paraId="42DF23FE" w14:textId="77777777" w:rsidTr="00353702">
        <w:trPr>
          <w:trHeight w:val="20"/>
          <w:tblHeader/>
        </w:trPr>
        <w:tc>
          <w:tcPr>
            <w:tcW w:w="1843" w:type="dxa"/>
            <w:vMerge/>
            <w:tcBorders>
              <w:top w:val="single" w:sz="4" w:space="0" w:color="auto"/>
              <w:left w:val="single" w:sz="4" w:space="0" w:color="auto"/>
              <w:bottom w:val="single" w:sz="4" w:space="0" w:color="auto"/>
              <w:right w:val="single" w:sz="4" w:space="0" w:color="auto"/>
            </w:tcBorders>
            <w:shd w:val="clear" w:color="000000" w:fill="FFFFFF"/>
            <w:vAlign w:val="center"/>
            <w:hideMark/>
          </w:tcPr>
          <w:p w14:paraId="1EC84C81" w14:textId="77777777" w:rsidR="00353702" w:rsidRPr="00E47AA9" w:rsidRDefault="00353702" w:rsidP="00353702">
            <w:pPr>
              <w:spacing w:after="0" w:line="240" w:lineRule="auto"/>
              <w:jc w:val="center"/>
              <w:rPr>
                <w:rFonts w:ascii="Times New Roman" w:eastAsia="Times New Roman" w:hAnsi="Times New Roman" w:cs="Times New Roman"/>
                <w:sz w:val="19"/>
                <w:szCs w:val="19"/>
                <w:lang w:eastAsia="ru-RU"/>
              </w:rPr>
            </w:pPr>
          </w:p>
        </w:tc>
        <w:tc>
          <w:tcPr>
            <w:tcW w:w="567" w:type="dxa"/>
            <w:vMerge/>
            <w:tcBorders>
              <w:top w:val="single" w:sz="4" w:space="0" w:color="auto"/>
              <w:left w:val="nil"/>
              <w:bottom w:val="single" w:sz="4" w:space="0" w:color="auto"/>
              <w:right w:val="single" w:sz="4" w:space="0" w:color="auto"/>
            </w:tcBorders>
            <w:shd w:val="clear" w:color="000000" w:fill="FFFFFF"/>
            <w:vAlign w:val="center"/>
            <w:hideMark/>
          </w:tcPr>
          <w:p w14:paraId="052BAB16" w14:textId="77777777" w:rsidR="00353702" w:rsidRPr="00E47AA9" w:rsidRDefault="00353702" w:rsidP="00353702">
            <w:pPr>
              <w:spacing w:after="0" w:line="240" w:lineRule="auto"/>
              <w:jc w:val="center"/>
              <w:rPr>
                <w:rFonts w:ascii="Times New Roman" w:eastAsia="Times New Roman" w:hAnsi="Times New Roman" w:cs="Times New Roman"/>
                <w:sz w:val="19"/>
                <w:szCs w:val="19"/>
                <w:lang w:eastAsia="ru-RU"/>
              </w:rPr>
            </w:pPr>
          </w:p>
        </w:tc>
        <w:tc>
          <w:tcPr>
            <w:tcW w:w="1276" w:type="dxa"/>
            <w:vMerge/>
            <w:tcBorders>
              <w:top w:val="single" w:sz="4" w:space="0" w:color="auto"/>
              <w:left w:val="nil"/>
              <w:bottom w:val="single" w:sz="4" w:space="0" w:color="auto"/>
              <w:right w:val="single" w:sz="4" w:space="0" w:color="auto"/>
            </w:tcBorders>
            <w:shd w:val="clear" w:color="000000" w:fill="FFFFFF"/>
            <w:vAlign w:val="center"/>
            <w:hideMark/>
          </w:tcPr>
          <w:p w14:paraId="774F23A3" w14:textId="77777777" w:rsidR="00353702" w:rsidRPr="00E47AA9" w:rsidRDefault="00353702" w:rsidP="00353702">
            <w:pPr>
              <w:spacing w:after="0" w:line="240" w:lineRule="auto"/>
              <w:jc w:val="center"/>
              <w:rPr>
                <w:rFonts w:ascii="Times New Roman" w:eastAsia="Times New Roman" w:hAnsi="Times New Roman" w:cs="Times New Roman"/>
                <w:sz w:val="19"/>
                <w:szCs w:val="19"/>
                <w:lang w:eastAsia="ru-RU"/>
              </w:rPr>
            </w:pPr>
          </w:p>
        </w:tc>
        <w:tc>
          <w:tcPr>
            <w:tcW w:w="1276" w:type="dxa"/>
            <w:vMerge/>
            <w:tcBorders>
              <w:top w:val="single" w:sz="4" w:space="0" w:color="auto"/>
              <w:left w:val="nil"/>
              <w:bottom w:val="single" w:sz="4" w:space="0" w:color="auto"/>
              <w:right w:val="single" w:sz="4" w:space="0" w:color="auto"/>
            </w:tcBorders>
            <w:shd w:val="clear" w:color="000000" w:fill="FFFFFF"/>
            <w:vAlign w:val="center"/>
            <w:hideMark/>
          </w:tcPr>
          <w:p w14:paraId="32170A58" w14:textId="77777777" w:rsidR="00353702" w:rsidRPr="00E47AA9" w:rsidRDefault="00353702" w:rsidP="00353702">
            <w:pPr>
              <w:spacing w:after="0" w:line="240" w:lineRule="auto"/>
              <w:ind w:right="-108"/>
              <w:jc w:val="center"/>
              <w:rPr>
                <w:rFonts w:ascii="Times New Roman" w:eastAsia="Times New Roman" w:hAnsi="Times New Roman" w:cs="Times New Roman"/>
                <w:sz w:val="19"/>
                <w:szCs w:val="19"/>
                <w:lang w:eastAsia="ru-RU"/>
              </w:rPr>
            </w:pPr>
          </w:p>
        </w:tc>
        <w:tc>
          <w:tcPr>
            <w:tcW w:w="1134" w:type="dxa"/>
            <w:vMerge/>
            <w:tcBorders>
              <w:top w:val="single" w:sz="4" w:space="0" w:color="auto"/>
              <w:left w:val="nil"/>
              <w:bottom w:val="single" w:sz="4" w:space="0" w:color="auto"/>
              <w:right w:val="single" w:sz="4" w:space="0" w:color="auto"/>
            </w:tcBorders>
            <w:shd w:val="clear" w:color="000000" w:fill="FFFFFF"/>
            <w:vAlign w:val="center"/>
            <w:hideMark/>
          </w:tcPr>
          <w:p w14:paraId="38F49BA0" w14:textId="77777777" w:rsidR="00353702" w:rsidRPr="00E47AA9" w:rsidRDefault="00353702" w:rsidP="00353702">
            <w:pPr>
              <w:spacing w:after="0" w:line="240" w:lineRule="auto"/>
              <w:ind w:right="-108"/>
              <w:jc w:val="center"/>
              <w:rPr>
                <w:rFonts w:ascii="Times New Roman" w:eastAsia="Times New Roman" w:hAnsi="Times New Roman" w:cs="Times New Roman"/>
                <w:sz w:val="19"/>
                <w:szCs w:val="19"/>
                <w:lang w:eastAsia="ru-RU"/>
              </w:rPr>
            </w:pPr>
          </w:p>
        </w:tc>
        <w:tc>
          <w:tcPr>
            <w:tcW w:w="1309" w:type="dxa"/>
            <w:vMerge/>
            <w:tcBorders>
              <w:top w:val="single" w:sz="4" w:space="0" w:color="auto"/>
              <w:left w:val="nil"/>
              <w:bottom w:val="single" w:sz="4" w:space="0" w:color="auto"/>
              <w:right w:val="single" w:sz="4" w:space="0" w:color="auto"/>
            </w:tcBorders>
            <w:shd w:val="clear" w:color="000000" w:fill="FFFFFF"/>
            <w:vAlign w:val="center"/>
            <w:hideMark/>
          </w:tcPr>
          <w:p w14:paraId="1B0311CF" w14:textId="77777777" w:rsidR="00353702" w:rsidRPr="00E47AA9" w:rsidRDefault="00353702" w:rsidP="00353702">
            <w:pPr>
              <w:spacing w:after="0" w:line="240" w:lineRule="auto"/>
              <w:ind w:right="-108"/>
              <w:jc w:val="center"/>
              <w:rPr>
                <w:rFonts w:ascii="Times New Roman" w:eastAsia="Times New Roman" w:hAnsi="Times New Roman" w:cs="Times New Roman"/>
                <w:sz w:val="19"/>
                <w:szCs w:val="19"/>
                <w:lang w:eastAsia="ru-RU"/>
              </w:rPr>
            </w:pP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tcPr>
          <w:p w14:paraId="5FCEED04" w14:textId="77777777" w:rsidR="00353702" w:rsidRPr="00E47AA9" w:rsidRDefault="00353702" w:rsidP="00353702">
            <w:pPr>
              <w:spacing w:after="0" w:line="240" w:lineRule="auto"/>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xml:space="preserve">в </w:t>
            </w:r>
            <w:proofErr w:type="spellStart"/>
            <w:proofErr w:type="gramStart"/>
            <w:r w:rsidRPr="00E47AA9">
              <w:rPr>
                <w:rFonts w:ascii="Times New Roman" w:eastAsia="Times New Roman" w:hAnsi="Times New Roman" w:cs="Times New Roman"/>
                <w:sz w:val="19"/>
                <w:szCs w:val="19"/>
                <w:lang w:eastAsia="ru-RU"/>
              </w:rPr>
              <w:t>первона-чальной</w:t>
            </w:r>
            <w:proofErr w:type="spellEnd"/>
            <w:proofErr w:type="gramEnd"/>
            <w:r w:rsidRPr="00E47AA9">
              <w:rPr>
                <w:rFonts w:ascii="Times New Roman" w:eastAsia="Times New Roman" w:hAnsi="Times New Roman" w:cs="Times New Roman"/>
                <w:sz w:val="19"/>
                <w:szCs w:val="19"/>
                <w:lang w:eastAsia="ru-RU"/>
              </w:rPr>
              <w:t xml:space="preserve"> редакции</w:t>
            </w:r>
          </w:p>
        </w:tc>
        <w:tc>
          <w:tcPr>
            <w:tcW w:w="1430"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2067A2D9" w14:textId="77777777" w:rsidR="00353702" w:rsidRPr="00E47AA9" w:rsidRDefault="00353702" w:rsidP="00353702">
            <w:pPr>
              <w:spacing w:after="0" w:line="240" w:lineRule="auto"/>
              <w:jc w:val="center"/>
              <w:rPr>
                <w:rFonts w:ascii="Times New Roman" w:eastAsia="Times New Roman" w:hAnsi="Times New Roman" w:cs="Times New Roman"/>
                <w:sz w:val="19"/>
                <w:szCs w:val="19"/>
                <w:lang w:eastAsia="ru-RU"/>
              </w:rPr>
            </w:pPr>
            <w:r w:rsidRPr="00E47AA9">
              <w:rPr>
                <w:rFonts w:ascii="Times New Roman" w:eastAsia="Times New Roman" w:hAnsi="Times New Roman" w:cs="Times New Roman"/>
                <w:sz w:val="19"/>
                <w:szCs w:val="19"/>
                <w:lang w:eastAsia="ru-RU"/>
              </w:rPr>
              <w:t xml:space="preserve">в </w:t>
            </w:r>
            <w:proofErr w:type="spellStart"/>
            <w:proofErr w:type="gramStart"/>
            <w:r w:rsidRPr="00E47AA9">
              <w:rPr>
                <w:rFonts w:ascii="Times New Roman" w:eastAsia="Times New Roman" w:hAnsi="Times New Roman" w:cs="Times New Roman"/>
                <w:sz w:val="19"/>
                <w:szCs w:val="19"/>
                <w:lang w:eastAsia="ru-RU"/>
              </w:rPr>
              <w:t>дейст-вующей</w:t>
            </w:r>
            <w:proofErr w:type="spellEnd"/>
            <w:proofErr w:type="gramEnd"/>
            <w:r w:rsidRPr="00E47AA9">
              <w:rPr>
                <w:rFonts w:ascii="Times New Roman" w:eastAsia="Times New Roman" w:hAnsi="Times New Roman" w:cs="Times New Roman"/>
                <w:sz w:val="19"/>
                <w:szCs w:val="19"/>
                <w:lang w:eastAsia="ru-RU"/>
              </w:rPr>
              <w:t xml:space="preserve"> редакцией</w:t>
            </w:r>
          </w:p>
        </w:tc>
      </w:tr>
      <w:tr w:rsidR="00E47AA9" w:rsidRPr="00E47AA9" w14:paraId="7C5E5A90" w14:textId="77777777" w:rsidTr="00353702">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57493DB" w14:textId="77777777" w:rsidR="00353702" w:rsidRPr="00E47AA9" w:rsidRDefault="00353702" w:rsidP="00353702">
            <w:pPr>
              <w:spacing w:after="0" w:line="240" w:lineRule="auto"/>
              <w:jc w:val="center"/>
              <w:rPr>
                <w:rFonts w:ascii="Times New Roman" w:eastAsia="Times New Roman" w:hAnsi="Times New Roman" w:cs="Times New Roman"/>
                <w:i/>
                <w:sz w:val="16"/>
                <w:szCs w:val="16"/>
                <w:lang w:eastAsia="ru-RU"/>
              </w:rPr>
            </w:pPr>
            <w:r w:rsidRPr="00E47AA9">
              <w:rPr>
                <w:rFonts w:ascii="Times New Roman" w:eastAsia="Times New Roman" w:hAnsi="Times New Roman" w:cs="Times New Roman"/>
                <w:i/>
                <w:sz w:val="16"/>
                <w:szCs w:val="16"/>
                <w:lang w:eastAsia="ru-RU"/>
              </w:rPr>
              <w:t>1</w:t>
            </w:r>
          </w:p>
        </w:tc>
        <w:tc>
          <w:tcPr>
            <w:tcW w:w="567" w:type="dxa"/>
            <w:tcBorders>
              <w:top w:val="single" w:sz="4" w:space="0" w:color="auto"/>
              <w:left w:val="nil"/>
              <w:bottom w:val="single" w:sz="4" w:space="0" w:color="auto"/>
              <w:right w:val="single" w:sz="4" w:space="0" w:color="auto"/>
            </w:tcBorders>
            <w:shd w:val="clear" w:color="000000" w:fill="FFFFFF"/>
            <w:vAlign w:val="center"/>
            <w:hideMark/>
          </w:tcPr>
          <w:p w14:paraId="6458DE19" w14:textId="77777777" w:rsidR="00353702" w:rsidRPr="00E47AA9" w:rsidRDefault="00353702" w:rsidP="00353702">
            <w:pPr>
              <w:spacing w:after="0" w:line="240" w:lineRule="auto"/>
              <w:jc w:val="center"/>
              <w:rPr>
                <w:rFonts w:ascii="Times New Roman" w:eastAsia="Times New Roman" w:hAnsi="Times New Roman" w:cs="Times New Roman"/>
                <w:i/>
                <w:sz w:val="16"/>
                <w:szCs w:val="16"/>
                <w:lang w:eastAsia="ru-RU"/>
              </w:rPr>
            </w:pPr>
            <w:r w:rsidRPr="00E47AA9">
              <w:rPr>
                <w:rFonts w:ascii="Times New Roman" w:eastAsia="Times New Roman" w:hAnsi="Times New Roman" w:cs="Times New Roman"/>
                <w:i/>
                <w:sz w:val="16"/>
                <w:szCs w:val="16"/>
                <w:lang w:eastAsia="ru-RU"/>
              </w:rPr>
              <w:t>2</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404D3EFF" w14:textId="77777777" w:rsidR="00353702" w:rsidRPr="00E47AA9" w:rsidRDefault="00353702" w:rsidP="00353702">
            <w:pPr>
              <w:spacing w:after="0" w:line="240" w:lineRule="auto"/>
              <w:jc w:val="center"/>
              <w:rPr>
                <w:rFonts w:ascii="Times New Roman" w:eastAsia="Times New Roman" w:hAnsi="Times New Roman" w:cs="Times New Roman"/>
                <w:i/>
                <w:sz w:val="16"/>
                <w:szCs w:val="16"/>
                <w:lang w:eastAsia="ru-RU"/>
              </w:rPr>
            </w:pPr>
            <w:r w:rsidRPr="00E47AA9">
              <w:rPr>
                <w:rFonts w:ascii="Times New Roman" w:eastAsia="Times New Roman" w:hAnsi="Times New Roman" w:cs="Times New Roman"/>
                <w:i/>
                <w:sz w:val="16"/>
                <w:szCs w:val="16"/>
                <w:lang w:eastAsia="ru-RU"/>
              </w:rPr>
              <w:t>3</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6E769546" w14:textId="77777777" w:rsidR="00353702" w:rsidRPr="00E47AA9" w:rsidRDefault="00353702" w:rsidP="00353702">
            <w:pPr>
              <w:spacing w:after="0" w:line="240" w:lineRule="auto"/>
              <w:jc w:val="center"/>
              <w:rPr>
                <w:rFonts w:ascii="Times New Roman" w:eastAsia="Times New Roman" w:hAnsi="Times New Roman" w:cs="Times New Roman"/>
                <w:i/>
                <w:sz w:val="16"/>
                <w:szCs w:val="16"/>
                <w:lang w:eastAsia="ru-RU"/>
              </w:rPr>
            </w:pPr>
            <w:r w:rsidRPr="00E47AA9">
              <w:rPr>
                <w:rFonts w:ascii="Times New Roman" w:eastAsia="Times New Roman" w:hAnsi="Times New Roman" w:cs="Times New Roman"/>
                <w:i/>
                <w:sz w:val="16"/>
                <w:szCs w:val="16"/>
                <w:lang w:eastAsia="ru-RU"/>
              </w:rPr>
              <w:t>4</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56499A0F" w14:textId="77777777" w:rsidR="00353702" w:rsidRPr="00E47AA9" w:rsidRDefault="00353702" w:rsidP="00353702">
            <w:pPr>
              <w:spacing w:after="0" w:line="240" w:lineRule="auto"/>
              <w:jc w:val="center"/>
              <w:rPr>
                <w:rFonts w:ascii="Times New Roman" w:eastAsia="Times New Roman" w:hAnsi="Times New Roman" w:cs="Times New Roman"/>
                <w:i/>
                <w:sz w:val="16"/>
                <w:szCs w:val="16"/>
                <w:lang w:eastAsia="ru-RU"/>
              </w:rPr>
            </w:pPr>
            <w:r w:rsidRPr="00E47AA9">
              <w:rPr>
                <w:rFonts w:ascii="Times New Roman" w:eastAsia="Times New Roman" w:hAnsi="Times New Roman" w:cs="Times New Roman"/>
                <w:i/>
                <w:sz w:val="16"/>
                <w:szCs w:val="16"/>
                <w:lang w:eastAsia="ru-RU"/>
              </w:rPr>
              <w:t>гр.5=</w:t>
            </w:r>
          </w:p>
          <w:p w14:paraId="60A8268F" w14:textId="77777777" w:rsidR="00353702" w:rsidRPr="00E47AA9" w:rsidRDefault="00353702" w:rsidP="00353702">
            <w:pPr>
              <w:spacing w:after="0" w:line="240" w:lineRule="auto"/>
              <w:jc w:val="center"/>
              <w:rPr>
                <w:rFonts w:ascii="Times New Roman" w:eastAsia="Times New Roman" w:hAnsi="Times New Roman" w:cs="Times New Roman"/>
                <w:i/>
                <w:sz w:val="16"/>
                <w:szCs w:val="16"/>
                <w:lang w:eastAsia="ru-RU"/>
              </w:rPr>
            </w:pPr>
            <w:r w:rsidRPr="00E47AA9">
              <w:rPr>
                <w:rFonts w:ascii="Times New Roman" w:eastAsia="Times New Roman" w:hAnsi="Times New Roman" w:cs="Times New Roman"/>
                <w:i/>
                <w:sz w:val="16"/>
                <w:szCs w:val="16"/>
                <w:lang w:eastAsia="ru-RU"/>
              </w:rPr>
              <w:t>гр.4-гр.3</w:t>
            </w:r>
          </w:p>
        </w:tc>
        <w:tc>
          <w:tcPr>
            <w:tcW w:w="1309" w:type="dxa"/>
            <w:tcBorders>
              <w:top w:val="single" w:sz="4" w:space="0" w:color="auto"/>
              <w:left w:val="nil"/>
              <w:bottom w:val="single" w:sz="4" w:space="0" w:color="auto"/>
              <w:right w:val="single" w:sz="4" w:space="0" w:color="auto"/>
            </w:tcBorders>
            <w:shd w:val="clear" w:color="000000" w:fill="FFFFFF"/>
            <w:vAlign w:val="center"/>
            <w:hideMark/>
          </w:tcPr>
          <w:p w14:paraId="2DDC387B" w14:textId="77777777" w:rsidR="00353702" w:rsidRPr="00E47AA9" w:rsidRDefault="00353702" w:rsidP="00353702">
            <w:pPr>
              <w:spacing w:after="0" w:line="240" w:lineRule="auto"/>
              <w:jc w:val="center"/>
              <w:rPr>
                <w:rFonts w:ascii="Times New Roman" w:eastAsia="Times New Roman" w:hAnsi="Times New Roman" w:cs="Times New Roman"/>
                <w:i/>
                <w:sz w:val="16"/>
                <w:szCs w:val="16"/>
                <w:lang w:eastAsia="ru-RU"/>
              </w:rPr>
            </w:pPr>
            <w:r w:rsidRPr="00E47AA9">
              <w:rPr>
                <w:rFonts w:ascii="Times New Roman" w:eastAsia="Times New Roman" w:hAnsi="Times New Roman" w:cs="Times New Roman"/>
                <w:i/>
                <w:sz w:val="16"/>
                <w:szCs w:val="16"/>
                <w:lang w:eastAsia="ru-RU"/>
              </w:rPr>
              <w:t>6</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tcPr>
          <w:p w14:paraId="746F9C2D" w14:textId="77777777" w:rsidR="00353702" w:rsidRPr="00E47AA9" w:rsidRDefault="00353702" w:rsidP="00353702">
            <w:pPr>
              <w:spacing w:after="0" w:line="240" w:lineRule="auto"/>
              <w:jc w:val="center"/>
              <w:rPr>
                <w:rFonts w:ascii="Times New Roman" w:eastAsia="Times New Roman" w:hAnsi="Times New Roman" w:cs="Times New Roman"/>
                <w:i/>
                <w:sz w:val="16"/>
                <w:szCs w:val="16"/>
                <w:lang w:eastAsia="ru-RU"/>
              </w:rPr>
            </w:pPr>
            <w:r w:rsidRPr="00E47AA9">
              <w:rPr>
                <w:rFonts w:ascii="Times New Roman" w:eastAsia="Times New Roman" w:hAnsi="Times New Roman" w:cs="Times New Roman"/>
                <w:i/>
                <w:sz w:val="16"/>
                <w:szCs w:val="16"/>
                <w:lang w:eastAsia="ru-RU"/>
              </w:rPr>
              <w:t>гр.7=</w:t>
            </w:r>
          </w:p>
          <w:p w14:paraId="78C74DD9" w14:textId="77777777" w:rsidR="00353702" w:rsidRPr="00E47AA9" w:rsidRDefault="00353702" w:rsidP="00353702">
            <w:pPr>
              <w:spacing w:after="0" w:line="240" w:lineRule="auto"/>
              <w:jc w:val="center"/>
              <w:rPr>
                <w:rFonts w:ascii="Times New Roman" w:eastAsia="Times New Roman" w:hAnsi="Times New Roman" w:cs="Times New Roman"/>
                <w:i/>
                <w:sz w:val="16"/>
                <w:szCs w:val="16"/>
                <w:lang w:eastAsia="ru-RU"/>
              </w:rPr>
            </w:pPr>
            <w:r w:rsidRPr="00E47AA9">
              <w:rPr>
                <w:rFonts w:ascii="Times New Roman" w:eastAsia="Times New Roman" w:hAnsi="Times New Roman" w:cs="Times New Roman"/>
                <w:i/>
                <w:sz w:val="16"/>
                <w:szCs w:val="16"/>
                <w:lang w:eastAsia="ru-RU"/>
              </w:rPr>
              <w:t>гр.6-гр.3</w:t>
            </w:r>
          </w:p>
        </w:tc>
        <w:tc>
          <w:tcPr>
            <w:tcW w:w="1430"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1102866E" w14:textId="77777777" w:rsidR="00353702" w:rsidRPr="00E47AA9" w:rsidRDefault="00353702" w:rsidP="00353702">
            <w:pPr>
              <w:spacing w:after="0" w:line="240" w:lineRule="auto"/>
              <w:jc w:val="center"/>
              <w:rPr>
                <w:rFonts w:ascii="Times New Roman" w:eastAsia="Times New Roman" w:hAnsi="Times New Roman" w:cs="Times New Roman"/>
                <w:i/>
                <w:sz w:val="16"/>
                <w:szCs w:val="16"/>
                <w:lang w:eastAsia="ru-RU"/>
              </w:rPr>
            </w:pPr>
            <w:r w:rsidRPr="00E47AA9">
              <w:rPr>
                <w:rFonts w:ascii="Times New Roman" w:eastAsia="Times New Roman" w:hAnsi="Times New Roman" w:cs="Times New Roman"/>
                <w:i/>
                <w:sz w:val="16"/>
                <w:szCs w:val="16"/>
                <w:lang w:eastAsia="ru-RU"/>
              </w:rPr>
              <w:t>гр.8=</w:t>
            </w:r>
          </w:p>
          <w:p w14:paraId="28EBE289" w14:textId="77777777" w:rsidR="00353702" w:rsidRPr="00E47AA9" w:rsidRDefault="00353702" w:rsidP="00353702">
            <w:pPr>
              <w:spacing w:after="0" w:line="240" w:lineRule="auto"/>
              <w:jc w:val="center"/>
              <w:rPr>
                <w:rFonts w:ascii="Times New Roman" w:eastAsia="Times New Roman" w:hAnsi="Times New Roman" w:cs="Times New Roman"/>
                <w:i/>
                <w:sz w:val="16"/>
                <w:szCs w:val="16"/>
                <w:lang w:eastAsia="ru-RU"/>
              </w:rPr>
            </w:pPr>
            <w:r w:rsidRPr="00E47AA9">
              <w:rPr>
                <w:rFonts w:ascii="Times New Roman" w:eastAsia="Times New Roman" w:hAnsi="Times New Roman" w:cs="Times New Roman"/>
                <w:i/>
                <w:sz w:val="16"/>
                <w:szCs w:val="16"/>
                <w:lang w:eastAsia="ru-RU"/>
              </w:rPr>
              <w:t>гр.6-гр.4</w:t>
            </w:r>
          </w:p>
        </w:tc>
      </w:tr>
      <w:tr w:rsidR="00E47AA9" w:rsidRPr="00E47AA9" w14:paraId="47C5BF31" w14:textId="77777777" w:rsidTr="00353702">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AC53A60" w14:textId="77777777" w:rsidR="00353702" w:rsidRPr="00E47AA9" w:rsidRDefault="00353702" w:rsidP="00353702">
            <w:pPr>
              <w:spacing w:after="0" w:line="240" w:lineRule="auto"/>
              <w:rPr>
                <w:rFonts w:ascii="Times New Roman" w:eastAsia="Times New Roman" w:hAnsi="Times New Roman" w:cs="Times New Roman"/>
                <w:lang w:eastAsia="ru-RU"/>
              </w:rPr>
            </w:pPr>
            <w:proofErr w:type="spellStart"/>
            <w:proofErr w:type="gramStart"/>
            <w:r w:rsidRPr="00E47AA9">
              <w:rPr>
                <w:rFonts w:ascii="Times New Roman" w:eastAsia="Times New Roman" w:hAnsi="Times New Roman" w:cs="Times New Roman"/>
                <w:lang w:eastAsia="ru-RU"/>
              </w:rPr>
              <w:t>Общегосударст</w:t>
            </w:r>
            <w:proofErr w:type="spellEnd"/>
            <w:r w:rsidRPr="00E47AA9">
              <w:rPr>
                <w:rFonts w:ascii="Times New Roman" w:eastAsia="Times New Roman" w:hAnsi="Times New Roman" w:cs="Times New Roman"/>
                <w:lang w:eastAsia="ru-RU"/>
              </w:rPr>
              <w:t>-венные</w:t>
            </w:r>
            <w:proofErr w:type="gramEnd"/>
            <w:r w:rsidRPr="00E47AA9">
              <w:rPr>
                <w:rFonts w:ascii="Times New Roman" w:eastAsia="Times New Roman" w:hAnsi="Times New Roman" w:cs="Times New Roman"/>
                <w:lang w:eastAsia="ru-RU"/>
              </w:rPr>
              <w:t xml:space="preserve"> вопросы</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B5D5CA7"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14:paraId="17B83C1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10 426,48</w:t>
            </w:r>
          </w:p>
        </w:tc>
        <w:tc>
          <w:tcPr>
            <w:tcW w:w="1276" w:type="dxa"/>
            <w:tcBorders>
              <w:top w:val="single" w:sz="4" w:space="0" w:color="auto"/>
              <w:left w:val="nil"/>
              <w:bottom w:val="single" w:sz="4" w:space="0" w:color="auto"/>
              <w:right w:val="single" w:sz="4" w:space="0" w:color="auto"/>
            </w:tcBorders>
            <w:shd w:val="clear" w:color="auto" w:fill="auto"/>
            <w:vAlign w:val="bottom"/>
          </w:tcPr>
          <w:p w14:paraId="11E6653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16 132,12</w:t>
            </w:r>
          </w:p>
        </w:tc>
        <w:tc>
          <w:tcPr>
            <w:tcW w:w="1134" w:type="dxa"/>
            <w:tcBorders>
              <w:top w:val="single" w:sz="4" w:space="0" w:color="auto"/>
              <w:left w:val="nil"/>
              <w:bottom w:val="single" w:sz="4" w:space="0" w:color="auto"/>
              <w:right w:val="single" w:sz="4" w:space="0" w:color="auto"/>
            </w:tcBorders>
            <w:shd w:val="clear" w:color="auto" w:fill="auto"/>
            <w:vAlign w:val="bottom"/>
          </w:tcPr>
          <w:p w14:paraId="4EC602E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5 705,64</w:t>
            </w:r>
          </w:p>
        </w:tc>
        <w:tc>
          <w:tcPr>
            <w:tcW w:w="1309" w:type="dxa"/>
            <w:tcBorders>
              <w:top w:val="single" w:sz="4" w:space="0" w:color="auto"/>
              <w:left w:val="nil"/>
              <w:bottom w:val="single" w:sz="4" w:space="0" w:color="auto"/>
              <w:right w:val="single" w:sz="4" w:space="0" w:color="auto"/>
            </w:tcBorders>
            <w:shd w:val="clear" w:color="auto" w:fill="auto"/>
            <w:vAlign w:val="bottom"/>
          </w:tcPr>
          <w:p w14:paraId="1D69ADBC"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9 722,07</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7A3AD50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-704,42</w:t>
            </w:r>
          </w:p>
        </w:tc>
        <w:tc>
          <w:tcPr>
            <w:tcW w:w="143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3E0B04D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-6410,05</w:t>
            </w:r>
          </w:p>
        </w:tc>
      </w:tr>
      <w:tr w:rsidR="00E47AA9" w:rsidRPr="00E47AA9" w14:paraId="0C3DF0E5" w14:textId="77777777" w:rsidTr="00353702">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84483C9"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Национальная оборона</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7806659"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02</w:t>
            </w:r>
          </w:p>
        </w:tc>
        <w:tc>
          <w:tcPr>
            <w:tcW w:w="1276" w:type="dxa"/>
            <w:tcBorders>
              <w:top w:val="nil"/>
              <w:left w:val="single" w:sz="4" w:space="0" w:color="auto"/>
              <w:bottom w:val="single" w:sz="4" w:space="0" w:color="auto"/>
              <w:right w:val="single" w:sz="4" w:space="0" w:color="auto"/>
            </w:tcBorders>
            <w:shd w:val="clear" w:color="auto" w:fill="auto"/>
            <w:vAlign w:val="bottom"/>
          </w:tcPr>
          <w:p w14:paraId="23E3443E"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43,26</w:t>
            </w:r>
          </w:p>
        </w:tc>
        <w:tc>
          <w:tcPr>
            <w:tcW w:w="1276" w:type="dxa"/>
            <w:tcBorders>
              <w:top w:val="nil"/>
              <w:left w:val="nil"/>
              <w:bottom w:val="single" w:sz="4" w:space="0" w:color="auto"/>
              <w:right w:val="single" w:sz="4" w:space="0" w:color="auto"/>
            </w:tcBorders>
            <w:shd w:val="clear" w:color="auto" w:fill="auto"/>
            <w:vAlign w:val="bottom"/>
          </w:tcPr>
          <w:p w14:paraId="60BDC52E"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800,66</w:t>
            </w:r>
          </w:p>
        </w:tc>
        <w:tc>
          <w:tcPr>
            <w:tcW w:w="1134" w:type="dxa"/>
            <w:tcBorders>
              <w:top w:val="nil"/>
              <w:left w:val="nil"/>
              <w:bottom w:val="single" w:sz="4" w:space="0" w:color="auto"/>
              <w:right w:val="single" w:sz="4" w:space="0" w:color="auto"/>
            </w:tcBorders>
            <w:shd w:val="clear" w:color="auto" w:fill="auto"/>
            <w:vAlign w:val="bottom"/>
          </w:tcPr>
          <w:p w14:paraId="6B425A90"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757,40</w:t>
            </w:r>
          </w:p>
        </w:tc>
        <w:tc>
          <w:tcPr>
            <w:tcW w:w="1309" w:type="dxa"/>
            <w:tcBorders>
              <w:top w:val="nil"/>
              <w:left w:val="nil"/>
              <w:bottom w:val="single" w:sz="4" w:space="0" w:color="auto"/>
              <w:right w:val="single" w:sz="4" w:space="0" w:color="auto"/>
            </w:tcBorders>
            <w:shd w:val="clear" w:color="auto" w:fill="auto"/>
            <w:vAlign w:val="bottom"/>
          </w:tcPr>
          <w:p w14:paraId="6B9932E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2 346,71</w:t>
            </w:r>
          </w:p>
        </w:tc>
        <w:tc>
          <w:tcPr>
            <w:tcW w:w="1417" w:type="dxa"/>
            <w:tcBorders>
              <w:top w:val="nil"/>
              <w:left w:val="single" w:sz="4" w:space="0" w:color="auto"/>
              <w:bottom w:val="single" w:sz="4" w:space="0" w:color="auto"/>
              <w:right w:val="single" w:sz="4" w:space="0" w:color="auto"/>
            </w:tcBorders>
            <w:shd w:val="clear" w:color="auto" w:fill="auto"/>
            <w:vAlign w:val="bottom"/>
          </w:tcPr>
          <w:p w14:paraId="6F41E99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2 303,45</w:t>
            </w:r>
          </w:p>
        </w:tc>
        <w:tc>
          <w:tcPr>
            <w:tcW w:w="1430" w:type="dxa"/>
            <w:gridSpan w:val="2"/>
            <w:tcBorders>
              <w:top w:val="nil"/>
              <w:left w:val="single" w:sz="4" w:space="0" w:color="auto"/>
              <w:bottom w:val="single" w:sz="4" w:space="0" w:color="auto"/>
              <w:right w:val="single" w:sz="4" w:space="0" w:color="auto"/>
            </w:tcBorders>
            <w:shd w:val="clear" w:color="auto" w:fill="auto"/>
            <w:vAlign w:val="bottom"/>
          </w:tcPr>
          <w:p w14:paraId="4EAADF1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1546,05</w:t>
            </w:r>
          </w:p>
        </w:tc>
      </w:tr>
      <w:tr w:rsidR="00E47AA9" w:rsidRPr="00E47AA9" w14:paraId="448F5A07" w14:textId="77777777" w:rsidTr="00353702">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F4F2BC0"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Национальная безопасность и правоохранительная деятельность</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B4E452E"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03</w:t>
            </w:r>
          </w:p>
        </w:tc>
        <w:tc>
          <w:tcPr>
            <w:tcW w:w="1276" w:type="dxa"/>
            <w:tcBorders>
              <w:top w:val="nil"/>
              <w:left w:val="single" w:sz="4" w:space="0" w:color="auto"/>
              <w:bottom w:val="single" w:sz="4" w:space="0" w:color="auto"/>
              <w:right w:val="single" w:sz="4" w:space="0" w:color="auto"/>
            </w:tcBorders>
            <w:shd w:val="clear" w:color="auto" w:fill="auto"/>
            <w:vAlign w:val="bottom"/>
          </w:tcPr>
          <w:p w14:paraId="64C0ED2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4 694,65</w:t>
            </w:r>
          </w:p>
        </w:tc>
        <w:tc>
          <w:tcPr>
            <w:tcW w:w="1276" w:type="dxa"/>
            <w:tcBorders>
              <w:top w:val="nil"/>
              <w:left w:val="nil"/>
              <w:bottom w:val="single" w:sz="4" w:space="0" w:color="auto"/>
              <w:right w:val="single" w:sz="4" w:space="0" w:color="auto"/>
            </w:tcBorders>
            <w:shd w:val="clear" w:color="auto" w:fill="auto"/>
            <w:vAlign w:val="bottom"/>
          </w:tcPr>
          <w:p w14:paraId="585692C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4 356,72</w:t>
            </w:r>
          </w:p>
        </w:tc>
        <w:tc>
          <w:tcPr>
            <w:tcW w:w="1134" w:type="dxa"/>
            <w:tcBorders>
              <w:top w:val="nil"/>
              <w:left w:val="nil"/>
              <w:bottom w:val="single" w:sz="4" w:space="0" w:color="auto"/>
              <w:right w:val="single" w:sz="4" w:space="0" w:color="auto"/>
            </w:tcBorders>
            <w:shd w:val="clear" w:color="auto" w:fill="auto"/>
            <w:vAlign w:val="bottom"/>
          </w:tcPr>
          <w:p w14:paraId="0C4AFE6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-337,93</w:t>
            </w:r>
          </w:p>
        </w:tc>
        <w:tc>
          <w:tcPr>
            <w:tcW w:w="1309" w:type="dxa"/>
            <w:tcBorders>
              <w:top w:val="nil"/>
              <w:left w:val="nil"/>
              <w:bottom w:val="single" w:sz="4" w:space="0" w:color="auto"/>
              <w:right w:val="single" w:sz="4" w:space="0" w:color="auto"/>
            </w:tcBorders>
            <w:shd w:val="clear" w:color="auto" w:fill="auto"/>
            <w:vAlign w:val="bottom"/>
          </w:tcPr>
          <w:p w14:paraId="340E317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4 964,53</w:t>
            </w:r>
          </w:p>
        </w:tc>
        <w:tc>
          <w:tcPr>
            <w:tcW w:w="1417" w:type="dxa"/>
            <w:tcBorders>
              <w:top w:val="nil"/>
              <w:left w:val="single" w:sz="4" w:space="0" w:color="auto"/>
              <w:bottom w:val="single" w:sz="4" w:space="0" w:color="auto"/>
              <w:right w:val="single" w:sz="4" w:space="0" w:color="auto"/>
            </w:tcBorders>
            <w:shd w:val="clear" w:color="auto" w:fill="auto"/>
            <w:vAlign w:val="bottom"/>
          </w:tcPr>
          <w:p w14:paraId="1F8BCA9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269,88</w:t>
            </w:r>
          </w:p>
        </w:tc>
        <w:tc>
          <w:tcPr>
            <w:tcW w:w="1430" w:type="dxa"/>
            <w:gridSpan w:val="2"/>
            <w:tcBorders>
              <w:top w:val="nil"/>
              <w:left w:val="single" w:sz="4" w:space="0" w:color="auto"/>
              <w:bottom w:val="single" w:sz="4" w:space="0" w:color="auto"/>
              <w:right w:val="single" w:sz="4" w:space="0" w:color="auto"/>
            </w:tcBorders>
            <w:shd w:val="clear" w:color="auto" w:fill="auto"/>
            <w:vAlign w:val="bottom"/>
          </w:tcPr>
          <w:p w14:paraId="50E6E29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607,81</w:t>
            </w:r>
          </w:p>
        </w:tc>
      </w:tr>
      <w:tr w:rsidR="00E47AA9" w:rsidRPr="00E47AA9" w14:paraId="46633758" w14:textId="77777777" w:rsidTr="00353702">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A7D8799"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Национальная экономика</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CC7D63E"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04</w:t>
            </w:r>
          </w:p>
        </w:tc>
        <w:tc>
          <w:tcPr>
            <w:tcW w:w="1276" w:type="dxa"/>
            <w:tcBorders>
              <w:top w:val="nil"/>
              <w:left w:val="single" w:sz="4" w:space="0" w:color="auto"/>
              <w:bottom w:val="single" w:sz="4" w:space="0" w:color="auto"/>
              <w:right w:val="single" w:sz="4" w:space="0" w:color="auto"/>
            </w:tcBorders>
            <w:shd w:val="clear" w:color="auto" w:fill="auto"/>
            <w:vAlign w:val="bottom"/>
          </w:tcPr>
          <w:p w14:paraId="2972E450"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42 326,72</w:t>
            </w:r>
          </w:p>
        </w:tc>
        <w:tc>
          <w:tcPr>
            <w:tcW w:w="1276" w:type="dxa"/>
            <w:tcBorders>
              <w:top w:val="nil"/>
              <w:left w:val="nil"/>
              <w:bottom w:val="single" w:sz="4" w:space="0" w:color="auto"/>
              <w:right w:val="single" w:sz="4" w:space="0" w:color="auto"/>
            </w:tcBorders>
            <w:shd w:val="clear" w:color="auto" w:fill="auto"/>
            <w:vAlign w:val="bottom"/>
          </w:tcPr>
          <w:p w14:paraId="37AD981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47 994,40</w:t>
            </w:r>
          </w:p>
        </w:tc>
        <w:tc>
          <w:tcPr>
            <w:tcW w:w="1134" w:type="dxa"/>
            <w:tcBorders>
              <w:top w:val="nil"/>
              <w:left w:val="nil"/>
              <w:bottom w:val="single" w:sz="4" w:space="0" w:color="auto"/>
              <w:right w:val="single" w:sz="4" w:space="0" w:color="auto"/>
            </w:tcBorders>
            <w:shd w:val="clear" w:color="auto" w:fill="auto"/>
            <w:vAlign w:val="bottom"/>
          </w:tcPr>
          <w:p w14:paraId="19B0B20E"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5 667,68</w:t>
            </w:r>
          </w:p>
        </w:tc>
        <w:tc>
          <w:tcPr>
            <w:tcW w:w="1309" w:type="dxa"/>
            <w:tcBorders>
              <w:top w:val="nil"/>
              <w:left w:val="nil"/>
              <w:bottom w:val="single" w:sz="4" w:space="0" w:color="auto"/>
              <w:right w:val="single" w:sz="4" w:space="0" w:color="auto"/>
            </w:tcBorders>
            <w:shd w:val="clear" w:color="auto" w:fill="auto"/>
            <w:vAlign w:val="bottom"/>
          </w:tcPr>
          <w:p w14:paraId="2AAB74B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48 623,92</w:t>
            </w:r>
          </w:p>
        </w:tc>
        <w:tc>
          <w:tcPr>
            <w:tcW w:w="1417" w:type="dxa"/>
            <w:tcBorders>
              <w:top w:val="nil"/>
              <w:left w:val="single" w:sz="4" w:space="0" w:color="auto"/>
              <w:bottom w:val="single" w:sz="4" w:space="0" w:color="auto"/>
              <w:right w:val="single" w:sz="4" w:space="0" w:color="auto"/>
            </w:tcBorders>
            <w:shd w:val="clear" w:color="auto" w:fill="auto"/>
            <w:vAlign w:val="bottom"/>
          </w:tcPr>
          <w:p w14:paraId="0EA8673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6 297,20</w:t>
            </w:r>
          </w:p>
        </w:tc>
        <w:tc>
          <w:tcPr>
            <w:tcW w:w="1430" w:type="dxa"/>
            <w:gridSpan w:val="2"/>
            <w:tcBorders>
              <w:top w:val="nil"/>
              <w:left w:val="single" w:sz="4" w:space="0" w:color="auto"/>
              <w:bottom w:val="single" w:sz="4" w:space="0" w:color="auto"/>
              <w:right w:val="single" w:sz="4" w:space="0" w:color="auto"/>
            </w:tcBorders>
            <w:shd w:val="clear" w:color="auto" w:fill="auto"/>
            <w:vAlign w:val="bottom"/>
          </w:tcPr>
          <w:p w14:paraId="6D8C9CA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629,52</w:t>
            </w:r>
          </w:p>
        </w:tc>
      </w:tr>
      <w:tr w:rsidR="00E47AA9" w:rsidRPr="00E47AA9" w14:paraId="62B221E2" w14:textId="77777777" w:rsidTr="00353702">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74F021C"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Жилищно-коммунальное хозяйство</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D10CF86"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05</w:t>
            </w:r>
          </w:p>
        </w:tc>
        <w:tc>
          <w:tcPr>
            <w:tcW w:w="1276" w:type="dxa"/>
            <w:tcBorders>
              <w:top w:val="nil"/>
              <w:left w:val="single" w:sz="4" w:space="0" w:color="auto"/>
              <w:bottom w:val="single" w:sz="4" w:space="0" w:color="auto"/>
              <w:right w:val="single" w:sz="4" w:space="0" w:color="auto"/>
            </w:tcBorders>
            <w:shd w:val="clear" w:color="auto" w:fill="auto"/>
            <w:vAlign w:val="bottom"/>
          </w:tcPr>
          <w:p w14:paraId="68F64256"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26 571,56</w:t>
            </w:r>
          </w:p>
        </w:tc>
        <w:tc>
          <w:tcPr>
            <w:tcW w:w="1276" w:type="dxa"/>
            <w:tcBorders>
              <w:top w:val="nil"/>
              <w:left w:val="nil"/>
              <w:bottom w:val="single" w:sz="4" w:space="0" w:color="auto"/>
              <w:right w:val="single" w:sz="4" w:space="0" w:color="auto"/>
            </w:tcBorders>
            <w:shd w:val="clear" w:color="auto" w:fill="auto"/>
            <w:vAlign w:val="bottom"/>
          </w:tcPr>
          <w:p w14:paraId="4A5BC45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32 915,89</w:t>
            </w:r>
          </w:p>
        </w:tc>
        <w:tc>
          <w:tcPr>
            <w:tcW w:w="1134" w:type="dxa"/>
            <w:tcBorders>
              <w:top w:val="nil"/>
              <w:left w:val="nil"/>
              <w:bottom w:val="single" w:sz="4" w:space="0" w:color="auto"/>
              <w:right w:val="single" w:sz="4" w:space="0" w:color="auto"/>
            </w:tcBorders>
            <w:shd w:val="clear" w:color="auto" w:fill="auto"/>
            <w:vAlign w:val="bottom"/>
          </w:tcPr>
          <w:p w14:paraId="3D883B6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6 344,33</w:t>
            </w:r>
          </w:p>
        </w:tc>
        <w:tc>
          <w:tcPr>
            <w:tcW w:w="1309" w:type="dxa"/>
            <w:tcBorders>
              <w:top w:val="nil"/>
              <w:left w:val="nil"/>
              <w:bottom w:val="single" w:sz="4" w:space="0" w:color="auto"/>
              <w:right w:val="single" w:sz="4" w:space="0" w:color="auto"/>
            </w:tcBorders>
            <w:shd w:val="clear" w:color="auto" w:fill="auto"/>
            <w:vAlign w:val="bottom"/>
          </w:tcPr>
          <w:p w14:paraId="2E5C040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33 255,85</w:t>
            </w:r>
          </w:p>
        </w:tc>
        <w:tc>
          <w:tcPr>
            <w:tcW w:w="1417" w:type="dxa"/>
            <w:tcBorders>
              <w:top w:val="nil"/>
              <w:left w:val="single" w:sz="4" w:space="0" w:color="auto"/>
              <w:bottom w:val="single" w:sz="4" w:space="0" w:color="auto"/>
              <w:right w:val="single" w:sz="4" w:space="0" w:color="auto"/>
            </w:tcBorders>
            <w:shd w:val="clear" w:color="auto" w:fill="auto"/>
            <w:vAlign w:val="bottom"/>
          </w:tcPr>
          <w:p w14:paraId="1B12AAE7"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6 684,29</w:t>
            </w:r>
          </w:p>
        </w:tc>
        <w:tc>
          <w:tcPr>
            <w:tcW w:w="1430" w:type="dxa"/>
            <w:gridSpan w:val="2"/>
            <w:tcBorders>
              <w:top w:val="nil"/>
              <w:left w:val="single" w:sz="4" w:space="0" w:color="auto"/>
              <w:bottom w:val="single" w:sz="4" w:space="0" w:color="auto"/>
              <w:right w:val="single" w:sz="4" w:space="0" w:color="auto"/>
            </w:tcBorders>
            <w:shd w:val="clear" w:color="auto" w:fill="auto"/>
            <w:vAlign w:val="bottom"/>
          </w:tcPr>
          <w:p w14:paraId="3633222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339,96</w:t>
            </w:r>
          </w:p>
        </w:tc>
      </w:tr>
      <w:tr w:rsidR="00E47AA9" w:rsidRPr="00E47AA9" w14:paraId="747A9C78" w14:textId="77777777" w:rsidTr="00353702">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6CAD4A2"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Охрана окружающей среды</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E4C3C85"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06</w:t>
            </w:r>
          </w:p>
        </w:tc>
        <w:tc>
          <w:tcPr>
            <w:tcW w:w="1276" w:type="dxa"/>
            <w:tcBorders>
              <w:top w:val="nil"/>
              <w:left w:val="single" w:sz="4" w:space="0" w:color="auto"/>
              <w:bottom w:val="single" w:sz="4" w:space="0" w:color="auto"/>
              <w:right w:val="single" w:sz="4" w:space="0" w:color="auto"/>
            </w:tcBorders>
            <w:shd w:val="clear" w:color="auto" w:fill="auto"/>
            <w:vAlign w:val="bottom"/>
          </w:tcPr>
          <w:p w14:paraId="1DBA82D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559,38</w:t>
            </w:r>
          </w:p>
        </w:tc>
        <w:tc>
          <w:tcPr>
            <w:tcW w:w="1276" w:type="dxa"/>
            <w:tcBorders>
              <w:top w:val="nil"/>
              <w:left w:val="nil"/>
              <w:bottom w:val="single" w:sz="4" w:space="0" w:color="auto"/>
              <w:right w:val="single" w:sz="4" w:space="0" w:color="auto"/>
            </w:tcBorders>
            <w:shd w:val="clear" w:color="auto" w:fill="auto"/>
            <w:vAlign w:val="bottom"/>
          </w:tcPr>
          <w:p w14:paraId="173A921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550,70</w:t>
            </w:r>
          </w:p>
        </w:tc>
        <w:tc>
          <w:tcPr>
            <w:tcW w:w="1134" w:type="dxa"/>
            <w:tcBorders>
              <w:top w:val="nil"/>
              <w:left w:val="nil"/>
              <w:bottom w:val="single" w:sz="4" w:space="0" w:color="auto"/>
              <w:right w:val="single" w:sz="4" w:space="0" w:color="auto"/>
            </w:tcBorders>
            <w:shd w:val="clear" w:color="auto" w:fill="auto"/>
            <w:vAlign w:val="bottom"/>
          </w:tcPr>
          <w:p w14:paraId="3D02DB8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-8,67</w:t>
            </w:r>
          </w:p>
        </w:tc>
        <w:tc>
          <w:tcPr>
            <w:tcW w:w="1309" w:type="dxa"/>
            <w:tcBorders>
              <w:top w:val="nil"/>
              <w:left w:val="nil"/>
              <w:bottom w:val="single" w:sz="4" w:space="0" w:color="auto"/>
              <w:right w:val="single" w:sz="4" w:space="0" w:color="auto"/>
            </w:tcBorders>
            <w:shd w:val="clear" w:color="auto" w:fill="auto"/>
            <w:vAlign w:val="bottom"/>
          </w:tcPr>
          <w:p w14:paraId="31AD018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565,44</w:t>
            </w:r>
          </w:p>
        </w:tc>
        <w:tc>
          <w:tcPr>
            <w:tcW w:w="1417" w:type="dxa"/>
            <w:tcBorders>
              <w:top w:val="nil"/>
              <w:left w:val="single" w:sz="4" w:space="0" w:color="auto"/>
              <w:bottom w:val="single" w:sz="4" w:space="0" w:color="auto"/>
              <w:right w:val="single" w:sz="4" w:space="0" w:color="auto"/>
            </w:tcBorders>
            <w:shd w:val="clear" w:color="auto" w:fill="auto"/>
            <w:vAlign w:val="bottom"/>
          </w:tcPr>
          <w:p w14:paraId="5521051D"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6,06</w:t>
            </w:r>
          </w:p>
        </w:tc>
        <w:tc>
          <w:tcPr>
            <w:tcW w:w="1430" w:type="dxa"/>
            <w:gridSpan w:val="2"/>
            <w:tcBorders>
              <w:top w:val="nil"/>
              <w:left w:val="single" w:sz="4" w:space="0" w:color="auto"/>
              <w:bottom w:val="single" w:sz="4" w:space="0" w:color="auto"/>
              <w:right w:val="single" w:sz="4" w:space="0" w:color="auto"/>
            </w:tcBorders>
            <w:shd w:val="clear" w:color="auto" w:fill="auto"/>
            <w:vAlign w:val="bottom"/>
          </w:tcPr>
          <w:p w14:paraId="6ECE1EA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14,73</w:t>
            </w:r>
          </w:p>
        </w:tc>
      </w:tr>
      <w:tr w:rsidR="00E47AA9" w:rsidRPr="00E47AA9" w14:paraId="46EF59C7" w14:textId="77777777" w:rsidTr="00353702">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ED1A39A"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Образование</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B7E1619"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07</w:t>
            </w:r>
          </w:p>
        </w:tc>
        <w:tc>
          <w:tcPr>
            <w:tcW w:w="1276" w:type="dxa"/>
            <w:tcBorders>
              <w:top w:val="nil"/>
              <w:left w:val="single" w:sz="4" w:space="0" w:color="auto"/>
              <w:bottom w:val="single" w:sz="4" w:space="0" w:color="auto"/>
              <w:right w:val="single" w:sz="4" w:space="0" w:color="auto"/>
            </w:tcBorders>
            <w:shd w:val="clear" w:color="auto" w:fill="auto"/>
            <w:vAlign w:val="bottom"/>
          </w:tcPr>
          <w:p w14:paraId="5F229E0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50 888,37</w:t>
            </w:r>
          </w:p>
        </w:tc>
        <w:tc>
          <w:tcPr>
            <w:tcW w:w="1276" w:type="dxa"/>
            <w:tcBorders>
              <w:top w:val="nil"/>
              <w:left w:val="nil"/>
              <w:bottom w:val="single" w:sz="4" w:space="0" w:color="auto"/>
              <w:right w:val="single" w:sz="4" w:space="0" w:color="auto"/>
            </w:tcBorders>
            <w:shd w:val="clear" w:color="auto" w:fill="auto"/>
            <w:vAlign w:val="bottom"/>
          </w:tcPr>
          <w:p w14:paraId="4E15C14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49 594,24</w:t>
            </w:r>
          </w:p>
        </w:tc>
        <w:tc>
          <w:tcPr>
            <w:tcW w:w="1134" w:type="dxa"/>
            <w:tcBorders>
              <w:top w:val="nil"/>
              <w:left w:val="nil"/>
              <w:bottom w:val="single" w:sz="4" w:space="0" w:color="auto"/>
              <w:right w:val="single" w:sz="4" w:space="0" w:color="auto"/>
            </w:tcBorders>
            <w:shd w:val="clear" w:color="auto" w:fill="auto"/>
            <w:vAlign w:val="bottom"/>
          </w:tcPr>
          <w:p w14:paraId="33A45387"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-1 294,14</w:t>
            </w:r>
          </w:p>
        </w:tc>
        <w:tc>
          <w:tcPr>
            <w:tcW w:w="1309" w:type="dxa"/>
            <w:tcBorders>
              <w:top w:val="nil"/>
              <w:left w:val="nil"/>
              <w:bottom w:val="single" w:sz="4" w:space="0" w:color="auto"/>
              <w:right w:val="single" w:sz="4" w:space="0" w:color="auto"/>
            </w:tcBorders>
            <w:shd w:val="clear" w:color="auto" w:fill="auto"/>
            <w:vAlign w:val="bottom"/>
          </w:tcPr>
          <w:p w14:paraId="4225254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49 756,79</w:t>
            </w:r>
          </w:p>
        </w:tc>
        <w:tc>
          <w:tcPr>
            <w:tcW w:w="1417" w:type="dxa"/>
            <w:tcBorders>
              <w:top w:val="nil"/>
              <w:left w:val="single" w:sz="4" w:space="0" w:color="auto"/>
              <w:bottom w:val="single" w:sz="4" w:space="0" w:color="auto"/>
              <w:right w:val="single" w:sz="4" w:space="0" w:color="auto"/>
            </w:tcBorders>
            <w:shd w:val="clear" w:color="auto" w:fill="auto"/>
            <w:vAlign w:val="bottom"/>
          </w:tcPr>
          <w:p w14:paraId="261305D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-1 131,58</w:t>
            </w:r>
          </w:p>
        </w:tc>
        <w:tc>
          <w:tcPr>
            <w:tcW w:w="1430" w:type="dxa"/>
            <w:gridSpan w:val="2"/>
            <w:tcBorders>
              <w:top w:val="nil"/>
              <w:left w:val="single" w:sz="4" w:space="0" w:color="auto"/>
              <w:bottom w:val="single" w:sz="4" w:space="0" w:color="auto"/>
              <w:right w:val="single" w:sz="4" w:space="0" w:color="auto"/>
            </w:tcBorders>
            <w:shd w:val="clear" w:color="auto" w:fill="auto"/>
            <w:vAlign w:val="bottom"/>
          </w:tcPr>
          <w:p w14:paraId="42D38057"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162,55</w:t>
            </w:r>
          </w:p>
        </w:tc>
      </w:tr>
      <w:tr w:rsidR="00E47AA9" w:rsidRPr="00E47AA9" w14:paraId="1FB18A04" w14:textId="77777777" w:rsidTr="00353702">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7540EC4"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Культура, кинематография</w:t>
            </w:r>
          </w:p>
        </w:tc>
        <w:tc>
          <w:tcPr>
            <w:tcW w:w="567" w:type="dxa"/>
            <w:tcBorders>
              <w:top w:val="single" w:sz="4" w:space="0" w:color="auto"/>
              <w:left w:val="nil"/>
              <w:bottom w:val="single" w:sz="4" w:space="0" w:color="auto"/>
              <w:right w:val="single" w:sz="4" w:space="0" w:color="auto"/>
            </w:tcBorders>
            <w:shd w:val="clear" w:color="000000" w:fill="FFFFFF"/>
            <w:vAlign w:val="bottom"/>
            <w:hideMark/>
          </w:tcPr>
          <w:p w14:paraId="1EC76F7D"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08</w:t>
            </w:r>
          </w:p>
        </w:tc>
        <w:tc>
          <w:tcPr>
            <w:tcW w:w="1276" w:type="dxa"/>
            <w:tcBorders>
              <w:top w:val="nil"/>
              <w:left w:val="single" w:sz="4" w:space="0" w:color="auto"/>
              <w:bottom w:val="single" w:sz="4" w:space="0" w:color="auto"/>
              <w:right w:val="single" w:sz="4" w:space="0" w:color="auto"/>
            </w:tcBorders>
            <w:shd w:val="clear" w:color="auto" w:fill="auto"/>
            <w:vAlign w:val="bottom"/>
          </w:tcPr>
          <w:p w14:paraId="640CD2A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3 165,16</w:t>
            </w:r>
          </w:p>
        </w:tc>
        <w:tc>
          <w:tcPr>
            <w:tcW w:w="1276" w:type="dxa"/>
            <w:tcBorders>
              <w:top w:val="nil"/>
              <w:left w:val="nil"/>
              <w:bottom w:val="single" w:sz="4" w:space="0" w:color="auto"/>
              <w:right w:val="single" w:sz="4" w:space="0" w:color="auto"/>
            </w:tcBorders>
            <w:shd w:val="clear" w:color="auto" w:fill="auto"/>
            <w:vAlign w:val="bottom"/>
          </w:tcPr>
          <w:p w14:paraId="5AFAD62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3 128,10</w:t>
            </w:r>
          </w:p>
        </w:tc>
        <w:tc>
          <w:tcPr>
            <w:tcW w:w="1134" w:type="dxa"/>
            <w:tcBorders>
              <w:top w:val="nil"/>
              <w:left w:val="nil"/>
              <w:bottom w:val="single" w:sz="4" w:space="0" w:color="auto"/>
              <w:right w:val="single" w:sz="4" w:space="0" w:color="auto"/>
            </w:tcBorders>
            <w:shd w:val="clear" w:color="auto" w:fill="auto"/>
            <w:vAlign w:val="bottom"/>
          </w:tcPr>
          <w:p w14:paraId="63F7069C"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-37,06</w:t>
            </w:r>
          </w:p>
        </w:tc>
        <w:tc>
          <w:tcPr>
            <w:tcW w:w="1309" w:type="dxa"/>
            <w:tcBorders>
              <w:top w:val="nil"/>
              <w:left w:val="nil"/>
              <w:bottom w:val="single" w:sz="4" w:space="0" w:color="auto"/>
              <w:right w:val="single" w:sz="4" w:space="0" w:color="auto"/>
            </w:tcBorders>
            <w:shd w:val="clear" w:color="auto" w:fill="auto"/>
            <w:vAlign w:val="bottom"/>
          </w:tcPr>
          <w:p w14:paraId="16C58A7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3 121,21</w:t>
            </w:r>
          </w:p>
        </w:tc>
        <w:tc>
          <w:tcPr>
            <w:tcW w:w="1417" w:type="dxa"/>
            <w:tcBorders>
              <w:top w:val="nil"/>
              <w:left w:val="single" w:sz="4" w:space="0" w:color="auto"/>
              <w:bottom w:val="single" w:sz="4" w:space="0" w:color="auto"/>
              <w:right w:val="single" w:sz="4" w:space="0" w:color="auto"/>
            </w:tcBorders>
            <w:shd w:val="clear" w:color="auto" w:fill="auto"/>
            <w:vAlign w:val="bottom"/>
          </w:tcPr>
          <w:p w14:paraId="335D60AE"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-43,96</w:t>
            </w:r>
          </w:p>
        </w:tc>
        <w:tc>
          <w:tcPr>
            <w:tcW w:w="1430" w:type="dxa"/>
            <w:gridSpan w:val="2"/>
            <w:tcBorders>
              <w:top w:val="nil"/>
              <w:left w:val="single" w:sz="4" w:space="0" w:color="auto"/>
              <w:bottom w:val="single" w:sz="4" w:space="0" w:color="auto"/>
              <w:right w:val="single" w:sz="4" w:space="0" w:color="auto"/>
            </w:tcBorders>
            <w:shd w:val="clear" w:color="auto" w:fill="auto"/>
            <w:vAlign w:val="bottom"/>
          </w:tcPr>
          <w:p w14:paraId="2052B33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-6,89</w:t>
            </w:r>
          </w:p>
        </w:tc>
      </w:tr>
      <w:tr w:rsidR="00E47AA9" w:rsidRPr="00E47AA9" w14:paraId="68D68934" w14:textId="77777777" w:rsidTr="00353702">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90870CD"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Здравоохранение</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3DC4EE6"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09</w:t>
            </w:r>
          </w:p>
        </w:tc>
        <w:tc>
          <w:tcPr>
            <w:tcW w:w="1276" w:type="dxa"/>
            <w:tcBorders>
              <w:top w:val="nil"/>
              <w:left w:val="single" w:sz="4" w:space="0" w:color="auto"/>
              <w:bottom w:val="single" w:sz="4" w:space="0" w:color="auto"/>
              <w:right w:val="single" w:sz="4" w:space="0" w:color="auto"/>
            </w:tcBorders>
            <w:shd w:val="clear" w:color="auto" w:fill="auto"/>
            <w:vAlign w:val="bottom"/>
          </w:tcPr>
          <w:p w14:paraId="45CBB31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18 335,35</w:t>
            </w:r>
          </w:p>
        </w:tc>
        <w:tc>
          <w:tcPr>
            <w:tcW w:w="1276" w:type="dxa"/>
            <w:tcBorders>
              <w:top w:val="nil"/>
              <w:left w:val="nil"/>
              <w:bottom w:val="single" w:sz="4" w:space="0" w:color="auto"/>
              <w:right w:val="single" w:sz="4" w:space="0" w:color="auto"/>
            </w:tcBorders>
            <w:shd w:val="clear" w:color="auto" w:fill="auto"/>
            <w:vAlign w:val="bottom"/>
          </w:tcPr>
          <w:p w14:paraId="32A20B3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20 378,26</w:t>
            </w:r>
          </w:p>
        </w:tc>
        <w:tc>
          <w:tcPr>
            <w:tcW w:w="1134" w:type="dxa"/>
            <w:tcBorders>
              <w:top w:val="nil"/>
              <w:left w:val="nil"/>
              <w:bottom w:val="single" w:sz="4" w:space="0" w:color="auto"/>
              <w:right w:val="single" w:sz="4" w:space="0" w:color="auto"/>
            </w:tcBorders>
            <w:shd w:val="clear" w:color="auto" w:fill="auto"/>
            <w:vAlign w:val="bottom"/>
          </w:tcPr>
          <w:p w14:paraId="0D94131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2 042,91</w:t>
            </w:r>
          </w:p>
        </w:tc>
        <w:tc>
          <w:tcPr>
            <w:tcW w:w="1309" w:type="dxa"/>
            <w:tcBorders>
              <w:top w:val="nil"/>
              <w:left w:val="nil"/>
              <w:bottom w:val="single" w:sz="4" w:space="0" w:color="auto"/>
              <w:right w:val="single" w:sz="4" w:space="0" w:color="auto"/>
            </w:tcBorders>
            <w:shd w:val="clear" w:color="auto" w:fill="auto"/>
            <w:vAlign w:val="bottom"/>
          </w:tcPr>
          <w:p w14:paraId="04AE483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20 975,87</w:t>
            </w:r>
          </w:p>
        </w:tc>
        <w:tc>
          <w:tcPr>
            <w:tcW w:w="1417" w:type="dxa"/>
            <w:tcBorders>
              <w:top w:val="nil"/>
              <w:left w:val="single" w:sz="4" w:space="0" w:color="auto"/>
              <w:bottom w:val="single" w:sz="4" w:space="0" w:color="auto"/>
              <w:right w:val="single" w:sz="4" w:space="0" w:color="auto"/>
            </w:tcBorders>
            <w:shd w:val="clear" w:color="auto" w:fill="auto"/>
            <w:vAlign w:val="bottom"/>
          </w:tcPr>
          <w:p w14:paraId="2D14D8B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2 640,51</w:t>
            </w:r>
          </w:p>
        </w:tc>
        <w:tc>
          <w:tcPr>
            <w:tcW w:w="1430" w:type="dxa"/>
            <w:gridSpan w:val="2"/>
            <w:tcBorders>
              <w:top w:val="nil"/>
              <w:left w:val="single" w:sz="4" w:space="0" w:color="auto"/>
              <w:bottom w:val="single" w:sz="4" w:space="0" w:color="auto"/>
              <w:right w:val="single" w:sz="4" w:space="0" w:color="auto"/>
            </w:tcBorders>
            <w:shd w:val="clear" w:color="auto" w:fill="auto"/>
            <w:vAlign w:val="bottom"/>
          </w:tcPr>
          <w:p w14:paraId="13CADEE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597,60</w:t>
            </w:r>
          </w:p>
        </w:tc>
      </w:tr>
      <w:tr w:rsidR="00E47AA9" w:rsidRPr="00E47AA9" w14:paraId="392FF408" w14:textId="77777777" w:rsidTr="00353702">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95A73B3"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Социальная политика</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E154B67"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10</w:t>
            </w:r>
          </w:p>
        </w:tc>
        <w:tc>
          <w:tcPr>
            <w:tcW w:w="1276" w:type="dxa"/>
            <w:tcBorders>
              <w:top w:val="nil"/>
              <w:left w:val="single" w:sz="4" w:space="0" w:color="auto"/>
              <w:bottom w:val="single" w:sz="4" w:space="0" w:color="auto"/>
              <w:right w:val="single" w:sz="4" w:space="0" w:color="auto"/>
            </w:tcBorders>
            <w:shd w:val="clear" w:color="auto" w:fill="auto"/>
            <w:vAlign w:val="bottom"/>
          </w:tcPr>
          <w:p w14:paraId="41FAA32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52 124,81</w:t>
            </w:r>
          </w:p>
        </w:tc>
        <w:tc>
          <w:tcPr>
            <w:tcW w:w="1276" w:type="dxa"/>
            <w:tcBorders>
              <w:top w:val="nil"/>
              <w:left w:val="nil"/>
              <w:bottom w:val="single" w:sz="4" w:space="0" w:color="auto"/>
              <w:right w:val="single" w:sz="4" w:space="0" w:color="auto"/>
            </w:tcBorders>
            <w:shd w:val="clear" w:color="auto" w:fill="auto"/>
            <w:vAlign w:val="bottom"/>
          </w:tcPr>
          <w:p w14:paraId="47520F5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52 087,47</w:t>
            </w:r>
          </w:p>
        </w:tc>
        <w:tc>
          <w:tcPr>
            <w:tcW w:w="1134" w:type="dxa"/>
            <w:tcBorders>
              <w:top w:val="nil"/>
              <w:left w:val="nil"/>
              <w:bottom w:val="single" w:sz="4" w:space="0" w:color="auto"/>
              <w:right w:val="single" w:sz="4" w:space="0" w:color="auto"/>
            </w:tcBorders>
            <w:shd w:val="clear" w:color="auto" w:fill="auto"/>
            <w:vAlign w:val="bottom"/>
          </w:tcPr>
          <w:p w14:paraId="3224812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-37,34</w:t>
            </w:r>
          </w:p>
        </w:tc>
        <w:tc>
          <w:tcPr>
            <w:tcW w:w="1309" w:type="dxa"/>
            <w:tcBorders>
              <w:top w:val="nil"/>
              <w:left w:val="nil"/>
              <w:bottom w:val="single" w:sz="4" w:space="0" w:color="auto"/>
              <w:right w:val="single" w:sz="4" w:space="0" w:color="auto"/>
            </w:tcBorders>
            <w:shd w:val="clear" w:color="auto" w:fill="auto"/>
            <w:vAlign w:val="bottom"/>
          </w:tcPr>
          <w:p w14:paraId="3D7CC177"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55 889,78</w:t>
            </w:r>
          </w:p>
        </w:tc>
        <w:tc>
          <w:tcPr>
            <w:tcW w:w="1417" w:type="dxa"/>
            <w:tcBorders>
              <w:top w:val="nil"/>
              <w:left w:val="single" w:sz="4" w:space="0" w:color="auto"/>
              <w:bottom w:val="single" w:sz="4" w:space="0" w:color="auto"/>
              <w:right w:val="single" w:sz="4" w:space="0" w:color="auto"/>
            </w:tcBorders>
            <w:shd w:val="clear" w:color="auto" w:fill="auto"/>
            <w:vAlign w:val="bottom"/>
          </w:tcPr>
          <w:p w14:paraId="7616C07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3 764,97</w:t>
            </w:r>
          </w:p>
        </w:tc>
        <w:tc>
          <w:tcPr>
            <w:tcW w:w="1430" w:type="dxa"/>
            <w:gridSpan w:val="2"/>
            <w:tcBorders>
              <w:top w:val="nil"/>
              <w:left w:val="single" w:sz="4" w:space="0" w:color="auto"/>
              <w:bottom w:val="single" w:sz="4" w:space="0" w:color="auto"/>
              <w:right w:val="single" w:sz="4" w:space="0" w:color="auto"/>
            </w:tcBorders>
            <w:shd w:val="clear" w:color="auto" w:fill="auto"/>
            <w:vAlign w:val="bottom"/>
          </w:tcPr>
          <w:p w14:paraId="61E2144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3802,31</w:t>
            </w:r>
          </w:p>
        </w:tc>
      </w:tr>
      <w:tr w:rsidR="00E47AA9" w:rsidRPr="00E47AA9" w14:paraId="4A781868" w14:textId="77777777" w:rsidTr="00353702">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FB19864"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Физическая культура и спорт</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B302B17"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11</w:t>
            </w:r>
          </w:p>
        </w:tc>
        <w:tc>
          <w:tcPr>
            <w:tcW w:w="1276" w:type="dxa"/>
            <w:tcBorders>
              <w:top w:val="nil"/>
              <w:left w:val="single" w:sz="4" w:space="0" w:color="auto"/>
              <w:bottom w:val="single" w:sz="4" w:space="0" w:color="auto"/>
              <w:right w:val="single" w:sz="4" w:space="0" w:color="auto"/>
            </w:tcBorders>
            <w:shd w:val="clear" w:color="auto" w:fill="auto"/>
            <w:vAlign w:val="bottom"/>
          </w:tcPr>
          <w:p w14:paraId="61F1E77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9 206,71</w:t>
            </w:r>
          </w:p>
        </w:tc>
        <w:tc>
          <w:tcPr>
            <w:tcW w:w="1276" w:type="dxa"/>
            <w:tcBorders>
              <w:top w:val="nil"/>
              <w:left w:val="nil"/>
              <w:bottom w:val="single" w:sz="4" w:space="0" w:color="auto"/>
              <w:right w:val="single" w:sz="4" w:space="0" w:color="auto"/>
            </w:tcBorders>
            <w:shd w:val="clear" w:color="auto" w:fill="auto"/>
            <w:vAlign w:val="bottom"/>
          </w:tcPr>
          <w:p w14:paraId="1848F54E"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7 387,59</w:t>
            </w:r>
          </w:p>
        </w:tc>
        <w:tc>
          <w:tcPr>
            <w:tcW w:w="1134" w:type="dxa"/>
            <w:tcBorders>
              <w:top w:val="nil"/>
              <w:left w:val="nil"/>
              <w:bottom w:val="single" w:sz="4" w:space="0" w:color="auto"/>
              <w:right w:val="single" w:sz="4" w:space="0" w:color="auto"/>
            </w:tcBorders>
            <w:shd w:val="clear" w:color="auto" w:fill="auto"/>
            <w:vAlign w:val="bottom"/>
          </w:tcPr>
          <w:p w14:paraId="41F7729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-1 819,12</w:t>
            </w:r>
          </w:p>
        </w:tc>
        <w:tc>
          <w:tcPr>
            <w:tcW w:w="1309" w:type="dxa"/>
            <w:tcBorders>
              <w:top w:val="nil"/>
              <w:left w:val="nil"/>
              <w:bottom w:val="single" w:sz="4" w:space="0" w:color="auto"/>
              <w:right w:val="single" w:sz="4" w:space="0" w:color="auto"/>
            </w:tcBorders>
            <w:shd w:val="clear" w:color="auto" w:fill="auto"/>
            <w:vAlign w:val="bottom"/>
          </w:tcPr>
          <w:p w14:paraId="4CF43970"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6 857,41</w:t>
            </w:r>
          </w:p>
        </w:tc>
        <w:tc>
          <w:tcPr>
            <w:tcW w:w="1417" w:type="dxa"/>
            <w:tcBorders>
              <w:top w:val="nil"/>
              <w:left w:val="single" w:sz="4" w:space="0" w:color="auto"/>
              <w:bottom w:val="single" w:sz="4" w:space="0" w:color="auto"/>
              <w:right w:val="single" w:sz="4" w:space="0" w:color="auto"/>
            </w:tcBorders>
            <w:shd w:val="clear" w:color="auto" w:fill="auto"/>
            <w:vAlign w:val="bottom"/>
          </w:tcPr>
          <w:p w14:paraId="504C601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-2 349,29</w:t>
            </w:r>
          </w:p>
        </w:tc>
        <w:tc>
          <w:tcPr>
            <w:tcW w:w="1430" w:type="dxa"/>
            <w:gridSpan w:val="2"/>
            <w:tcBorders>
              <w:top w:val="nil"/>
              <w:left w:val="single" w:sz="4" w:space="0" w:color="auto"/>
              <w:bottom w:val="single" w:sz="4" w:space="0" w:color="auto"/>
              <w:right w:val="single" w:sz="4" w:space="0" w:color="auto"/>
            </w:tcBorders>
            <w:shd w:val="clear" w:color="auto" w:fill="auto"/>
            <w:vAlign w:val="bottom"/>
          </w:tcPr>
          <w:p w14:paraId="1D0E58F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-530,17</w:t>
            </w:r>
          </w:p>
        </w:tc>
      </w:tr>
      <w:tr w:rsidR="00E47AA9" w:rsidRPr="00E47AA9" w14:paraId="7B2A650E" w14:textId="77777777" w:rsidTr="00353702">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C4D2059"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lastRenderedPageBreak/>
              <w:t>Средства массовой информации</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5DEFCFB"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12</w:t>
            </w:r>
          </w:p>
        </w:tc>
        <w:tc>
          <w:tcPr>
            <w:tcW w:w="1276" w:type="dxa"/>
            <w:tcBorders>
              <w:top w:val="nil"/>
              <w:left w:val="single" w:sz="4" w:space="0" w:color="auto"/>
              <w:bottom w:val="single" w:sz="4" w:space="0" w:color="auto"/>
              <w:right w:val="single" w:sz="4" w:space="0" w:color="auto"/>
            </w:tcBorders>
            <w:shd w:val="clear" w:color="auto" w:fill="auto"/>
            <w:vAlign w:val="bottom"/>
          </w:tcPr>
          <w:p w14:paraId="469BEC6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554,28</w:t>
            </w:r>
          </w:p>
        </w:tc>
        <w:tc>
          <w:tcPr>
            <w:tcW w:w="1276" w:type="dxa"/>
            <w:tcBorders>
              <w:top w:val="nil"/>
              <w:left w:val="nil"/>
              <w:bottom w:val="single" w:sz="4" w:space="0" w:color="auto"/>
              <w:right w:val="single" w:sz="4" w:space="0" w:color="auto"/>
            </w:tcBorders>
            <w:shd w:val="clear" w:color="auto" w:fill="auto"/>
            <w:vAlign w:val="bottom"/>
          </w:tcPr>
          <w:p w14:paraId="66C8B5E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532,02</w:t>
            </w:r>
          </w:p>
        </w:tc>
        <w:tc>
          <w:tcPr>
            <w:tcW w:w="1134" w:type="dxa"/>
            <w:tcBorders>
              <w:top w:val="nil"/>
              <w:left w:val="nil"/>
              <w:bottom w:val="single" w:sz="4" w:space="0" w:color="auto"/>
              <w:right w:val="single" w:sz="4" w:space="0" w:color="auto"/>
            </w:tcBorders>
            <w:shd w:val="clear" w:color="auto" w:fill="auto"/>
            <w:vAlign w:val="bottom"/>
          </w:tcPr>
          <w:p w14:paraId="3CF76F9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-22,26</w:t>
            </w:r>
          </w:p>
        </w:tc>
        <w:tc>
          <w:tcPr>
            <w:tcW w:w="1309" w:type="dxa"/>
            <w:tcBorders>
              <w:top w:val="nil"/>
              <w:left w:val="nil"/>
              <w:bottom w:val="single" w:sz="4" w:space="0" w:color="auto"/>
              <w:right w:val="single" w:sz="4" w:space="0" w:color="auto"/>
            </w:tcBorders>
            <w:shd w:val="clear" w:color="auto" w:fill="auto"/>
            <w:vAlign w:val="bottom"/>
          </w:tcPr>
          <w:p w14:paraId="7B815D7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529,62</w:t>
            </w:r>
          </w:p>
        </w:tc>
        <w:tc>
          <w:tcPr>
            <w:tcW w:w="1417" w:type="dxa"/>
            <w:tcBorders>
              <w:top w:val="nil"/>
              <w:left w:val="single" w:sz="4" w:space="0" w:color="auto"/>
              <w:bottom w:val="single" w:sz="4" w:space="0" w:color="auto"/>
              <w:right w:val="single" w:sz="4" w:space="0" w:color="auto"/>
            </w:tcBorders>
            <w:shd w:val="clear" w:color="auto" w:fill="auto"/>
            <w:vAlign w:val="bottom"/>
          </w:tcPr>
          <w:p w14:paraId="2CEC1F2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-24,66</w:t>
            </w:r>
          </w:p>
        </w:tc>
        <w:tc>
          <w:tcPr>
            <w:tcW w:w="1430" w:type="dxa"/>
            <w:gridSpan w:val="2"/>
            <w:tcBorders>
              <w:top w:val="nil"/>
              <w:left w:val="single" w:sz="4" w:space="0" w:color="auto"/>
              <w:bottom w:val="single" w:sz="4" w:space="0" w:color="auto"/>
              <w:right w:val="single" w:sz="4" w:space="0" w:color="auto"/>
            </w:tcBorders>
            <w:shd w:val="clear" w:color="auto" w:fill="auto"/>
            <w:vAlign w:val="bottom"/>
          </w:tcPr>
          <w:p w14:paraId="79743BE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-2,40</w:t>
            </w:r>
          </w:p>
        </w:tc>
      </w:tr>
      <w:tr w:rsidR="00E47AA9" w:rsidRPr="00E47AA9" w14:paraId="3B08AD48" w14:textId="77777777" w:rsidTr="00353702">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473B203"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Обслуживание </w:t>
            </w:r>
            <w:proofErr w:type="spellStart"/>
            <w:proofErr w:type="gramStart"/>
            <w:r w:rsidRPr="00E47AA9">
              <w:rPr>
                <w:rFonts w:ascii="Times New Roman" w:eastAsia="Times New Roman" w:hAnsi="Times New Roman" w:cs="Times New Roman"/>
                <w:lang w:eastAsia="ru-RU"/>
              </w:rPr>
              <w:t>государствен-ного</w:t>
            </w:r>
            <w:proofErr w:type="spellEnd"/>
            <w:proofErr w:type="gramEnd"/>
            <w:r w:rsidRPr="00E47AA9">
              <w:rPr>
                <w:rFonts w:ascii="Times New Roman" w:eastAsia="Times New Roman" w:hAnsi="Times New Roman" w:cs="Times New Roman"/>
                <w:lang w:eastAsia="ru-RU"/>
              </w:rPr>
              <w:t xml:space="preserve"> и муниципального долга</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580F489"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13</w:t>
            </w:r>
          </w:p>
        </w:tc>
        <w:tc>
          <w:tcPr>
            <w:tcW w:w="1276" w:type="dxa"/>
            <w:tcBorders>
              <w:top w:val="nil"/>
              <w:left w:val="single" w:sz="4" w:space="0" w:color="auto"/>
              <w:bottom w:val="single" w:sz="4" w:space="0" w:color="auto"/>
              <w:right w:val="single" w:sz="4" w:space="0" w:color="auto"/>
            </w:tcBorders>
            <w:shd w:val="clear" w:color="auto" w:fill="auto"/>
            <w:vAlign w:val="bottom"/>
          </w:tcPr>
          <w:p w14:paraId="3F31DE46"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1 585,77</w:t>
            </w:r>
          </w:p>
        </w:tc>
        <w:tc>
          <w:tcPr>
            <w:tcW w:w="1276" w:type="dxa"/>
            <w:tcBorders>
              <w:top w:val="nil"/>
              <w:left w:val="nil"/>
              <w:bottom w:val="single" w:sz="4" w:space="0" w:color="auto"/>
              <w:right w:val="single" w:sz="4" w:space="0" w:color="auto"/>
            </w:tcBorders>
            <w:shd w:val="clear" w:color="auto" w:fill="auto"/>
            <w:vAlign w:val="bottom"/>
          </w:tcPr>
          <w:p w14:paraId="7728E73D"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592,21</w:t>
            </w:r>
          </w:p>
        </w:tc>
        <w:tc>
          <w:tcPr>
            <w:tcW w:w="1134" w:type="dxa"/>
            <w:tcBorders>
              <w:top w:val="nil"/>
              <w:left w:val="nil"/>
              <w:bottom w:val="single" w:sz="4" w:space="0" w:color="auto"/>
              <w:right w:val="single" w:sz="4" w:space="0" w:color="auto"/>
            </w:tcBorders>
            <w:shd w:val="clear" w:color="auto" w:fill="auto"/>
            <w:vAlign w:val="bottom"/>
          </w:tcPr>
          <w:p w14:paraId="773BF7C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-993,56</w:t>
            </w:r>
          </w:p>
        </w:tc>
        <w:tc>
          <w:tcPr>
            <w:tcW w:w="1309" w:type="dxa"/>
            <w:tcBorders>
              <w:top w:val="nil"/>
              <w:left w:val="nil"/>
              <w:bottom w:val="single" w:sz="4" w:space="0" w:color="auto"/>
              <w:right w:val="single" w:sz="4" w:space="0" w:color="auto"/>
            </w:tcBorders>
            <w:shd w:val="clear" w:color="auto" w:fill="auto"/>
            <w:vAlign w:val="bottom"/>
          </w:tcPr>
          <w:p w14:paraId="529CBD3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537,13</w:t>
            </w:r>
          </w:p>
        </w:tc>
        <w:tc>
          <w:tcPr>
            <w:tcW w:w="1417" w:type="dxa"/>
            <w:tcBorders>
              <w:top w:val="nil"/>
              <w:left w:val="single" w:sz="4" w:space="0" w:color="auto"/>
              <w:bottom w:val="single" w:sz="4" w:space="0" w:color="auto"/>
              <w:right w:val="single" w:sz="4" w:space="0" w:color="auto"/>
            </w:tcBorders>
            <w:shd w:val="clear" w:color="auto" w:fill="auto"/>
            <w:vAlign w:val="bottom"/>
          </w:tcPr>
          <w:p w14:paraId="6212FA6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-1 048,64</w:t>
            </w:r>
          </w:p>
        </w:tc>
        <w:tc>
          <w:tcPr>
            <w:tcW w:w="1430" w:type="dxa"/>
            <w:gridSpan w:val="2"/>
            <w:tcBorders>
              <w:top w:val="nil"/>
              <w:left w:val="single" w:sz="4" w:space="0" w:color="auto"/>
              <w:bottom w:val="single" w:sz="4" w:space="0" w:color="auto"/>
              <w:right w:val="single" w:sz="4" w:space="0" w:color="auto"/>
            </w:tcBorders>
            <w:shd w:val="clear" w:color="auto" w:fill="auto"/>
            <w:vAlign w:val="bottom"/>
          </w:tcPr>
          <w:p w14:paraId="0D1D606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-55,08</w:t>
            </w:r>
          </w:p>
        </w:tc>
      </w:tr>
      <w:tr w:rsidR="00E47AA9" w:rsidRPr="00E47AA9" w14:paraId="11C50794" w14:textId="77777777" w:rsidTr="00353702">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6EC76C6"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Межбюджетные трансферты общего характера бюджетам бюджетной системы Российской Федерации</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8957F0B"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14</w:t>
            </w:r>
          </w:p>
        </w:tc>
        <w:tc>
          <w:tcPr>
            <w:tcW w:w="1276" w:type="dxa"/>
            <w:tcBorders>
              <w:top w:val="nil"/>
              <w:left w:val="single" w:sz="4" w:space="0" w:color="auto"/>
              <w:bottom w:val="single" w:sz="4" w:space="0" w:color="auto"/>
              <w:right w:val="single" w:sz="4" w:space="0" w:color="auto"/>
            </w:tcBorders>
            <w:shd w:val="clear" w:color="auto" w:fill="auto"/>
            <w:vAlign w:val="bottom"/>
          </w:tcPr>
          <w:p w14:paraId="2A379F2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9 588,03</w:t>
            </w:r>
          </w:p>
        </w:tc>
        <w:tc>
          <w:tcPr>
            <w:tcW w:w="1276" w:type="dxa"/>
            <w:tcBorders>
              <w:top w:val="nil"/>
              <w:left w:val="nil"/>
              <w:bottom w:val="single" w:sz="4" w:space="0" w:color="auto"/>
              <w:right w:val="single" w:sz="4" w:space="0" w:color="auto"/>
            </w:tcBorders>
            <w:shd w:val="clear" w:color="auto" w:fill="auto"/>
            <w:vAlign w:val="bottom"/>
          </w:tcPr>
          <w:p w14:paraId="32E1E3C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8 479,53</w:t>
            </w:r>
          </w:p>
        </w:tc>
        <w:tc>
          <w:tcPr>
            <w:tcW w:w="1134" w:type="dxa"/>
            <w:tcBorders>
              <w:top w:val="nil"/>
              <w:left w:val="nil"/>
              <w:bottom w:val="single" w:sz="4" w:space="0" w:color="auto"/>
              <w:right w:val="single" w:sz="4" w:space="0" w:color="auto"/>
            </w:tcBorders>
            <w:shd w:val="clear" w:color="auto" w:fill="auto"/>
            <w:vAlign w:val="bottom"/>
          </w:tcPr>
          <w:p w14:paraId="1EEB204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-1 108,51</w:t>
            </w:r>
          </w:p>
        </w:tc>
        <w:tc>
          <w:tcPr>
            <w:tcW w:w="1309" w:type="dxa"/>
            <w:tcBorders>
              <w:top w:val="nil"/>
              <w:left w:val="nil"/>
              <w:bottom w:val="single" w:sz="4" w:space="0" w:color="auto"/>
              <w:right w:val="single" w:sz="4" w:space="0" w:color="auto"/>
            </w:tcBorders>
            <w:shd w:val="clear" w:color="auto" w:fill="auto"/>
            <w:vAlign w:val="bottom"/>
          </w:tcPr>
          <w:p w14:paraId="3D413FD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8 537,93</w:t>
            </w:r>
          </w:p>
        </w:tc>
        <w:tc>
          <w:tcPr>
            <w:tcW w:w="1417" w:type="dxa"/>
            <w:tcBorders>
              <w:top w:val="nil"/>
              <w:left w:val="single" w:sz="4" w:space="0" w:color="auto"/>
              <w:bottom w:val="single" w:sz="4" w:space="0" w:color="auto"/>
              <w:right w:val="single" w:sz="4" w:space="0" w:color="auto"/>
            </w:tcBorders>
            <w:shd w:val="clear" w:color="auto" w:fill="auto"/>
            <w:vAlign w:val="bottom"/>
          </w:tcPr>
          <w:p w14:paraId="0B3B205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-1 050,10</w:t>
            </w:r>
          </w:p>
        </w:tc>
        <w:tc>
          <w:tcPr>
            <w:tcW w:w="1430" w:type="dxa"/>
            <w:gridSpan w:val="2"/>
            <w:tcBorders>
              <w:top w:val="nil"/>
              <w:left w:val="single" w:sz="4" w:space="0" w:color="auto"/>
              <w:bottom w:val="single" w:sz="4" w:space="0" w:color="auto"/>
              <w:right w:val="single" w:sz="4" w:space="0" w:color="auto"/>
            </w:tcBorders>
            <w:shd w:val="clear" w:color="auto" w:fill="auto"/>
            <w:vAlign w:val="bottom"/>
          </w:tcPr>
          <w:p w14:paraId="76540EB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58,41</w:t>
            </w:r>
          </w:p>
        </w:tc>
      </w:tr>
      <w:tr w:rsidR="00E47AA9" w:rsidRPr="00E47AA9" w14:paraId="71CF8ECE" w14:textId="77777777" w:rsidTr="00353702">
        <w:trPr>
          <w:trHeight w:val="135"/>
        </w:trPr>
        <w:tc>
          <w:tcPr>
            <w:tcW w:w="184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EC079BA" w14:textId="77777777" w:rsidR="00353702" w:rsidRPr="00E47AA9" w:rsidRDefault="00353702" w:rsidP="00353702">
            <w:pPr>
              <w:spacing w:after="0" w:line="240" w:lineRule="auto"/>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Всего расходов</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90AC0EB"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w:t>
            </w:r>
          </w:p>
        </w:tc>
        <w:tc>
          <w:tcPr>
            <w:tcW w:w="1276" w:type="dxa"/>
            <w:tcBorders>
              <w:top w:val="nil"/>
              <w:left w:val="single" w:sz="4" w:space="0" w:color="auto"/>
              <w:bottom w:val="single" w:sz="4" w:space="0" w:color="auto"/>
              <w:right w:val="single" w:sz="4" w:space="0" w:color="auto"/>
            </w:tcBorders>
            <w:shd w:val="clear" w:color="auto" w:fill="auto"/>
            <w:vAlign w:val="bottom"/>
          </w:tcPr>
          <w:p w14:paraId="3C97C3E0" w14:textId="77777777" w:rsidR="00353702" w:rsidRPr="00E47AA9" w:rsidRDefault="00353702" w:rsidP="00353702">
            <w:pPr>
              <w:spacing w:after="0" w:line="240" w:lineRule="auto"/>
              <w:jc w:val="right"/>
              <w:rPr>
                <w:rFonts w:ascii="Times New Roman" w:hAnsi="Times New Roman" w:cs="Times New Roman"/>
                <w:b/>
                <w:bCs/>
              </w:rPr>
            </w:pPr>
            <w:r w:rsidRPr="00E47AA9">
              <w:rPr>
                <w:rFonts w:ascii="Times New Roman" w:hAnsi="Times New Roman" w:cs="Times New Roman"/>
                <w:b/>
                <w:bCs/>
              </w:rPr>
              <w:t>230 070,54</w:t>
            </w:r>
          </w:p>
        </w:tc>
        <w:tc>
          <w:tcPr>
            <w:tcW w:w="1276" w:type="dxa"/>
            <w:tcBorders>
              <w:top w:val="nil"/>
              <w:left w:val="nil"/>
              <w:bottom w:val="single" w:sz="4" w:space="0" w:color="auto"/>
              <w:right w:val="single" w:sz="4" w:space="0" w:color="auto"/>
            </w:tcBorders>
            <w:shd w:val="clear" w:color="auto" w:fill="auto"/>
            <w:vAlign w:val="bottom"/>
          </w:tcPr>
          <w:p w14:paraId="25422D50" w14:textId="77777777" w:rsidR="00353702" w:rsidRPr="00E47AA9" w:rsidRDefault="00353702" w:rsidP="00353702">
            <w:pPr>
              <w:spacing w:after="0" w:line="240" w:lineRule="auto"/>
              <w:jc w:val="right"/>
              <w:rPr>
                <w:rFonts w:ascii="Times New Roman" w:hAnsi="Times New Roman" w:cs="Times New Roman"/>
                <w:b/>
                <w:bCs/>
              </w:rPr>
            </w:pPr>
            <w:r w:rsidRPr="00E47AA9">
              <w:rPr>
                <w:rFonts w:ascii="Times New Roman" w:hAnsi="Times New Roman" w:cs="Times New Roman"/>
                <w:b/>
                <w:bCs/>
              </w:rPr>
              <w:t>244 929,92</w:t>
            </w:r>
          </w:p>
        </w:tc>
        <w:tc>
          <w:tcPr>
            <w:tcW w:w="1134" w:type="dxa"/>
            <w:tcBorders>
              <w:top w:val="nil"/>
              <w:left w:val="nil"/>
              <w:bottom w:val="single" w:sz="4" w:space="0" w:color="auto"/>
              <w:right w:val="single" w:sz="4" w:space="0" w:color="auto"/>
            </w:tcBorders>
            <w:shd w:val="clear" w:color="auto" w:fill="auto"/>
            <w:vAlign w:val="bottom"/>
          </w:tcPr>
          <w:p w14:paraId="76D10DBB" w14:textId="77777777" w:rsidR="00353702" w:rsidRPr="00E47AA9" w:rsidRDefault="00353702" w:rsidP="00353702">
            <w:pPr>
              <w:spacing w:after="0" w:line="240" w:lineRule="auto"/>
              <w:jc w:val="right"/>
              <w:rPr>
                <w:rFonts w:ascii="Times New Roman" w:hAnsi="Times New Roman" w:cs="Times New Roman"/>
                <w:b/>
                <w:bCs/>
              </w:rPr>
            </w:pPr>
            <w:r w:rsidRPr="00E47AA9">
              <w:rPr>
                <w:rFonts w:ascii="Times New Roman" w:hAnsi="Times New Roman" w:cs="Times New Roman"/>
                <w:b/>
                <w:bCs/>
              </w:rPr>
              <w:t>14 859,38</w:t>
            </w:r>
          </w:p>
        </w:tc>
        <w:tc>
          <w:tcPr>
            <w:tcW w:w="1309" w:type="dxa"/>
            <w:tcBorders>
              <w:top w:val="nil"/>
              <w:left w:val="nil"/>
              <w:bottom w:val="single" w:sz="4" w:space="0" w:color="auto"/>
              <w:right w:val="single" w:sz="4" w:space="0" w:color="auto"/>
            </w:tcBorders>
            <w:shd w:val="clear" w:color="auto" w:fill="auto"/>
            <w:vAlign w:val="bottom"/>
          </w:tcPr>
          <w:p w14:paraId="4D08BD90" w14:textId="77777777" w:rsidR="00353702" w:rsidRPr="00E47AA9" w:rsidRDefault="00353702" w:rsidP="00353702">
            <w:pPr>
              <w:spacing w:after="0" w:line="240" w:lineRule="auto"/>
              <w:jc w:val="right"/>
              <w:rPr>
                <w:rFonts w:ascii="Times New Roman" w:hAnsi="Times New Roman" w:cs="Times New Roman"/>
                <w:b/>
                <w:bCs/>
              </w:rPr>
            </w:pPr>
            <w:r w:rsidRPr="00E47AA9">
              <w:rPr>
                <w:rFonts w:ascii="Times New Roman" w:hAnsi="Times New Roman" w:cs="Times New Roman"/>
                <w:b/>
                <w:bCs/>
              </w:rPr>
              <w:t>245 684,26</w:t>
            </w:r>
          </w:p>
        </w:tc>
        <w:tc>
          <w:tcPr>
            <w:tcW w:w="1417" w:type="dxa"/>
            <w:tcBorders>
              <w:top w:val="nil"/>
              <w:left w:val="single" w:sz="4" w:space="0" w:color="auto"/>
              <w:bottom w:val="single" w:sz="4" w:space="0" w:color="auto"/>
              <w:right w:val="single" w:sz="4" w:space="0" w:color="auto"/>
            </w:tcBorders>
            <w:shd w:val="clear" w:color="auto" w:fill="auto"/>
            <w:vAlign w:val="bottom"/>
          </w:tcPr>
          <w:p w14:paraId="635D1640" w14:textId="77777777" w:rsidR="00353702" w:rsidRPr="00E47AA9" w:rsidRDefault="00353702" w:rsidP="00353702">
            <w:pPr>
              <w:spacing w:after="0" w:line="240" w:lineRule="auto"/>
              <w:jc w:val="right"/>
              <w:rPr>
                <w:rFonts w:ascii="Times New Roman" w:hAnsi="Times New Roman" w:cs="Times New Roman"/>
                <w:b/>
                <w:bCs/>
              </w:rPr>
            </w:pPr>
            <w:r w:rsidRPr="00E47AA9">
              <w:rPr>
                <w:rFonts w:ascii="Times New Roman" w:hAnsi="Times New Roman" w:cs="Times New Roman"/>
                <w:b/>
                <w:bCs/>
              </w:rPr>
              <w:t>15 613,71</w:t>
            </w:r>
          </w:p>
        </w:tc>
        <w:tc>
          <w:tcPr>
            <w:tcW w:w="1430" w:type="dxa"/>
            <w:gridSpan w:val="2"/>
            <w:tcBorders>
              <w:top w:val="nil"/>
              <w:left w:val="single" w:sz="4" w:space="0" w:color="auto"/>
              <w:bottom w:val="single" w:sz="4" w:space="0" w:color="auto"/>
              <w:right w:val="single" w:sz="4" w:space="0" w:color="auto"/>
            </w:tcBorders>
            <w:shd w:val="clear" w:color="auto" w:fill="auto"/>
            <w:vAlign w:val="bottom"/>
          </w:tcPr>
          <w:p w14:paraId="052B8665" w14:textId="77777777" w:rsidR="00353702" w:rsidRPr="00E47AA9" w:rsidRDefault="00353702" w:rsidP="00353702">
            <w:pPr>
              <w:spacing w:after="0" w:line="240" w:lineRule="auto"/>
              <w:jc w:val="right"/>
              <w:rPr>
                <w:rFonts w:ascii="Times New Roman" w:hAnsi="Times New Roman" w:cs="Times New Roman"/>
                <w:b/>
                <w:bCs/>
              </w:rPr>
            </w:pPr>
            <w:r w:rsidRPr="00E47AA9">
              <w:rPr>
                <w:rFonts w:ascii="Times New Roman" w:hAnsi="Times New Roman" w:cs="Times New Roman"/>
                <w:b/>
                <w:bCs/>
              </w:rPr>
              <w:t>754,34</w:t>
            </w:r>
          </w:p>
        </w:tc>
      </w:tr>
    </w:tbl>
    <w:p w14:paraId="42A664EE" w14:textId="77777777" w:rsidR="00353702" w:rsidRPr="00E47AA9" w:rsidRDefault="00353702" w:rsidP="00353702">
      <w:pPr>
        <w:spacing w:after="0" w:line="240" w:lineRule="auto"/>
        <w:ind w:firstLine="709"/>
        <w:jc w:val="both"/>
        <w:rPr>
          <w:rFonts w:ascii="Times New Roman" w:eastAsia="Times New Roman" w:hAnsi="Times New Roman" w:cs="Times New Roman"/>
          <w:sz w:val="28"/>
          <w:szCs w:val="28"/>
          <w:lang w:eastAsia="ru-RU"/>
        </w:rPr>
      </w:pPr>
    </w:p>
    <w:p w14:paraId="047ACE1D" w14:textId="77777777" w:rsidR="00353702" w:rsidRPr="00E47AA9" w:rsidRDefault="00353702" w:rsidP="00353702">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По сравнению с предыдущим годом в 2024 году увеличилось количество разделов бюджетной классификации расходов, по которым произведено наибольшее количество разнонаправленных корректировок. Если в 2023 году таких разделов было семь (по каждому 10 корректировок: 9 раз соответствующими законами Приморского края о внесении изменений в краевой бюджет и дополнительно 1 раз финансовым органом без внесения изменений в закон о краевом бюджете по Сводной бюджетной росписи), то в 2024 году количество разделов увеличилось до десяти (произведено 8 корректировок: 7 раз законодательно и 1 </w:t>
      </w:r>
      <w:r w:rsidR="000E4AF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в соответствии со Сводной бюджетной росписью).</w:t>
      </w:r>
    </w:p>
    <w:p w14:paraId="7641E53B" w14:textId="77777777" w:rsidR="00353702" w:rsidRPr="00E47AA9" w:rsidRDefault="00353702" w:rsidP="0035370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приложении 1 к заключению представлен анализ корректировок бюджетных назначений по разделам бюджетной классификации расходов краевого бюджета, а также итогов исполнения за 2024 год. </w:t>
      </w:r>
    </w:p>
    <w:p w14:paraId="5903F933" w14:textId="77777777" w:rsidR="00353702" w:rsidRPr="00E47AA9" w:rsidRDefault="00353702" w:rsidP="00353702">
      <w:pPr>
        <w:spacing w:after="0" w:line="240" w:lineRule="auto"/>
        <w:ind w:firstLine="709"/>
        <w:jc w:val="both"/>
        <w:rPr>
          <w:rFonts w:ascii="Times New Roman" w:eastAsia="Times New Roman" w:hAnsi="Times New Roman" w:cs="Times New Roman"/>
          <w:lang w:eastAsia="ru-RU"/>
        </w:rPr>
      </w:pPr>
      <w:r w:rsidRPr="00E47AA9">
        <w:rPr>
          <w:rFonts w:ascii="Times New Roman" w:eastAsia="Times New Roman" w:hAnsi="Times New Roman" w:cs="Times New Roman"/>
          <w:sz w:val="28"/>
          <w:szCs w:val="28"/>
          <w:lang w:eastAsia="ru-RU"/>
        </w:rPr>
        <w:t>Исполнение краевого бюджета за отчетный год по разделам классификации расходов представлено в таблице.</w:t>
      </w:r>
      <w:r w:rsidRPr="00E47AA9">
        <w:rPr>
          <w:rFonts w:ascii="Times New Roman" w:eastAsia="Times New Roman" w:hAnsi="Times New Roman" w:cs="Times New Roman"/>
          <w:lang w:eastAsia="ru-RU"/>
        </w:rPr>
        <w:t xml:space="preserve"> </w:t>
      </w:r>
    </w:p>
    <w:tbl>
      <w:tblPr>
        <w:tblW w:w="9747"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409"/>
        <w:gridCol w:w="1242"/>
        <w:gridCol w:w="885"/>
        <w:gridCol w:w="344"/>
        <w:gridCol w:w="931"/>
        <w:gridCol w:w="850"/>
        <w:gridCol w:w="958"/>
        <w:gridCol w:w="1560"/>
      </w:tblGrid>
      <w:tr w:rsidR="00E47AA9" w:rsidRPr="00E47AA9" w14:paraId="66E6C9C5" w14:textId="77777777" w:rsidTr="00353702">
        <w:trPr>
          <w:trHeight w:val="219"/>
          <w:tblHeader/>
        </w:trPr>
        <w:tc>
          <w:tcPr>
            <w:tcW w:w="568" w:type="dxa"/>
            <w:tcBorders>
              <w:top w:val="nil"/>
              <w:left w:val="nil"/>
              <w:bottom w:val="single" w:sz="4" w:space="0" w:color="auto"/>
              <w:right w:val="nil"/>
            </w:tcBorders>
            <w:shd w:val="clear" w:color="auto" w:fill="auto"/>
            <w:vAlign w:val="center"/>
          </w:tcPr>
          <w:p w14:paraId="087C019B"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p>
        </w:tc>
        <w:tc>
          <w:tcPr>
            <w:tcW w:w="2409" w:type="dxa"/>
            <w:tcBorders>
              <w:top w:val="nil"/>
              <w:left w:val="nil"/>
              <w:bottom w:val="single" w:sz="4" w:space="0" w:color="auto"/>
              <w:right w:val="nil"/>
            </w:tcBorders>
            <w:shd w:val="clear" w:color="auto" w:fill="auto"/>
            <w:vAlign w:val="center"/>
          </w:tcPr>
          <w:p w14:paraId="18565640"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p>
        </w:tc>
        <w:tc>
          <w:tcPr>
            <w:tcW w:w="2127" w:type="dxa"/>
            <w:gridSpan w:val="2"/>
            <w:tcBorders>
              <w:top w:val="nil"/>
              <w:left w:val="nil"/>
              <w:bottom w:val="single" w:sz="4" w:space="0" w:color="auto"/>
              <w:right w:val="nil"/>
            </w:tcBorders>
            <w:shd w:val="clear" w:color="auto" w:fill="auto"/>
            <w:vAlign w:val="center"/>
          </w:tcPr>
          <w:p w14:paraId="43379EE8"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p>
        </w:tc>
        <w:tc>
          <w:tcPr>
            <w:tcW w:w="344" w:type="dxa"/>
            <w:tcBorders>
              <w:top w:val="nil"/>
              <w:left w:val="nil"/>
              <w:bottom w:val="single" w:sz="4" w:space="0" w:color="auto"/>
              <w:right w:val="nil"/>
            </w:tcBorders>
          </w:tcPr>
          <w:p w14:paraId="47D7F2F6"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p>
        </w:tc>
        <w:tc>
          <w:tcPr>
            <w:tcW w:w="2739" w:type="dxa"/>
            <w:gridSpan w:val="3"/>
            <w:tcBorders>
              <w:top w:val="nil"/>
              <w:left w:val="nil"/>
              <w:bottom w:val="single" w:sz="4" w:space="0" w:color="auto"/>
              <w:right w:val="nil"/>
            </w:tcBorders>
            <w:shd w:val="clear" w:color="auto" w:fill="auto"/>
            <w:vAlign w:val="center"/>
          </w:tcPr>
          <w:p w14:paraId="4290A88D"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p>
        </w:tc>
        <w:tc>
          <w:tcPr>
            <w:tcW w:w="1560" w:type="dxa"/>
            <w:tcBorders>
              <w:top w:val="nil"/>
              <w:left w:val="nil"/>
              <w:bottom w:val="single" w:sz="4" w:space="0" w:color="auto"/>
              <w:right w:val="nil"/>
            </w:tcBorders>
            <w:shd w:val="clear" w:color="auto" w:fill="auto"/>
            <w:vAlign w:val="center"/>
          </w:tcPr>
          <w:p w14:paraId="429EF341" w14:textId="77777777" w:rsidR="00353702" w:rsidRPr="00E47AA9" w:rsidRDefault="00353702" w:rsidP="00353702">
            <w:pPr>
              <w:spacing w:after="0" w:line="240" w:lineRule="auto"/>
              <w:ind w:right="-108"/>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12671B62" w14:textId="77777777" w:rsidTr="00353702">
        <w:trPr>
          <w:trHeight w:val="411"/>
          <w:tblHeader/>
        </w:trPr>
        <w:tc>
          <w:tcPr>
            <w:tcW w:w="568" w:type="dxa"/>
            <w:vMerge w:val="restart"/>
            <w:tcBorders>
              <w:top w:val="single" w:sz="4" w:space="0" w:color="auto"/>
            </w:tcBorders>
            <w:shd w:val="clear" w:color="auto" w:fill="auto"/>
            <w:vAlign w:val="center"/>
            <w:hideMark/>
          </w:tcPr>
          <w:p w14:paraId="3ED77D82"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proofErr w:type="spellStart"/>
            <w:r w:rsidRPr="00E47AA9">
              <w:rPr>
                <w:rFonts w:ascii="Times New Roman" w:eastAsia="Times New Roman" w:hAnsi="Times New Roman" w:cs="Times New Roman"/>
                <w:sz w:val="20"/>
                <w:szCs w:val="20"/>
                <w:lang w:eastAsia="ru-RU"/>
              </w:rPr>
              <w:t>Рз</w:t>
            </w:r>
            <w:proofErr w:type="spellEnd"/>
          </w:p>
        </w:tc>
        <w:tc>
          <w:tcPr>
            <w:tcW w:w="2409" w:type="dxa"/>
            <w:vMerge w:val="restart"/>
            <w:tcBorders>
              <w:top w:val="single" w:sz="4" w:space="0" w:color="auto"/>
            </w:tcBorders>
            <w:shd w:val="clear" w:color="auto" w:fill="auto"/>
            <w:vAlign w:val="center"/>
            <w:hideMark/>
          </w:tcPr>
          <w:p w14:paraId="6BF6B020"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раздела</w:t>
            </w:r>
          </w:p>
        </w:tc>
        <w:tc>
          <w:tcPr>
            <w:tcW w:w="2127" w:type="dxa"/>
            <w:gridSpan w:val="2"/>
            <w:tcBorders>
              <w:top w:val="single" w:sz="4" w:space="0" w:color="auto"/>
            </w:tcBorders>
            <w:shd w:val="clear" w:color="auto" w:fill="auto"/>
            <w:vAlign w:val="center"/>
            <w:hideMark/>
          </w:tcPr>
          <w:p w14:paraId="71CFBBE6"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Уточненные бюджетные назначения </w:t>
            </w:r>
          </w:p>
          <w:p w14:paraId="4968658F"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 2024 год</w:t>
            </w:r>
          </w:p>
        </w:tc>
        <w:tc>
          <w:tcPr>
            <w:tcW w:w="3083" w:type="dxa"/>
            <w:gridSpan w:val="4"/>
            <w:tcBorders>
              <w:top w:val="single" w:sz="4" w:space="0" w:color="auto"/>
            </w:tcBorders>
            <w:shd w:val="clear" w:color="auto" w:fill="auto"/>
            <w:vAlign w:val="center"/>
            <w:hideMark/>
          </w:tcPr>
          <w:p w14:paraId="450CF44B"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Исполнено </w:t>
            </w:r>
          </w:p>
          <w:p w14:paraId="1D04B6D1"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за 2024 год</w:t>
            </w:r>
          </w:p>
        </w:tc>
        <w:tc>
          <w:tcPr>
            <w:tcW w:w="1560" w:type="dxa"/>
            <w:vMerge w:val="restart"/>
            <w:tcBorders>
              <w:top w:val="single" w:sz="4" w:space="0" w:color="auto"/>
            </w:tcBorders>
            <w:shd w:val="clear" w:color="auto" w:fill="auto"/>
            <w:vAlign w:val="center"/>
            <w:hideMark/>
          </w:tcPr>
          <w:p w14:paraId="58E63409" w14:textId="77777777" w:rsidR="00353702" w:rsidRPr="00E47AA9" w:rsidRDefault="00353702" w:rsidP="00353702">
            <w:pPr>
              <w:spacing w:after="0" w:line="240" w:lineRule="auto"/>
              <w:ind w:right="-108"/>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Неисполненные уточненные бюджетные назначения</w:t>
            </w:r>
          </w:p>
        </w:tc>
      </w:tr>
      <w:tr w:rsidR="00E47AA9" w:rsidRPr="00E47AA9" w14:paraId="6B54A464" w14:textId="77777777" w:rsidTr="00353702">
        <w:trPr>
          <w:trHeight w:val="280"/>
          <w:tblHeader/>
        </w:trPr>
        <w:tc>
          <w:tcPr>
            <w:tcW w:w="568" w:type="dxa"/>
            <w:vMerge/>
            <w:vAlign w:val="center"/>
            <w:hideMark/>
          </w:tcPr>
          <w:p w14:paraId="1892377A" w14:textId="77777777" w:rsidR="00353702" w:rsidRPr="00E47AA9" w:rsidRDefault="00353702" w:rsidP="00353702">
            <w:pPr>
              <w:spacing w:after="0" w:line="240" w:lineRule="auto"/>
              <w:rPr>
                <w:rFonts w:ascii="Times New Roman" w:eastAsia="Times New Roman" w:hAnsi="Times New Roman" w:cs="Times New Roman"/>
                <w:sz w:val="20"/>
                <w:szCs w:val="20"/>
                <w:lang w:eastAsia="ru-RU"/>
              </w:rPr>
            </w:pPr>
          </w:p>
        </w:tc>
        <w:tc>
          <w:tcPr>
            <w:tcW w:w="2409" w:type="dxa"/>
            <w:vMerge/>
            <w:vAlign w:val="center"/>
            <w:hideMark/>
          </w:tcPr>
          <w:p w14:paraId="3C66F1A0" w14:textId="77777777" w:rsidR="00353702" w:rsidRPr="00E47AA9" w:rsidRDefault="00353702" w:rsidP="00353702">
            <w:pPr>
              <w:spacing w:after="0" w:line="240" w:lineRule="auto"/>
              <w:rPr>
                <w:rFonts w:ascii="Times New Roman" w:eastAsia="Times New Roman" w:hAnsi="Times New Roman" w:cs="Times New Roman"/>
                <w:sz w:val="20"/>
                <w:szCs w:val="20"/>
                <w:lang w:eastAsia="ru-RU"/>
              </w:rPr>
            </w:pPr>
          </w:p>
        </w:tc>
        <w:tc>
          <w:tcPr>
            <w:tcW w:w="1242" w:type="dxa"/>
            <w:shd w:val="clear" w:color="auto" w:fill="auto"/>
            <w:vAlign w:val="center"/>
            <w:hideMark/>
          </w:tcPr>
          <w:p w14:paraId="54506AB4"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885" w:type="dxa"/>
            <w:vAlign w:val="center"/>
          </w:tcPr>
          <w:p w14:paraId="2C1A6497" w14:textId="77777777" w:rsidR="00353702" w:rsidRPr="00E47AA9" w:rsidRDefault="00353702" w:rsidP="00353702">
            <w:pPr>
              <w:spacing w:after="0" w:line="240" w:lineRule="auto"/>
              <w:jc w:val="center"/>
              <w:rPr>
                <w:rFonts w:ascii="Times New Roman" w:eastAsia="Times New Roman" w:hAnsi="Times New Roman" w:cs="Times New Roman"/>
                <w:i/>
                <w:sz w:val="20"/>
                <w:szCs w:val="20"/>
                <w:lang w:eastAsia="ru-RU"/>
              </w:rPr>
            </w:pPr>
            <w:r w:rsidRPr="00E47AA9">
              <w:rPr>
                <w:rFonts w:ascii="Times New Roman" w:eastAsia="Times New Roman" w:hAnsi="Times New Roman" w:cs="Times New Roman"/>
                <w:i/>
                <w:sz w:val="20"/>
                <w:szCs w:val="20"/>
                <w:lang w:eastAsia="ru-RU"/>
              </w:rPr>
              <w:t>доля (%)</w:t>
            </w:r>
          </w:p>
        </w:tc>
        <w:tc>
          <w:tcPr>
            <w:tcW w:w="1275" w:type="dxa"/>
            <w:gridSpan w:val="2"/>
            <w:shd w:val="clear" w:color="auto" w:fill="auto"/>
            <w:vAlign w:val="center"/>
            <w:hideMark/>
          </w:tcPr>
          <w:p w14:paraId="0B91CF99"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850" w:type="dxa"/>
            <w:shd w:val="clear" w:color="auto" w:fill="auto"/>
            <w:vAlign w:val="center"/>
            <w:hideMark/>
          </w:tcPr>
          <w:p w14:paraId="73D5D2C8"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bookmarkStart w:id="15" w:name="RANGE!E4"/>
            <w:r w:rsidRPr="00E47AA9">
              <w:rPr>
                <w:rFonts w:ascii="Times New Roman" w:eastAsia="Times New Roman" w:hAnsi="Times New Roman" w:cs="Times New Roman"/>
                <w:sz w:val="20"/>
                <w:szCs w:val="20"/>
                <w:lang w:eastAsia="ru-RU"/>
              </w:rPr>
              <w:t>%</w:t>
            </w:r>
            <w:bookmarkEnd w:id="15"/>
            <w:r w:rsidRPr="00E47AA9">
              <w:rPr>
                <w:rFonts w:ascii="Times New Roman" w:eastAsia="Times New Roman" w:hAnsi="Times New Roman" w:cs="Times New Roman"/>
                <w:sz w:val="20"/>
                <w:szCs w:val="20"/>
                <w:vertAlign w:val="superscript"/>
                <w:lang w:eastAsia="ru-RU"/>
              </w:rPr>
              <w:footnoteReference w:id="26"/>
            </w:r>
          </w:p>
        </w:tc>
        <w:tc>
          <w:tcPr>
            <w:tcW w:w="958" w:type="dxa"/>
            <w:shd w:val="clear" w:color="auto" w:fill="auto"/>
            <w:vAlign w:val="center"/>
            <w:hideMark/>
          </w:tcPr>
          <w:p w14:paraId="6D043751" w14:textId="77777777" w:rsidR="00353702" w:rsidRPr="00E47AA9" w:rsidRDefault="00353702" w:rsidP="00353702">
            <w:pPr>
              <w:spacing w:after="0" w:line="240" w:lineRule="auto"/>
              <w:ind w:right="-108"/>
              <w:jc w:val="center"/>
              <w:rPr>
                <w:rFonts w:ascii="Times New Roman" w:eastAsia="Times New Roman" w:hAnsi="Times New Roman" w:cs="Times New Roman"/>
                <w:i/>
                <w:sz w:val="20"/>
                <w:szCs w:val="20"/>
                <w:lang w:eastAsia="ru-RU"/>
              </w:rPr>
            </w:pPr>
            <w:r w:rsidRPr="00E47AA9">
              <w:rPr>
                <w:rFonts w:ascii="Times New Roman" w:eastAsia="Times New Roman" w:hAnsi="Times New Roman" w:cs="Times New Roman"/>
                <w:i/>
                <w:sz w:val="20"/>
                <w:szCs w:val="20"/>
                <w:lang w:eastAsia="ru-RU"/>
              </w:rPr>
              <w:t>доля (%)</w:t>
            </w:r>
          </w:p>
        </w:tc>
        <w:tc>
          <w:tcPr>
            <w:tcW w:w="1560" w:type="dxa"/>
            <w:vMerge/>
            <w:vAlign w:val="center"/>
            <w:hideMark/>
          </w:tcPr>
          <w:p w14:paraId="55CB1795" w14:textId="77777777" w:rsidR="00353702" w:rsidRPr="00E47AA9" w:rsidRDefault="00353702" w:rsidP="00353702">
            <w:pPr>
              <w:spacing w:after="0" w:line="240" w:lineRule="auto"/>
              <w:rPr>
                <w:rFonts w:ascii="Times New Roman" w:eastAsia="Times New Roman" w:hAnsi="Times New Roman" w:cs="Times New Roman"/>
                <w:sz w:val="20"/>
                <w:szCs w:val="20"/>
                <w:lang w:eastAsia="ru-RU"/>
              </w:rPr>
            </w:pPr>
          </w:p>
        </w:tc>
      </w:tr>
      <w:tr w:rsidR="00E47AA9" w:rsidRPr="00E47AA9" w14:paraId="609ECBC5" w14:textId="77777777" w:rsidTr="00353702">
        <w:trPr>
          <w:trHeight w:val="155"/>
        </w:trPr>
        <w:tc>
          <w:tcPr>
            <w:tcW w:w="568" w:type="dxa"/>
            <w:tcBorders>
              <w:top w:val="single" w:sz="4" w:space="0" w:color="auto"/>
              <w:bottom w:val="single" w:sz="4" w:space="0" w:color="auto"/>
              <w:right w:val="single" w:sz="4" w:space="0" w:color="auto"/>
            </w:tcBorders>
            <w:shd w:val="clear" w:color="auto" w:fill="auto"/>
            <w:vAlign w:val="bottom"/>
            <w:hideMark/>
          </w:tcPr>
          <w:p w14:paraId="2933746F"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01</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14:paraId="36069394"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Общегосударственные вопросы</w:t>
            </w:r>
          </w:p>
        </w:tc>
        <w:tc>
          <w:tcPr>
            <w:tcW w:w="1242" w:type="dxa"/>
            <w:tcBorders>
              <w:top w:val="single" w:sz="4" w:space="0" w:color="auto"/>
              <w:left w:val="single" w:sz="4" w:space="0" w:color="auto"/>
              <w:bottom w:val="single" w:sz="4" w:space="0" w:color="auto"/>
              <w:right w:val="single" w:sz="4" w:space="0" w:color="auto"/>
            </w:tcBorders>
            <w:shd w:val="clear" w:color="auto" w:fill="auto"/>
            <w:vAlign w:val="bottom"/>
          </w:tcPr>
          <w:p w14:paraId="355852A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9 722,07</w:t>
            </w:r>
          </w:p>
        </w:tc>
        <w:tc>
          <w:tcPr>
            <w:tcW w:w="885" w:type="dxa"/>
            <w:tcBorders>
              <w:top w:val="single" w:sz="4" w:space="0" w:color="auto"/>
              <w:left w:val="nil"/>
              <w:bottom w:val="single" w:sz="4" w:space="0" w:color="auto"/>
              <w:right w:val="single" w:sz="4" w:space="0" w:color="auto"/>
            </w:tcBorders>
            <w:shd w:val="clear" w:color="auto" w:fill="auto"/>
            <w:vAlign w:val="bottom"/>
          </w:tcPr>
          <w:p w14:paraId="1867D239"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3,96</w:t>
            </w:r>
          </w:p>
        </w:tc>
        <w:tc>
          <w:tcPr>
            <w:tcW w:w="1275" w:type="dxa"/>
            <w:gridSpan w:val="2"/>
            <w:tcBorders>
              <w:top w:val="single" w:sz="4" w:space="0" w:color="auto"/>
              <w:left w:val="nil"/>
              <w:bottom w:val="single" w:sz="4" w:space="0" w:color="auto"/>
              <w:right w:val="single" w:sz="4" w:space="0" w:color="auto"/>
            </w:tcBorders>
            <w:shd w:val="clear" w:color="auto" w:fill="auto"/>
            <w:vAlign w:val="bottom"/>
          </w:tcPr>
          <w:p w14:paraId="61F88A5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9 429,16</w:t>
            </w:r>
          </w:p>
        </w:tc>
        <w:tc>
          <w:tcPr>
            <w:tcW w:w="850" w:type="dxa"/>
            <w:tcBorders>
              <w:top w:val="single" w:sz="4" w:space="0" w:color="auto"/>
              <w:left w:val="nil"/>
              <w:bottom w:val="single" w:sz="4" w:space="0" w:color="auto"/>
              <w:right w:val="single" w:sz="4" w:space="0" w:color="auto"/>
            </w:tcBorders>
            <w:shd w:val="clear" w:color="auto" w:fill="auto"/>
            <w:vAlign w:val="bottom"/>
          </w:tcPr>
          <w:p w14:paraId="16E0A100"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96,99</w:t>
            </w:r>
          </w:p>
        </w:tc>
        <w:tc>
          <w:tcPr>
            <w:tcW w:w="958" w:type="dxa"/>
            <w:tcBorders>
              <w:top w:val="single" w:sz="4" w:space="0" w:color="auto"/>
              <w:left w:val="nil"/>
              <w:bottom w:val="single" w:sz="4" w:space="0" w:color="auto"/>
              <w:right w:val="single" w:sz="4" w:space="0" w:color="auto"/>
            </w:tcBorders>
            <w:shd w:val="clear" w:color="auto" w:fill="auto"/>
            <w:vAlign w:val="bottom"/>
          </w:tcPr>
          <w:p w14:paraId="428D2B9B"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3,98</w:t>
            </w:r>
          </w:p>
        </w:tc>
        <w:tc>
          <w:tcPr>
            <w:tcW w:w="1560" w:type="dxa"/>
            <w:tcBorders>
              <w:top w:val="single" w:sz="4" w:space="0" w:color="auto"/>
              <w:left w:val="nil"/>
              <w:bottom w:val="single" w:sz="4" w:space="0" w:color="auto"/>
              <w:right w:val="single" w:sz="4" w:space="0" w:color="auto"/>
            </w:tcBorders>
            <w:shd w:val="clear" w:color="auto" w:fill="auto"/>
            <w:vAlign w:val="bottom"/>
          </w:tcPr>
          <w:p w14:paraId="3CCEB266"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292,91</w:t>
            </w:r>
          </w:p>
        </w:tc>
      </w:tr>
      <w:tr w:rsidR="00E47AA9" w:rsidRPr="00E47AA9" w14:paraId="02065D5E" w14:textId="77777777" w:rsidTr="00353702">
        <w:trPr>
          <w:trHeight w:val="272"/>
        </w:trPr>
        <w:tc>
          <w:tcPr>
            <w:tcW w:w="568" w:type="dxa"/>
            <w:tcBorders>
              <w:top w:val="single" w:sz="4" w:space="0" w:color="auto"/>
              <w:bottom w:val="single" w:sz="4" w:space="0" w:color="auto"/>
              <w:right w:val="single" w:sz="4" w:space="0" w:color="auto"/>
            </w:tcBorders>
            <w:shd w:val="clear" w:color="auto" w:fill="auto"/>
            <w:vAlign w:val="bottom"/>
            <w:hideMark/>
          </w:tcPr>
          <w:p w14:paraId="46FC20CE"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lastRenderedPageBreak/>
              <w:t>02</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14:paraId="51834950"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Национальная оборона</w:t>
            </w:r>
          </w:p>
        </w:tc>
        <w:tc>
          <w:tcPr>
            <w:tcW w:w="1242" w:type="dxa"/>
            <w:tcBorders>
              <w:top w:val="nil"/>
              <w:left w:val="single" w:sz="4" w:space="0" w:color="auto"/>
              <w:bottom w:val="single" w:sz="4" w:space="0" w:color="auto"/>
              <w:right w:val="single" w:sz="4" w:space="0" w:color="auto"/>
            </w:tcBorders>
            <w:shd w:val="clear" w:color="auto" w:fill="auto"/>
            <w:vAlign w:val="bottom"/>
          </w:tcPr>
          <w:p w14:paraId="34A0710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2 346,71</w:t>
            </w:r>
          </w:p>
        </w:tc>
        <w:tc>
          <w:tcPr>
            <w:tcW w:w="885" w:type="dxa"/>
            <w:tcBorders>
              <w:top w:val="nil"/>
              <w:left w:val="nil"/>
              <w:bottom w:val="single" w:sz="4" w:space="0" w:color="auto"/>
              <w:right w:val="single" w:sz="4" w:space="0" w:color="auto"/>
            </w:tcBorders>
            <w:shd w:val="clear" w:color="auto" w:fill="auto"/>
            <w:vAlign w:val="bottom"/>
          </w:tcPr>
          <w:p w14:paraId="0A1D1A20"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0,96</w:t>
            </w:r>
          </w:p>
        </w:tc>
        <w:tc>
          <w:tcPr>
            <w:tcW w:w="1275" w:type="dxa"/>
            <w:gridSpan w:val="2"/>
            <w:tcBorders>
              <w:top w:val="nil"/>
              <w:left w:val="nil"/>
              <w:bottom w:val="single" w:sz="4" w:space="0" w:color="auto"/>
              <w:right w:val="single" w:sz="4" w:space="0" w:color="auto"/>
            </w:tcBorders>
            <w:shd w:val="clear" w:color="auto" w:fill="auto"/>
            <w:vAlign w:val="bottom"/>
          </w:tcPr>
          <w:p w14:paraId="197FE56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2 346,71</w:t>
            </w:r>
          </w:p>
        </w:tc>
        <w:tc>
          <w:tcPr>
            <w:tcW w:w="850" w:type="dxa"/>
            <w:tcBorders>
              <w:top w:val="nil"/>
              <w:left w:val="nil"/>
              <w:bottom w:val="single" w:sz="4" w:space="0" w:color="auto"/>
              <w:right w:val="single" w:sz="4" w:space="0" w:color="auto"/>
            </w:tcBorders>
            <w:shd w:val="clear" w:color="auto" w:fill="auto"/>
            <w:vAlign w:val="bottom"/>
          </w:tcPr>
          <w:p w14:paraId="5A90D84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100,00</w:t>
            </w:r>
          </w:p>
        </w:tc>
        <w:tc>
          <w:tcPr>
            <w:tcW w:w="958" w:type="dxa"/>
            <w:tcBorders>
              <w:top w:val="nil"/>
              <w:left w:val="nil"/>
              <w:bottom w:val="single" w:sz="4" w:space="0" w:color="auto"/>
              <w:right w:val="single" w:sz="4" w:space="0" w:color="auto"/>
            </w:tcBorders>
            <w:shd w:val="clear" w:color="auto" w:fill="auto"/>
            <w:vAlign w:val="bottom"/>
          </w:tcPr>
          <w:p w14:paraId="01C68559"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0,99</w:t>
            </w:r>
          </w:p>
        </w:tc>
        <w:tc>
          <w:tcPr>
            <w:tcW w:w="1560" w:type="dxa"/>
            <w:tcBorders>
              <w:top w:val="nil"/>
              <w:left w:val="nil"/>
              <w:bottom w:val="single" w:sz="4" w:space="0" w:color="auto"/>
              <w:right w:val="single" w:sz="4" w:space="0" w:color="auto"/>
            </w:tcBorders>
            <w:shd w:val="clear" w:color="auto" w:fill="auto"/>
            <w:vAlign w:val="bottom"/>
          </w:tcPr>
          <w:p w14:paraId="37F6617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3D5DF812" w14:textId="77777777" w:rsidTr="00353702">
        <w:trPr>
          <w:trHeight w:val="510"/>
        </w:trPr>
        <w:tc>
          <w:tcPr>
            <w:tcW w:w="568" w:type="dxa"/>
            <w:tcBorders>
              <w:top w:val="single" w:sz="4" w:space="0" w:color="auto"/>
              <w:bottom w:val="single" w:sz="4" w:space="0" w:color="auto"/>
              <w:right w:val="single" w:sz="4" w:space="0" w:color="auto"/>
            </w:tcBorders>
            <w:shd w:val="clear" w:color="auto" w:fill="auto"/>
            <w:vAlign w:val="bottom"/>
            <w:hideMark/>
          </w:tcPr>
          <w:p w14:paraId="493893AC"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03</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14:paraId="1A8613FE"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Национальная безопасность и правоохранительная деятельность</w:t>
            </w:r>
          </w:p>
        </w:tc>
        <w:tc>
          <w:tcPr>
            <w:tcW w:w="1242" w:type="dxa"/>
            <w:tcBorders>
              <w:top w:val="nil"/>
              <w:left w:val="single" w:sz="4" w:space="0" w:color="auto"/>
              <w:bottom w:val="single" w:sz="4" w:space="0" w:color="auto"/>
              <w:right w:val="single" w:sz="4" w:space="0" w:color="auto"/>
            </w:tcBorders>
            <w:shd w:val="clear" w:color="auto" w:fill="auto"/>
            <w:vAlign w:val="bottom"/>
          </w:tcPr>
          <w:p w14:paraId="24B9ADF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4 964,53</w:t>
            </w:r>
          </w:p>
        </w:tc>
        <w:tc>
          <w:tcPr>
            <w:tcW w:w="885" w:type="dxa"/>
            <w:tcBorders>
              <w:top w:val="nil"/>
              <w:left w:val="nil"/>
              <w:bottom w:val="single" w:sz="4" w:space="0" w:color="auto"/>
              <w:right w:val="single" w:sz="4" w:space="0" w:color="auto"/>
            </w:tcBorders>
            <w:shd w:val="clear" w:color="auto" w:fill="auto"/>
            <w:vAlign w:val="bottom"/>
          </w:tcPr>
          <w:p w14:paraId="0253F3DD"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2,02</w:t>
            </w:r>
          </w:p>
        </w:tc>
        <w:tc>
          <w:tcPr>
            <w:tcW w:w="1275" w:type="dxa"/>
            <w:gridSpan w:val="2"/>
            <w:tcBorders>
              <w:top w:val="nil"/>
              <w:left w:val="nil"/>
              <w:bottom w:val="single" w:sz="4" w:space="0" w:color="auto"/>
              <w:right w:val="single" w:sz="4" w:space="0" w:color="auto"/>
            </w:tcBorders>
            <w:shd w:val="clear" w:color="auto" w:fill="auto"/>
            <w:vAlign w:val="bottom"/>
          </w:tcPr>
          <w:p w14:paraId="69BF26EC"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4 950,65</w:t>
            </w:r>
          </w:p>
        </w:tc>
        <w:tc>
          <w:tcPr>
            <w:tcW w:w="850" w:type="dxa"/>
            <w:tcBorders>
              <w:top w:val="nil"/>
              <w:left w:val="nil"/>
              <w:bottom w:val="single" w:sz="4" w:space="0" w:color="auto"/>
              <w:right w:val="single" w:sz="4" w:space="0" w:color="auto"/>
            </w:tcBorders>
            <w:shd w:val="clear" w:color="auto" w:fill="auto"/>
            <w:vAlign w:val="bottom"/>
          </w:tcPr>
          <w:p w14:paraId="65450A1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99,72</w:t>
            </w:r>
          </w:p>
        </w:tc>
        <w:tc>
          <w:tcPr>
            <w:tcW w:w="958" w:type="dxa"/>
            <w:tcBorders>
              <w:top w:val="nil"/>
              <w:left w:val="nil"/>
              <w:bottom w:val="single" w:sz="4" w:space="0" w:color="auto"/>
              <w:right w:val="single" w:sz="4" w:space="0" w:color="auto"/>
            </w:tcBorders>
            <w:shd w:val="clear" w:color="auto" w:fill="auto"/>
            <w:vAlign w:val="bottom"/>
          </w:tcPr>
          <w:p w14:paraId="24A03952"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2,09</w:t>
            </w:r>
          </w:p>
        </w:tc>
        <w:tc>
          <w:tcPr>
            <w:tcW w:w="1560" w:type="dxa"/>
            <w:tcBorders>
              <w:top w:val="nil"/>
              <w:left w:val="nil"/>
              <w:bottom w:val="single" w:sz="4" w:space="0" w:color="auto"/>
              <w:right w:val="single" w:sz="4" w:space="0" w:color="auto"/>
            </w:tcBorders>
            <w:shd w:val="clear" w:color="auto" w:fill="auto"/>
            <w:vAlign w:val="bottom"/>
          </w:tcPr>
          <w:p w14:paraId="31C3BE0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13,88</w:t>
            </w:r>
          </w:p>
        </w:tc>
      </w:tr>
      <w:tr w:rsidR="00E47AA9" w:rsidRPr="00E47AA9" w14:paraId="0D942B2D" w14:textId="77777777" w:rsidTr="00353702">
        <w:trPr>
          <w:trHeight w:val="255"/>
        </w:trPr>
        <w:tc>
          <w:tcPr>
            <w:tcW w:w="568" w:type="dxa"/>
            <w:tcBorders>
              <w:top w:val="single" w:sz="4" w:space="0" w:color="auto"/>
              <w:bottom w:val="single" w:sz="4" w:space="0" w:color="auto"/>
              <w:right w:val="single" w:sz="4" w:space="0" w:color="auto"/>
            </w:tcBorders>
            <w:shd w:val="clear" w:color="auto" w:fill="auto"/>
            <w:vAlign w:val="bottom"/>
            <w:hideMark/>
          </w:tcPr>
          <w:p w14:paraId="5902A919"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04</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14:paraId="561E06C3"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Национальная экономика</w:t>
            </w:r>
          </w:p>
        </w:tc>
        <w:tc>
          <w:tcPr>
            <w:tcW w:w="1242" w:type="dxa"/>
            <w:tcBorders>
              <w:top w:val="nil"/>
              <w:left w:val="single" w:sz="4" w:space="0" w:color="auto"/>
              <w:bottom w:val="single" w:sz="4" w:space="0" w:color="auto"/>
              <w:right w:val="single" w:sz="4" w:space="0" w:color="auto"/>
            </w:tcBorders>
            <w:shd w:val="clear" w:color="auto" w:fill="auto"/>
            <w:vAlign w:val="bottom"/>
          </w:tcPr>
          <w:p w14:paraId="58F6492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48 623,92</w:t>
            </w:r>
          </w:p>
        </w:tc>
        <w:tc>
          <w:tcPr>
            <w:tcW w:w="885" w:type="dxa"/>
            <w:tcBorders>
              <w:top w:val="nil"/>
              <w:left w:val="nil"/>
              <w:bottom w:val="single" w:sz="4" w:space="0" w:color="auto"/>
              <w:right w:val="single" w:sz="4" w:space="0" w:color="auto"/>
            </w:tcBorders>
            <w:shd w:val="clear" w:color="auto" w:fill="auto"/>
            <w:vAlign w:val="bottom"/>
          </w:tcPr>
          <w:p w14:paraId="7B60F644"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19,79</w:t>
            </w:r>
          </w:p>
        </w:tc>
        <w:tc>
          <w:tcPr>
            <w:tcW w:w="1275" w:type="dxa"/>
            <w:gridSpan w:val="2"/>
            <w:tcBorders>
              <w:top w:val="nil"/>
              <w:left w:val="nil"/>
              <w:bottom w:val="single" w:sz="4" w:space="0" w:color="auto"/>
              <w:right w:val="single" w:sz="4" w:space="0" w:color="auto"/>
            </w:tcBorders>
            <w:shd w:val="clear" w:color="auto" w:fill="auto"/>
            <w:vAlign w:val="bottom"/>
          </w:tcPr>
          <w:p w14:paraId="51D4892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44 974,74</w:t>
            </w:r>
          </w:p>
        </w:tc>
        <w:tc>
          <w:tcPr>
            <w:tcW w:w="850" w:type="dxa"/>
            <w:tcBorders>
              <w:top w:val="nil"/>
              <w:left w:val="nil"/>
              <w:bottom w:val="single" w:sz="4" w:space="0" w:color="auto"/>
              <w:right w:val="single" w:sz="4" w:space="0" w:color="auto"/>
            </w:tcBorders>
            <w:shd w:val="clear" w:color="auto" w:fill="auto"/>
            <w:vAlign w:val="bottom"/>
          </w:tcPr>
          <w:p w14:paraId="619DD60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92,50</w:t>
            </w:r>
          </w:p>
        </w:tc>
        <w:tc>
          <w:tcPr>
            <w:tcW w:w="958" w:type="dxa"/>
            <w:tcBorders>
              <w:top w:val="nil"/>
              <w:left w:val="nil"/>
              <w:bottom w:val="single" w:sz="4" w:space="0" w:color="auto"/>
              <w:right w:val="single" w:sz="4" w:space="0" w:color="auto"/>
            </w:tcBorders>
            <w:shd w:val="clear" w:color="auto" w:fill="auto"/>
            <w:vAlign w:val="bottom"/>
          </w:tcPr>
          <w:p w14:paraId="7F29EF30"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18,98</w:t>
            </w:r>
          </w:p>
        </w:tc>
        <w:tc>
          <w:tcPr>
            <w:tcW w:w="1560" w:type="dxa"/>
            <w:tcBorders>
              <w:top w:val="nil"/>
              <w:left w:val="nil"/>
              <w:bottom w:val="single" w:sz="4" w:space="0" w:color="auto"/>
              <w:right w:val="single" w:sz="4" w:space="0" w:color="auto"/>
            </w:tcBorders>
            <w:shd w:val="clear" w:color="auto" w:fill="auto"/>
            <w:vAlign w:val="bottom"/>
          </w:tcPr>
          <w:p w14:paraId="06C9FA4E"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3 649,18</w:t>
            </w:r>
          </w:p>
        </w:tc>
      </w:tr>
      <w:tr w:rsidR="00E47AA9" w:rsidRPr="00E47AA9" w14:paraId="7BB3ADD6" w14:textId="77777777" w:rsidTr="00353702">
        <w:trPr>
          <w:trHeight w:val="116"/>
        </w:trPr>
        <w:tc>
          <w:tcPr>
            <w:tcW w:w="568" w:type="dxa"/>
            <w:tcBorders>
              <w:top w:val="single" w:sz="4" w:space="0" w:color="auto"/>
              <w:bottom w:val="single" w:sz="4" w:space="0" w:color="auto"/>
              <w:right w:val="single" w:sz="4" w:space="0" w:color="auto"/>
            </w:tcBorders>
            <w:shd w:val="clear" w:color="auto" w:fill="auto"/>
            <w:vAlign w:val="bottom"/>
            <w:hideMark/>
          </w:tcPr>
          <w:p w14:paraId="0849109A"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05</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14:paraId="760EA0B6"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Жилищно-коммунальное хозяйство</w:t>
            </w:r>
          </w:p>
        </w:tc>
        <w:tc>
          <w:tcPr>
            <w:tcW w:w="1242" w:type="dxa"/>
            <w:tcBorders>
              <w:top w:val="nil"/>
              <w:left w:val="single" w:sz="4" w:space="0" w:color="auto"/>
              <w:bottom w:val="single" w:sz="4" w:space="0" w:color="auto"/>
              <w:right w:val="single" w:sz="4" w:space="0" w:color="auto"/>
            </w:tcBorders>
            <w:shd w:val="clear" w:color="auto" w:fill="auto"/>
            <w:vAlign w:val="bottom"/>
          </w:tcPr>
          <w:p w14:paraId="2A384BD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33 255,85</w:t>
            </w:r>
          </w:p>
        </w:tc>
        <w:tc>
          <w:tcPr>
            <w:tcW w:w="885" w:type="dxa"/>
            <w:tcBorders>
              <w:top w:val="nil"/>
              <w:left w:val="nil"/>
              <w:bottom w:val="single" w:sz="4" w:space="0" w:color="auto"/>
              <w:right w:val="single" w:sz="4" w:space="0" w:color="auto"/>
            </w:tcBorders>
            <w:shd w:val="clear" w:color="auto" w:fill="auto"/>
            <w:vAlign w:val="bottom"/>
          </w:tcPr>
          <w:p w14:paraId="4CC37743"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13,54</w:t>
            </w:r>
          </w:p>
        </w:tc>
        <w:tc>
          <w:tcPr>
            <w:tcW w:w="1275" w:type="dxa"/>
            <w:gridSpan w:val="2"/>
            <w:tcBorders>
              <w:top w:val="nil"/>
              <w:left w:val="nil"/>
              <w:bottom w:val="single" w:sz="4" w:space="0" w:color="auto"/>
              <w:right w:val="single" w:sz="4" w:space="0" w:color="auto"/>
            </w:tcBorders>
            <w:shd w:val="clear" w:color="auto" w:fill="auto"/>
            <w:vAlign w:val="bottom"/>
          </w:tcPr>
          <w:p w14:paraId="01C3299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31 793,84</w:t>
            </w:r>
          </w:p>
        </w:tc>
        <w:tc>
          <w:tcPr>
            <w:tcW w:w="850" w:type="dxa"/>
            <w:tcBorders>
              <w:top w:val="nil"/>
              <w:left w:val="nil"/>
              <w:bottom w:val="single" w:sz="4" w:space="0" w:color="auto"/>
              <w:right w:val="single" w:sz="4" w:space="0" w:color="auto"/>
            </w:tcBorders>
            <w:shd w:val="clear" w:color="auto" w:fill="auto"/>
            <w:vAlign w:val="bottom"/>
          </w:tcPr>
          <w:p w14:paraId="371F876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95,60</w:t>
            </w:r>
          </w:p>
        </w:tc>
        <w:tc>
          <w:tcPr>
            <w:tcW w:w="958" w:type="dxa"/>
            <w:tcBorders>
              <w:top w:val="nil"/>
              <w:left w:val="nil"/>
              <w:bottom w:val="single" w:sz="4" w:space="0" w:color="auto"/>
              <w:right w:val="single" w:sz="4" w:space="0" w:color="auto"/>
            </w:tcBorders>
            <w:shd w:val="clear" w:color="auto" w:fill="auto"/>
            <w:vAlign w:val="bottom"/>
          </w:tcPr>
          <w:p w14:paraId="4F9A7CCB"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13,42</w:t>
            </w:r>
          </w:p>
        </w:tc>
        <w:tc>
          <w:tcPr>
            <w:tcW w:w="1560" w:type="dxa"/>
            <w:tcBorders>
              <w:top w:val="nil"/>
              <w:left w:val="nil"/>
              <w:bottom w:val="single" w:sz="4" w:space="0" w:color="auto"/>
              <w:right w:val="single" w:sz="4" w:space="0" w:color="auto"/>
            </w:tcBorders>
            <w:shd w:val="clear" w:color="auto" w:fill="auto"/>
            <w:vAlign w:val="bottom"/>
          </w:tcPr>
          <w:p w14:paraId="74B26AA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1 462,01</w:t>
            </w:r>
          </w:p>
        </w:tc>
      </w:tr>
      <w:tr w:rsidR="00E47AA9" w:rsidRPr="00E47AA9" w14:paraId="462C9907" w14:textId="77777777" w:rsidTr="00353702">
        <w:trPr>
          <w:trHeight w:val="255"/>
        </w:trPr>
        <w:tc>
          <w:tcPr>
            <w:tcW w:w="568" w:type="dxa"/>
            <w:tcBorders>
              <w:top w:val="single" w:sz="4" w:space="0" w:color="auto"/>
              <w:bottom w:val="single" w:sz="4" w:space="0" w:color="auto"/>
              <w:right w:val="single" w:sz="4" w:space="0" w:color="auto"/>
            </w:tcBorders>
            <w:shd w:val="clear" w:color="auto" w:fill="auto"/>
            <w:vAlign w:val="bottom"/>
            <w:hideMark/>
          </w:tcPr>
          <w:p w14:paraId="3720EB18"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06</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14:paraId="04E7D768"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Охрана окружающей среды</w:t>
            </w:r>
          </w:p>
        </w:tc>
        <w:tc>
          <w:tcPr>
            <w:tcW w:w="1242" w:type="dxa"/>
            <w:tcBorders>
              <w:top w:val="nil"/>
              <w:left w:val="single" w:sz="4" w:space="0" w:color="auto"/>
              <w:bottom w:val="single" w:sz="4" w:space="0" w:color="auto"/>
              <w:right w:val="single" w:sz="4" w:space="0" w:color="auto"/>
            </w:tcBorders>
            <w:shd w:val="clear" w:color="auto" w:fill="auto"/>
            <w:vAlign w:val="bottom"/>
          </w:tcPr>
          <w:p w14:paraId="4D3F628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565,44</w:t>
            </w:r>
          </w:p>
        </w:tc>
        <w:tc>
          <w:tcPr>
            <w:tcW w:w="885" w:type="dxa"/>
            <w:tcBorders>
              <w:top w:val="nil"/>
              <w:left w:val="nil"/>
              <w:bottom w:val="single" w:sz="4" w:space="0" w:color="auto"/>
              <w:right w:val="single" w:sz="4" w:space="0" w:color="auto"/>
            </w:tcBorders>
            <w:shd w:val="clear" w:color="auto" w:fill="auto"/>
            <w:vAlign w:val="bottom"/>
          </w:tcPr>
          <w:p w14:paraId="13B3ECA0"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0,23</w:t>
            </w:r>
          </w:p>
        </w:tc>
        <w:tc>
          <w:tcPr>
            <w:tcW w:w="1275" w:type="dxa"/>
            <w:gridSpan w:val="2"/>
            <w:tcBorders>
              <w:top w:val="nil"/>
              <w:left w:val="nil"/>
              <w:bottom w:val="single" w:sz="4" w:space="0" w:color="auto"/>
              <w:right w:val="single" w:sz="4" w:space="0" w:color="auto"/>
            </w:tcBorders>
            <w:shd w:val="clear" w:color="auto" w:fill="auto"/>
            <w:vAlign w:val="bottom"/>
          </w:tcPr>
          <w:p w14:paraId="78897B3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490,23</w:t>
            </w:r>
          </w:p>
        </w:tc>
        <w:tc>
          <w:tcPr>
            <w:tcW w:w="850" w:type="dxa"/>
            <w:tcBorders>
              <w:top w:val="nil"/>
              <w:left w:val="nil"/>
              <w:bottom w:val="single" w:sz="4" w:space="0" w:color="auto"/>
              <w:right w:val="single" w:sz="4" w:space="0" w:color="auto"/>
            </w:tcBorders>
            <w:shd w:val="clear" w:color="auto" w:fill="auto"/>
            <w:vAlign w:val="bottom"/>
          </w:tcPr>
          <w:p w14:paraId="4D488C3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86,70</w:t>
            </w:r>
          </w:p>
        </w:tc>
        <w:tc>
          <w:tcPr>
            <w:tcW w:w="958" w:type="dxa"/>
            <w:tcBorders>
              <w:top w:val="nil"/>
              <w:left w:val="nil"/>
              <w:bottom w:val="single" w:sz="4" w:space="0" w:color="auto"/>
              <w:right w:val="single" w:sz="4" w:space="0" w:color="auto"/>
            </w:tcBorders>
            <w:shd w:val="clear" w:color="auto" w:fill="auto"/>
            <w:vAlign w:val="bottom"/>
          </w:tcPr>
          <w:p w14:paraId="73385D2A"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0,21</w:t>
            </w:r>
          </w:p>
        </w:tc>
        <w:tc>
          <w:tcPr>
            <w:tcW w:w="1560" w:type="dxa"/>
            <w:tcBorders>
              <w:top w:val="nil"/>
              <w:left w:val="nil"/>
              <w:bottom w:val="single" w:sz="4" w:space="0" w:color="auto"/>
              <w:right w:val="single" w:sz="4" w:space="0" w:color="auto"/>
            </w:tcBorders>
            <w:shd w:val="clear" w:color="auto" w:fill="auto"/>
            <w:vAlign w:val="bottom"/>
          </w:tcPr>
          <w:p w14:paraId="545B1B2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75,21</w:t>
            </w:r>
          </w:p>
        </w:tc>
      </w:tr>
      <w:tr w:rsidR="00E47AA9" w:rsidRPr="00E47AA9" w14:paraId="0B54A2C9" w14:textId="77777777" w:rsidTr="00353702">
        <w:trPr>
          <w:trHeight w:val="152"/>
        </w:trPr>
        <w:tc>
          <w:tcPr>
            <w:tcW w:w="568" w:type="dxa"/>
            <w:tcBorders>
              <w:top w:val="single" w:sz="4" w:space="0" w:color="auto"/>
              <w:bottom w:val="single" w:sz="4" w:space="0" w:color="auto"/>
              <w:right w:val="single" w:sz="4" w:space="0" w:color="auto"/>
            </w:tcBorders>
            <w:shd w:val="clear" w:color="auto" w:fill="auto"/>
            <w:vAlign w:val="bottom"/>
            <w:hideMark/>
          </w:tcPr>
          <w:p w14:paraId="37F78BCB"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07</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14:paraId="2EBAB3F4"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Образование</w:t>
            </w:r>
          </w:p>
        </w:tc>
        <w:tc>
          <w:tcPr>
            <w:tcW w:w="1242" w:type="dxa"/>
            <w:tcBorders>
              <w:top w:val="nil"/>
              <w:left w:val="single" w:sz="4" w:space="0" w:color="auto"/>
              <w:bottom w:val="single" w:sz="4" w:space="0" w:color="auto"/>
              <w:right w:val="single" w:sz="4" w:space="0" w:color="auto"/>
            </w:tcBorders>
            <w:shd w:val="clear" w:color="auto" w:fill="auto"/>
            <w:vAlign w:val="bottom"/>
          </w:tcPr>
          <w:p w14:paraId="4B965CE0"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49 756,79</w:t>
            </w:r>
          </w:p>
        </w:tc>
        <w:tc>
          <w:tcPr>
            <w:tcW w:w="885" w:type="dxa"/>
            <w:tcBorders>
              <w:top w:val="nil"/>
              <w:left w:val="nil"/>
              <w:bottom w:val="single" w:sz="4" w:space="0" w:color="auto"/>
              <w:right w:val="single" w:sz="4" w:space="0" w:color="auto"/>
            </w:tcBorders>
            <w:shd w:val="clear" w:color="auto" w:fill="auto"/>
            <w:vAlign w:val="bottom"/>
          </w:tcPr>
          <w:p w14:paraId="6275D0EB"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20,25</w:t>
            </w:r>
          </w:p>
        </w:tc>
        <w:tc>
          <w:tcPr>
            <w:tcW w:w="1275" w:type="dxa"/>
            <w:gridSpan w:val="2"/>
            <w:tcBorders>
              <w:top w:val="nil"/>
              <w:left w:val="nil"/>
              <w:bottom w:val="single" w:sz="4" w:space="0" w:color="auto"/>
              <w:right w:val="single" w:sz="4" w:space="0" w:color="auto"/>
            </w:tcBorders>
            <w:shd w:val="clear" w:color="auto" w:fill="auto"/>
            <w:vAlign w:val="bottom"/>
          </w:tcPr>
          <w:p w14:paraId="5CDCB58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48 479,12</w:t>
            </w:r>
          </w:p>
        </w:tc>
        <w:tc>
          <w:tcPr>
            <w:tcW w:w="850" w:type="dxa"/>
            <w:tcBorders>
              <w:top w:val="nil"/>
              <w:left w:val="nil"/>
              <w:bottom w:val="single" w:sz="4" w:space="0" w:color="auto"/>
              <w:right w:val="single" w:sz="4" w:space="0" w:color="auto"/>
            </w:tcBorders>
            <w:shd w:val="clear" w:color="auto" w:fill="auto"/>
            <w:vAlign w:val="bottom"/>
          </w:tcPr>
          <w:p w14:paraId="1A2C633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97,43</w:t>
            </w:r>
          </w:p>
        </w:tc>
        <w:tc>
          <w:tcPr>
            <w:tcW w:w="958" w:type="dxa"/>
            <w:tcBorders>
              <w:top w:val="nil"/>
              <w:left w:val="nil"/>
              <w:bottom w:val="single" w:sz="4" w:space="0" w:color="auto"/>
              <w:right w:val="single" w:sz="4" w:space="0" w:color="auto"/>
            </w:tcBorders>
            <w:shd w:val="clear" w:color="auto" w:fill="auto"/>
            <w:vAlign w:val="bottom"/>
          </w:tcPr>
          <w:p w14:paraId="33E816A5"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20,46</w:t>
            </w:r>
          </w:p>
        </w:tc>
        <w:tc>
          <w:tcPr>
            <w:tcW w:w="1560" w:type="dxa"/>
            <w:tcBorders>
              <w:top w:val="nil"/>
              <w:left w:val="nil"/>
              <w:bottom w:val="single" w:sz="4" w:space="0" w:color="auto"/>
              <w:right w:val="single" w:sz="4" w:space="0" w:color="auto"/>
            </w:tcBorders>
            <w:shd w:val="clear" w:color="auto" w:fill="auto"/>
            <w:vAlign w:val="bottom"/>
          </w:tcPr>
          <w:p w14:paraId="69B9789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1 277,67</w:t>
            </w:r>
          </w:p>
        </w:tc>
      </w:tr>
      <w:tr w:rsidR="00E47AA9" w:rsidRPr="00E47AA9" w14:paraId="727C1BF4" w14:textId="77777777" w:rsidTr="00353702">
        <w:trPr>
          <w:trHeight w:val="255"/>
        </w:trPr>
        <w:tc>
          <w:tcPr>
            <w:tcW w:w="568" w:type="dxa"/>
            <w:tcBorders>
              <w:top w:val="single" w:sz="4" w:space="0" w:color="auto"/>
              <w:bottom w:val="single" w:sz="4" w:space="0" w:color="auto"/>
              <w:right w:val="single" w:sz="4" w:space="0" w:color="auto"/>
            </w:tcBorders>
            <w:shd w:val="clear" w:color="auto" w:fill="auto"/>
            <w:vAlign w:val="bottom"/>
            <w:hideMark/>
          </w:tcPr>
          <w:p w14:paraId="48F5AFA4"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08</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14:paraId="14601061"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Культура, кинематография</w:t>
            </w:r>
          </w:p>
        </w:tc>
        <w:tc>
          <w:tcPr>
            <w:tcW w:w="1242" w:type="dxa"/>
            <w:tcBorders>
              <w:top w:val="nil"/>
              <w:left w:val="single" w:sz="4" w:space="0" w:color="auto"/>
              <w:bottom w:val="single" w:sz="4" w:space="0" w:color="auto"/>
              <w:right w:val="single" w:sz="4" w:space="0" w:color="auto"/>
            </w:tcBorders>
            <w:shd w:val="clear" w:color="auto" w:fill="auto"/>
            <w:vAlign w:val="bottom"/>
          </w:tcPr>
          <w:p w14:paraId="44611EF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3 121,21</w:t>
            </w:r>
          </w:p>
        </w:tc>
        <w:tc>
          <w:tcPr>
            <w:tcW w:w="885" w:type="dxa"/>
            <w:tcBorders>
              <w:top w:val="nil"/>
              <w:left w:val="nil"/>
              <w:bottom w:val="single" w:sz="4" w:space="0" w:color="auto"/>
              <w:right w:val="single" w:sz="4" w:space="0" w:color="auto"/>
            </w:tcBorders>
            <w:shd w:val="clear" w:color="auto" w:fill="auto"/>
            <w:vAlign w:val="bottom"/>
          </w:tcPr>
          <w:p w14:paraId="5CEEFA98"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1,27</w:t>
            </w:r>
          </w:p>
        </w:tc>
        <w:tc>
          <w:tcPr>
            <w:tcW w:w="1275" w:type="dxa"/>
            <w:gridSpan w:val="2"/>
            <w:tcBorders>
              <w:top w:val="nil"/>
              <w:left w:val="nil"/>
              <w:bottom w:val="single" w:sz="4" w:space="0" w:color="auto"/>
              <w:right w:val="single" w:sz="4" w:space="0" w:color="auto"/>
            </w:tcBorders>
            <w:shd w:val="clear" w:color="auto" w:fill="auto"/>
            <w:vAlign w:val="bottom"/>
          </w:tcPr>
          <w:p w14:paraId="571090E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3 102,35</w:t>
            </w:r>
          </w:p>
        </w:tc>
        <w:tc>
          <w:tcPr>
            <w:tcW w:w="850" w:type="dxa"/>
            <w:tcBorders>
              <w:top w:val="nil"/>
              <w:left w:val="nil"/>
              <w:bottom w:val="single" w:sz="4" w:space="0" w:color="auto"/>
              <w:right w:val="single" w:sz="4" w:space="0" w:color="auto"/>
            </w:tcBorders>
            <w:shd w:val="clear" w:color="auto" w:fill="auto"/>
            <w:vAlign w:val="bottom"/>
          </w:tcPr>
          <w:p w14:paraId="3192E4A7"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99,40</w:t>
            </w:r>
          </w:p>
        </w:tc>
        <w:tc>
          <w:tcPr>
            <w:tcW w:w="958" w:type="dxa"/>
            <w:tcBorders>
              <w:top w:val="nil"/>
              <w:left w:val="nil"/>
              <w:bottom w:val="single" w:sz="4" w:space="0" w:color="auto"/>
              <w:right w:val="single" w:sz="4" w:space="0" w:color="auto"/>
            </w:tcBorders>
            <w:shd w:val="clear" w:color="auto" w:fill="auto"/>
            <w:vAlign w:val="bottom"/>
          </w:tcPr>
          <w:p w14:paraId="6B5A9722"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1,31</w:t>
            </w:r>
          </w:p>
        </w:tc>
        <w:tc>
          <w:tcPr>
            <w:tcW w:w="1560" w:type="dxa"/>
            <w:tcBorders>
              <w:top w:val="nil"/>
              <w:left w:val="nil"/>
              <w:bottom w:val="single" w:sz="4" w:space="0" w:color="auto"/>
              <w:right w:val="single" w:sz="4" w:space="0" w:color="auto"/>
            </w:tcBorders>
            <w:shd w:val="clear" w:color="auto" w:fill="auto"/>
            <w:vAlign w:val="bottom"/>
          </w:tcPr>
          <w:p w14:paraId="0D64E39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18,86</w:t>
            </w:r>
          </w:p>
        </w:tc>
      </w:tr>
      <w:tr w:rsidR="00E47AA9" w:rsidRPr="00E47AA9" w14:paraId="1D756462" w14:textId="77777777" w:rsidTr="00353702">
        <w:trPr>
          <w:trHeight w:val="222"/>
        </w:trPr>
        <w:tc>
          <w:tcPr>
            <w:tcW w:w="568" w:type="dxa"/>
            <w:tcBorders>
              <w:top w:val="single" w:sz="4" w:space="0" w:color="auto"/>
              <w:bottom w:val="single" w:sz="4" w:space="0" w:color="auto"/>
              <w:right w:val="single" w:sz="4" w:space="0" w:color="auto"/>
            </w:tcBorders>
            <w:shd w:val="clear" w:color="auto" w:fill="auto"/>
            <w:vAlign w:val="bottom"/>
            <w:hideMark/>
          </w:tcPr>
          <w:p w14:paraId="1E494266"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09</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14:paraId="7B85061D"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Здравоохранение</w:t>
            </w:r>
          </w:p>
        </w:tc>
        <w:tc>
          <w:tcPr>
            <w:tcW w:w="1242" w:type="dxa"/>
            <w:tcBorders>
              <w:top w:val="nil"/>
              <w:left w:val="single" w:sz="4" w:space="0" w:color="auto"/>
              <w:bottom w:val="single" w:sz="4" w:space="0" w:color="auto"/>
              <w:right w:val="single" w:sz="4" w:space="0" w:color="auto"/>
            </w:tcBorders>
            <w:shd w:val="clear" w:color="auto" w:fill="auto"/>
            <w:vAlign w:val="bottom"/>
          </w:tcPr>
          <w:p w14:paraId="3948762E"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20 975,87</w:t>
            </w:r>
          </w:p>
        </w:tc>
        <w:tc>
          <w:tcPr>
            <w:tcW w:w="885" w:type="dxa"/>
            <w:tcBorders>
              <w:top w:val="nil"/>
              <w:left w:val="nil"/>
              <w:bottom w:val="single" w:sz="4" w:space="0" w:color="auto"/>
              <w:right w:val="single" w:sz="4" w:space="0" w:color="auto"/>
            </w:tcBorders>
            <w:shd w:val="clear" w:color="auto" w:fill="auto"/>
            <w:vAlign w:val="bottom"/>
          </w:tcPr>
          <w:p w14:paraId="2BEA8F10"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8,54</w:t>
            </w:r>
          </w:p>
        </w:tc>
        <w:tc>
          <w:tcPr>
            <w:tcW w:w="1275" w:type="dxa"/>
            <w:gridSpan w:val="2"/>
            <w:tcBorders>
              <w:top w:val="nil"/>
              <w:left w:val="nil"/>
              <w:bottom w:val="single" w:sz="4" w:space="0" w:color="auto"/>
              <w:right w:val="single" w:sz="4" w:space="0" w:color="auto"/>
            </w:tcBorders>
            <w:shd w:val="clear" w:color="auto" w:fill="auto"/>
            <w:vAlign w:val="bottom"/>
          </w:tcPr>
          <w:p w14:paraId="607F362C"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19 958,04</w:t>
            </w:r>
          </w:p>
        </w:tc>
        <w:tc>
          <w:tcPr>
            <w:tcW w:w="850" w:type="dxa"/>
            <w:tcBorders>
              <w:top w:val="nil"/>
              <w:left w:val="nil"/>
              <w:bottom w:val="single" w:sz="4" w:space="0" w:color="auto"/>
              <w:right w:val="single" w:sz="4" w:space="0" w:color="auto"/>
            </w:tcBorders>
            <w:shd w:val="clear" w:color="auto" w:fill="auto"/>
            <w:vAlign w:val="bottom"/>
          </w:tcPr>
          <w:p w14:paraId="0B4E1C4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95,15</w:t>
            </w:r>
          </w:p>
        </w:tc>
        <w:tc>
          <w:tcPr>
            <w:tcW w:w="958" w:type="dxa"/>
            <w:tcBorders>
              <w:top w:val="nil"/>
              <w:left w:val="nil"/>
              <w:bottom w:val="single" w:sz="4" w:space="0" w:color="auto"/>
              <w:right w:val="single" w:sz="4" w:space="0" w:color="auto"/>
            </w:tcBorders>
            <w:shd w:val="clear" w:color="auto" w:fill="auto"/>
            <w:vAlign w:val="bottom"/>
          </w:tcPr>
          <w:p w14:paraId="4E9F0DDB"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8,42</w:t>
            </w:r>
          </w:p>
        </w:tc>
        <w:tc>
          <w:tcPr>
            <w:tcW w:w="1560" w:type="dxa"/>
            <w:tcBorders>
              <w:top w:val="nil"/>
              <w:left w:val="nil"/>
              <w:bottom w:val="single" w:sz="4" w:space="0" w:color="auto"/>
              <w:right w:val="single" w:sz="4" w:space="0" w:color="auto"/>
            </w:tcBorders>
            <w:shd w:val="clear" w:color="auto" w:fill="auto"/>
            <w:vAlign w:val="bottom"/>
          </w:tcPr>
          <w:p w14:paraId="46E36A6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1 017,83</w:t>
            </w:r>
          </w:p>
        </w:tc>
      </w:tr>
      <w:tr w:rsidR="00E47AA9" w:rsidRPr="00E47AA9" w14:paraId="57365E12" w14:textId="77777777" w:rsidTr="00353702">
        <w:trPr>
          <w:trHeight w:val="255"/>
        </w:trPr>
        <w:tc>
          <w:tcPr>
            <w:tcW w:w="568" w:type="dxa"/>
            <w:tcBorders>
              <w:top w:val="single" w:sz="4" w:space="0" w:color="auto"/>
              <w:bottom w:val="single" w:sz="4" w:space="0" w:color="auto"/>
              <w:right w:val="single" w:sz="4" w:space="0" w:color="auto"/>
            </w:tcBorders>
            <w:shd w:val="clear" w:color="auto" w:fill="auto"/>
            <w:vAlign w:val="bottom"/>
            <w:hideMark/>
          </w:tcPr>
          <w:p w14:paraId="3B98C637"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10</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14:paraId="6EF8F1D0"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Социальная политика</w:t>
            </w:r>
          </w:p>
        </w:tc>
        <w:tc>
          <w:tcPr>
            <w:tcW w:w="1242" w:type="dxa"/>
            <w:tcBorders>
              <w:top w:val="nil"/>
              <w:left w:val="single" w:sz="4" w:space="0" w:color="auto"/>
              <w:bottom w:val="single" w:sz="4" w:space="0" w:color="auto"/>
              <w:right w:val="single" w:sz="4" w:space="0" w:color="auto"/>
            </w:tcBorders>
            <w:shd w:val="clear" w:color="auto" w:fill="auto"/>
            <w:vAlign w:val="bottom"/>
          </w:tcPr>
          <w:p w14:paraId="5F619D7D"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55 889,78</w:t>
            </w:r>
          </w:p>
        </w:tc>
        <w:tc>
          <w:tcPr>
            <w:tcW w:w="885" w:type="dxa"/>
            <w:tcBorders>
              <w:top w:val="nil"/>
              <w:left w:val="nil"/>
              <w:bottom w:val="single" w:sz="4" w:space="0" w:color="auto"/>
              <w:right w:val="single" w:sz="4" w:space="0" w:color="auto"/>
            </w:tcBorders>
            <w:shd w:val="clear" w:color="auto" w:fill="auto"/>
            <w:vAlign w:val="bottom"/>
          </w:tcPr>
          <w:p w14:paraId="3EE3B806"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22,75</w:t>
            </w:r>
          </w:p>
        </w:tc>
        <w:tc>
          <w:tcPr>
            <w:tcW w:w="1275" w:type="dxa"/>
            <w:gridSpan w:val="2"/>
            <w:tcBorders>
              <w:top w:val="nil"/>
              <w:left w:val="nil"/>
              <w:bottom w:val="single" w:sz="4" w:space="0" w:color="auto"/>
              <w:right w:val="single" w:sz="4" w:space="0" w:color="auto"/>
            </w:tcBorders>
            <w:shd w:val="clear" w:color="auto" w:fill="auto"/>
            <w:vAlign w:val="bottom"/>
          </w:tcPr>
          <w:p w14:paraId="4117A26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55 560,17</w:t>
            </w:r>
          </w:p>
        </w:tc>
        <w:tc>
          <w:tcPr>
            <w:tcW w:w="850" w:type="dxa"/>
            <w:tcBorders>
              <w:top w:val="nil"/>
              <w:left w:val="nil"/>
              <w:bottom w:val="single" w:sz="4" w:space="0" w:color="auto"/>
              <w:right w:val="single" w:sz="4" w:space="0" w:color="auto"/>
            </w:tcBorders>
            <w:shd w:val="clear" w:color="auto" w:fill="auto"/>
            <w:vAlign w:val="bottom"/>
          </w:tcPr>
          <w:p w14:paraId="42BF578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99,41</w:t>
            </w:r>
          </w:p>
        </w:tc>
        <w:tc>
          <w:tcPr>
            <w:tcW w:w="958" w:type="dxa"/>
            <w:tcBorders>
              <w:top w:val="nil"/>
              <w:left w:val="nil"/>
              <w:bottom w:val="single" w:sz="4" w:space="0" w:color="auto"/>
              <w:right w:val="single" w:sz="4" w:space="0" w:color="auto"/>
            </w:tcBorders>
            <w:shd w:val="clear" w:color="auto" w:fill="auto"/>
            <w:vAlign w:val="bottom"/>
          </w:tcPr>
          <w:p w14:paraId="418D189A"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23,44</w:t>
            </w:r>
          </w:p>
        </w:tc>
        <w:tc>
          <w:tcPr>
            <w:tcW w:w="1560" w:type="dxa"/>
            <w:tcBorders>
              <w:top w:val="nil"/>
              <w:left w:val="nil"/>
              <w:bottom w:val="single" w:sz="4" w:space="0" w:color="auto"/>
              <w:right w:val="single" w:sz="4" w:space="0" w:color="auto"/>
            </w:tcBorders>
            <w:shd w:val="clear" w:color="auto" w:fill="auto"/>
            <w:vAlign w:val="bottom"/>
          </w:tcPr>
          <w:p w14:paraId="5CF5A7E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329,61</w:t>
            </w:r>
          </w:p>
        </w:tc>
      </w:tr>
      <w:tr w:rsidR="00E47AA9" w:rsidRPr="00E47AA9" w14:paraId="60B6CBC3" w14:textId="77777777" w:rsidTr="00353702">
        <w:trPr>
          <w:trHeight w:val="255"/>
        </w:trPr>
        <w:tc>
          <w:tcPr>
            <w:tcW w:w="568" w:type="dxa"/>
            <w:tcBorders>
              <w:top w:val="single" w:sz="4" w:space="0" w:color="auto"/>
              <w:bottom w:val="single" w:sz="4" w:space="0" w:color="auto"/>
              <w:right w:val="single" w:sz="4" w:space="0" w:color="auto"/>
            </w:tcBorders>
            <w:shd w:val="clear" w:color="auto" w:fill="auto"/>
            <w:vAlign w:val="bottom"/>
            <w:hideMark/>
          </w:tcPr>
          <w:p w14:paraId="5BC3B1A1"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11</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14:paraId="7D824633"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Физическая культура и спорт</w:t>
            </w:r>
          </w:p>
        </w:tc>
        <w:tc>
          <w:tcPr>
            <w:tcW w:w="1242" w:type="dxa"/>
            <w:tcBorders>
              <w:top w:val="nil"/>
              <w:left w:val="single" w:sz="4" w:space="0" w:color="auto"/>
              <w:bottom w:val="single" w:sz="4" w:space="0" w:color="auto"/>
              <w:right w:val="single" w:sz="4" w:space="0" w:color="auto"/>
            </w:tcBorders>
            <w:shd w:val="clear" w:color="auto" w:fill="auto"/>
            <w:vAlign w:val="bottom"/>
          </w:tcPr>
          <w:p w14:paraId="09CC152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6 857,41</w:t>
            </w:r>
          </w:p>
        </w:tc>
        <w:tc>
          <w:tcPr>
            <w:tcW w:w="885" w:type="dxa"/>
            <w:tcBorders>
              <w:top w:val="nil"/>
              <w:left w:val="nil"/>
              <w:bottom w:val="single" w:sz="4" w:space="0" w:color="auto"/>
              <w:right w:val="single" w:sz="4" w:space="0" w:color="auto"/>
            </w:tcBorders>
            <w:shd w:val="clear" w:color="auto" w:fill="auto"/>
            <w:vAlign w:val="bottom"/>
          </w:tcPr>
          <w:p w14:paraId="75535D8A"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2,79</w:t>
            </w:r>
          </w:p>
        </w:tc>
        <w:tc>
          <w:tcPr>
            <w:tcW w:w="1275" w:type="dxa"/>
            <w:gridSpan w:val="2"/>
            <w:tcBorders>
              <w:top w:val="nil"/>
              <w:left w:val="nil"/>
              <w:bottom w:val="single" w:sz="4" w:space="0" w:color="auto"/>
              <w:right w:val="single" w:sz="4" w:space="0" w:color="auto"/>
            </w:tcBorders>
            <w:shd w:val="clear" w:color="auto" w:fill="auto"/>
            <w:vAlign w:val="bottom"/>
          </w:tcPr>
          <w:p w14:paraId="1A386D1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6 325,41</w:t>
            </w:r>
          </w:p>
        </w:tc>
        <w:tc>
          <w:tcPr>
            <w:tcW w:w="850" w:type="dxa"/>
            <w:tcBorders>
              <w:top w:val="nil"/>
              <w:left w:val="nil"/>
              <w:bottom w:val="single" w:sz="4" w:space="0" w:color="auto"/>
              <w:right w:val="single" w:sz="4" w:space="0" w:color="auto"/>
            </w:tcBorders>
            <w:shd w:val="clear" w:color="auto" w:fill="auto"/>
            <w:vAlign w:val="bottom"/>
          </w:tcPr>
          <w:p w14:paraId="01BD21C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92,24</w:t>
            </w:r>
          </w:p>
        </w:tc>
        <w:tc>
          <w:tcPr>
            <w:tcW w:w="958" w:type="dxa"/>
            <w:tcBorders>
              <w:top w:val="nil"/>
              <w:left w:val="nil"/>
              <w:bottom w:val="single" w:sz="4" w:space="0" w:color="auto"/>
              <w:right w:val="single" w:sz="4" w:space="0" w:color="auto"/>
            </w:tcBorders>
            <w:shd w:val="clear" w:color="auto" w:fill="auto"/>
            <w:vAlign w:val="bottom"/>
          </w:tcPr>
          <w:p w14:paraId="4FC5D21E"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2,67</w:t>
            </w:r>
          </w:p>
        </w:tc>
        <w:tc>
          <w:tcPr>
            <w:tcW w:w="1560" w:type="dxa"/>
            <w:tcBorders>
              <w:top w:val="nil"/>
              <w:left w:val="nil"/>
              <w:bottom w:val="single" w:sz="4" w:space="0" w:color="auto"/>
              <w:right w:val="single" w:sz="4" w:space="0" w:color="auto"/>
            </w:tcBorders>
            <w:shd w:val="clear" w:color="auto" w:fill="auto"/>
            <w:vAlign w:val="bottom"/>
          </w:tcPr>
          <w:p w14:paraId="731AA848" w14:textId="6865F1D8"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532,0</w:t>
            </w:r>
            <w:r w:rsidR="00441326" w:rsidRPr="00E47AA9">
              <w:rPr>
                <w:rFonts w:ascii="Times New Roman" w:hAnsi="Times New Roman" w:cs="Times New Roman"/>
              </w:rPr>
              <w:t>0</w:t>
            </w:r>
          </w:p>
        </w:tc>
      </w:tr>
      <w:tr w:rsidR="00E47AA9" w:rsidRPr="00E47AA9" w14:paraId="075897C4" w14:textId="77777777" w:rsidTr="00353702">
        <w:trPr>
          <w:trHeight w:val="255"/>
        </w:trPr>
        <w:tc>
          <w:tcPr>
            <w:tcW w:w="568" w:type="dxa"/>
            <w:tcBorders>
              <w:top w:val="single" w:sz="4" w:space="0" w:color="auto"/>
              <w:bottom w:val="single" w:sz="4" w:space="0" w:color="auto"/>
              <w:right w:val="single" w:sz="4" w:space="0" w:color="auto"/>
            </w:tcBorders>
            <w:shd w:val="clear" w:color="auto" w:fill="auto"/>
            <w:vAlign w:val="bottom"/>
            <w:hideMark/>
          </w:tcPr>
          <w:p w14:paraId="5FB3F08C"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12</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14:paraId="15201C9A"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Средства массовой информации</w:t>
            </w:r>
          </w:p>
        </w:tc>
        <w:tc>
          <w:tcPr>
            <w:tcW w:w="1242" w:type="dxa"/>
            <w:tcBorders>
              <w:top w:val="nil"/>
              <w:left w:val="single" w:sz="4" w:space="0" w:color="auto"/>
              <w:bottom w:val="single" w:sz="4" w:space="0" w:color="auto"/>
              <w:right w:val="single" w:sz="4" w:space="0" w:color="auto"/>
            </w:tcBorders>
            <w:shd w:val="clear" w:color="auto" w:fill="auto"/>
            <w:vAlign w:val="bottom"/>
          </w:tcPr>
          <w:p w14:paraId="0BF60F7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529,62</w:t>
            </w:r>
          </w:p>
        </w:tc>
        <w:tc>
          <w:tcPr>
            <w:tcW w:w="885" w:type="dxa"/>
            <w:tcBorders>
              <w:top w:val="nil"/>
              <w:left w:val="nil"/>
              <w:bottom w:val="single" w:sz="4" w:space="0" w:color="auto"/>
              <w:right w:val="single" w:sz="4" w:space="0" w:color="auto"/>
            </w:tcBorders>
            <w:shd w:val="clear" w:color="auto" w:fill="auto"/>
            <w:vAlign w:val="bottom"/>
          </w:tcPr>
          <w:p w14:paraId="79BB5789"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0,22</w:t>
            </w:r>
          </w:p>
        </w:tc>
        <w:tc>
          <w:tcPr>
            <w:tcW w:w="1275" w:type="dxa"/>
            <w:gridSpan w:val="2"/>
            <w:tcBorders>
              <w:top w:val="nil"/>
              <w:left w:val="nil"/>
              <w:bottom w:val="single" w:sz="4" w:space="0" w:color="auto"/>
              <w:right w:val="single" w:sz="4" w:space="0" w:color="auto"/>
            </w:tcBorders>
            <w:shd w:val="clear" w:color="auto" w:fill="auto"/>
            <w:vAlign w:val="bottom"/>
          </w:tcPr>
          <w:p w14:paraId="231A1BC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529,16</w:t>
            </w:r>
          </w:p>
        </w:tc>
        <w:tc>
          <w:tcPr>
            <w:tcW w:w="850" w:type="dxa"/>
            <w:tcBorders>
              <w:top w:val="nil"/>
              <w:left w:val="nil"/>
              <w:bottom w:val="single" w:sz="4" w:space="0" w:color="auto"/>
              <w:right w:val="single" w:sz="4" w:space="0" w:color="auto"/>
            </w:tcBorders>
            <w:shd w:val="clear" w:color="auto" w:fill="auto"/>
            <w:vAlign w:val="bottom"/>
          </w:tcPr>
          <w:p w14:paraId="3BA8889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99,91</w:t>
            </w:r>
          </w:p>
        </w:tc>
        <w:tc>
          <w:tcPr>
            <w:tcW w:w="958" w:type="dxa"/>
            <w:tcBorders>
              <w:top w:val="nil"/>
              <w:left w:val="nil"/>
              <w:bottom w:val="single" w:sz="4" w:space="0" w:color="auto"/>
              <w:right w:val="single" w:sz="4" w:space="0" w:color="auto"/>
            </w:tcBorders>
            <w:shd w:val="clear" w:color="auto" w:fill="auto"/>
            <w:vAlign w:val="bottom"/>
          </w:tcPr>
          <w:p w14:paraId="4B8E01BF"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0,22</w:t>
            </w:r>
          </w:p>
        </w:tc>
        <w:tc>
          <w:tcPr>
            <w:tcW w:w="1560" w:type="dxa"/>
            <w:tcBorders>
              <w:top w:val="nil"/>
              <w:left w:val="nil"/>
              <w:bottom w:val="single" w:sz="4" w:space="0" w:color="auto"/>
              <w:right w:val="single" w:sz="4" w:space="0" w:color="auto"/>
            </w:tcBorders>
            <w:shd w:val="clear" w:color="auto" w:fill="auto"/>
            <w:vAlign w:val="bottom"/>
          </w:tcPr>
          <w:p w14:paraId="21E5C8E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0,46</w:t>
            </w:r>
          </w:p>
        </w:tc>
      </w:tr>
      <w:tr w:rsidR="00E47AA9" w:rsidRPr="00E47AA9" w14:paraId="58688294" w14:textId="77777777" w:rsidTr="00353702">
        <w:trPr>
          <w:trHeight w:val="195"/>
        </w:trPr>
        <w:tc>
          <w:tcPr>
            <w:tcW w:w="568" w:type="dxa"/>
            <w:tcBorders>
              <w:top w:val="single" w:sz="4" w:space="0" w:color="auto"/>
              <w:bottom w:val="single" w:sz="4" w:space="0" w:color="auto"/>
              <w:right w:val="single" w:sz="4" w:space="0" w:color="auto"/>
            </w:tcBorders>
            <w:shd w:val="clear" w:color="auto" w:fill="auto"/>
            <w:vAlign w:val="bottom"/>
            <w:hideMark/>
          </w:tcPr>
          <w:p w14:paraId="6CC2F1DF"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13</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14:paraId="0DC5F6A5"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Обслуживание государственного и муниципального долга</w:t>
            </w:r>
          </w:p>
        </w:tc>
        <w:tc>
          <w:tcPr>
            <w:tcW w:w="1242" w:type="dxa"/>
            <w:tcBorders>
              <w:top w:val="nil"/>
              <w:left w:val="single" w:sz="4" w:space="0" w:color="auto"/>
              <w:bottom w:val="single" w:sz="4" w:space="0" w:color="auto"/>
              <w:right w:val="single" w:sz="4" w:space="0" w:color="auto"/>
            </w:tcBorders>
            <w:shd w:val="clear" w:color="auto" w:fill="auto"/>
            <w:vAlign w:val="bottom"/>
          </w:tcPr>
          <w:p w14:paraId="7E93CA8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537,13</w:t>
            </w:r>
          </w:p>
        </w:tc>
        <w:tc>
          <w:tcPr>
            <w:tcW w:w="885" w:type="dxa"/>
            <w:tcBorders>
              <w:top w:val="nil"/>
              <w:left w:val="nil"/>
              <w:bottom w:val="single" w:sz="4" w:space="0" w:color="auto"/>
              <w:right w:val="single" w:sz="4" w:space="0" w:color="auto"/>
            </w:tcBorders>
            <w:shd w:val="clear" w:color="auto" w:fill="auto"/>
            <w:vAlign w:val="bottom"/>
          </w:tcPr>
          <w:p w14:paraId="06CD1B19"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0,22</w:t>
            </w:r>
          </w:p>
        </w:tc>
        <w:tc>
          <w:tcPr>
            <w:tcW w:w="1275" w:type="dxa"/>
            <w:gridSpan w:val="2"/>
            <w:tcBorders>
              <w:top w:val="nil"/>
              <w:left w:val="nil"/>
              <w:bottom w:val="single" w:sz="4" w:space="0" w:color="auto"/>
              <w:right w:val="single" w:sz="4" w:space="0" w:color="auto"/>
            </w:tcBorders>
            <w:shd w:val="clear" w:color="auto" w:fill="auto"/>
            <w:vAlign w:val="bottom"/>
          </w:tcPr>
          <w:p w14:paraId="05954C5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518,93</w:t>
            </w:r>
          </w:p>
        </w:tc>
        <w:tc>
          <w:tcPr>
            <w:tcW w:w="850" w:type="dxa"/>
            <w:tcBorders>
              <w:top w:val="nil"/>
              <w:left w:val="nil"/>
              <w:bottom w:val="single" w:sz="4" w:space="0" w:color="auto"/>
              <w:right w:val="single" w:sz="4" w:space="0" w:color="auto"/>
            </w:tcBorders>
            <w:shd w:val="clear" w:color="auto" w:fill="auto"/>
            <w:vAlign w:val="bottom"/>
          </w:tcPr>
          <w:p w14:paraId="4B9EC9F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96,61</w:t>
            </w:r>
          </w:p>
        </w:tc>
        <w:tc>
          <w:tcPr>
            <w:tcW w:w="958" w:type="dxa"/>
            <w:tcBorders>
              <w:top w:val="nil"/>
              <w:left w:val="nil"/>
              <w:bottom w:val="single" w:sz="4" w:space="0" w:color="auto"/>
              <w:right w:val="single" w:sz="4" w:space="0" w:color="auto"/>
            </w:tcBorders>
            <w:shd w:val="clear" w:color="auto" w:fill="auto"/>
            <w:vAlign w:val="bottom"/>
          </w:tcPr>
          <w:p w14:paraId="25B82969"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0,22</w:t>
            </w:r>
          </w:p>
        </w:tc>
        <w:tc>
          <w:tcPr>
            <w:tcW w:w="1560" w:type="dxa"/>
            <w:tcBorders>
              <w:top w:val="nil"/>
              <w:left w:val="nil"/>
              <w:bottom w:val="single" w:sz="4" w:space="0" w:color="auto"/>
              <w:right w:val="single" w:sz="4" w:space="0" w:color="auto"/>
            </w:tcBorders>
            <w:shd w:val="clear" w:color="auto" w:fill="auto"/>
            <w:vAlign w:val="bottom"/>
          </w:tcPr>
          <w:p w14:paraId="2519589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18,20</w:t>
            </w:r>
          </w:p>
        </w:tc>
      </w:tr>
      <w:tr w:rsidR="00E47AA9" w:rsidRPr="00E47AA9" w14:paraId="24635A61" w14:textId="77777777" w:rsidTr="00353702">
        <w:trPr>
          <w:trHeight w:val="473"/>
        </w:trPr>
        <w:tc>
          <w:tcPr>
            <w:tcW w:w="568" w:type="dxa"/>
            <w:tcBorders>
              <w:top w:val="single" w:sz="4" w:space="0" w:color="auto"/>
              <w:bottom w:val="single" w:sz="4" w:space="0" w:color="auto"/>
              <w:right w:val="single" w:sz="4" w:space="0" w:color="auto"/>
            </w:tcBorders>
            <w:shd w:val="clear" w:color="auto" w:fill="auto"/>
            <w:vAlign w:val="bottom"/>
            <w:hideMark/>
          </w:tcPr>
          <w:p w14:paraId="3C664CEB"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14</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14:paraId="3BA1B574"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Межбюджетные трансферты общего характера бюджетам бюджетной системы Российской Федерации </w:t>
            </w:r>
          </w:p>
        </w:tc>
        <w:tc>
          <w:tcPr>
            <w:tcW w:w="1242" w:type="dxa"/>
            <w:tcBorders>
              <w:top w:val="nil"/>
              <w:left w:val="single" w:sz="4" w:space="0" w:color="auto"/>
              <w:bottom w:val="single" w:sz="4" w:space="0" w:color="auto"/>
              <w:right w:val="single" w:sz="4" w:space="0" w:color="auto"/>
            </w:tcBorders>
            <w:shd w:val="clear" w:color="auto" w:fill="auto"/>
            <w:vAlign w:val="bottom"/>
          </w:tcPr>
          <w:p w14:paraId="45BAF410"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8 537,93</w:t>
            </w:r>
          </w:p>
        </w:tc>
        <w:tc>
          <w:tcPr>
            <w:tcW w:w="885" w:type="dxa"/>
            <w:tcBorders>
              <w:top w:val="nil"/>
              <w:left w:val="nil"/>
              <w:bottom w:val="single" w:sz="4" w:space="0" w:color="auto"/>
              <w:right w:val="single" w:sz="4" w:space="0" w:color="auto"/>
            </w:tcBorders>
            <w:shd w:val="clear" w:color="auto" w:fill="auto"/>
            <w:vAlign w:val="bottom"/>
          </w:tcPr>
          <w:p w14:paraId="3031EA3F"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3,48</w:t>
            </w:r>
          </w:p>
        </w:tc>
        <w:tc>
          <w:tcPr>
            <w:tcW w:w="1275" w:type="dxa"/>
            <w:gridSpan w:val="2"/>
            <w:tcBorders>
              <w:top w:val="nil"/>
              <w:left w:val="nil"/>
              <w:bottom w:val="single" w:sz="4" w:space="0" w:color="auto"/>
              <w:right w:val="single" w:sz="4" w:space="0" w:color="auto"/>
            </w:tcBorders>
            <w:shd w:val="clear" w:color="auto" w:fill="auto"/>
            <w:vAlign w:val="bottom"/>
          </w:tcPr>
          <w:p w14:paraId="05F443F7"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8 536,18</w:t>
            </w:r>
          </w:p>
        </w:tc>
        <w:tc>
          <w:tcPr>
            <w:tcW w:w="850" w:type="dxa"/>
            <w:tcBorders>
              <w:top w:val="nil"/>
              <w:left w:val="nil"/>
              <w:bottom w:val="single" w:sz="4" w:space="0" w:color="auto"/>
              <w:right w:val="single" w:sz="4" w:space="0" w:color="auto"/>
            </w:tcBorders>
            <w:shd w:val="clear" w:color="auto" w:fill="auto"/>
            <w:vAlign w:val="bottom"/>
          </w:tcPr>
          <w:p w14:paraId="06DFFC6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99,98</w:t>
            </w:r>
          </w:p>
        </w:tc>
        <w:tc>
          <w:tcPr>
            <w:tcW w:w="958" w:type="dxa"/>
            <w:tcBorders>
              <w:top w:val="nil"/>
              <w:left w:val="nil"/>
              <w:bottom w:val="single" w:sz="4" w:space="0" w:color="auto"/>
              <w:right w:val="single" w:sz="4" w:space="0" w:color="auto"/>
            </w:tcBorders>
            <w:shd w:val="clear" w:color="auto" w:fill="auto"/>
            <w:vAlign w:val="bottom"/>
          </w:tcPr>
          <w:p w14:paraId="59E1B7B4"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3,60</w:t>
            </w:r>
          </w:p>
        </w:tc>
        <w:tc>
          <w:tcPr>
            <w:tcW w:w="1560" w:type="dxa"/>
            <w:tcBorders>
              <w:top w:val="nil"/>
              <w:left w:val="nil"/>
              <w:bottom w:val="single" w:sz="4" w:space="0" w:color="auto"/>
              <w:right w:val="single" w:sz="4" w:space="0" w:color="auto"/>
            </w:tcBorders>
            <w:shd w:val="clear" w:color="auto" w:fill="auto"/>
            <w:vAlign w:val="bottom"/>
          </w:tcPr>
          <w:p w14:paraId="4351638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1,76</w:t>
            </w:r>
          </w:p>
        </w:tc>
      </w:tr>
      <w:tr w:rsidR="00E47AA9" w:rsidRPr="00E47AA9" w14:paraId="46AF9814" w14:textId="77777777" w:rsidTr="00353702">
        <w:trPr>
          <w:trHeight w:val="255"/>
        </w:trPr>
        <w:tc>
          <w:tcPr>
            <w:tcW w:w="568" w:type="dxa"/>
            <w:tcBorders>
              <w:top w:val="single" w:sz="4" w:space="0" w:color="auto"/>
              <w:bottom w:val="single" w:sz="4" w:space="0" w:color="auto"/>
              <w:right w:val="single" w:sz="4" w:space="0" w:color="auto"/>
            </w:tcBorders>
            <w:shd w:val="clear" w:color="auto" w:fill="auto"/>
            <w:vAlign w:val="center"/>
            <w:hideMark/>
          </w:tcPr>
          <w:p w14:paraId="128F0126" w14:textId="77777777" w:rsidR="00353702" w:rsidRPr="00E47AA9" w:rsidRDefault="00353702" w:rsidP="00353702">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BD457" w14:textId="77777777" w:rsidR="00353702" w:rsidRPr="00E47AA9" w:rsidRDefault="00353702" w:rsidP="00353702">
            <w:pPr>
              <w:spacing w:after="0" w:line="240" w:lineRule="auto"/>
              <w:rPr>
                <w:rFonts w:ascii="Times New Roman" w:eastAsia="Times New Roman" w:hAnsi="Times New Roman" w:cs="Times New Roman"/>
                <w:b/>
                <w:lang w:eastAsia="ru-RU"/>
              </w:rPr>
            </w:pPr>
            <w:r w:rsidRPr="00E47AA9">
              <w:rPr>
                <w:rFonts w:ascii="Times New Roman" w:eastAsia="Times New Roman" w:hAnsi="Times New Roman" w:cs="Times New Roman"/>
                <w:b/>
                <w:lang w:eastAsia="ru-RU"/>
              </w:rPr>
              <w:t>Всего расходов</w:t>
            </w:r>
          </w:p>
        </w:tc>
        <w:tc>
          <w:tcPr>
            <w:tcW w:w="1242" w:type="dxa"/>
            <w:tcBorders>
              <w:top w:val="nil"/>
              <w:left w:val="single" w:sz="4" w:space="0" w:color="auto"/>
              <w:bottom w:val="single" w:sz="4" w:space="0" w:color="auto"/>
              <w:right w:val="single" w:sz="4" w:space="0" w:color="auto"/>
            </w:tcBorders>
            <w:shd w:val="clear" w:color="auto" w:fill="auto"/>
            <w:vAlign w:val="bottom"/>
          </w:tcPr>
          <w:p w14:paraId="137DD6AA" w14:textId="77777777" w:rsidR="00353702" w:rsidRPr="00E47AA9" w:rsidRDefault="00353702" w:rsidP="00353702">
            <w:pPr>
              <w:spacing w:after="0" w:line="240" w:lineRule="auto"/>
              <w:jc w:val="right"/>
              <w:rPr>
                <w:rFonts w:ascii="Times New Roman" w:hAnsi="Times New Roman" w:cs="Times New Roman"/>
                <w:b/>
                <w:bCs/>
              </w:rPr>
            </w:pPr>
            <w:r w:rsidRPr="00E47AA9">
              <w:rPr>
                <w:rFonts w:ascii="Times New Roman" w:hAnsi="Times New Roman" w:cs="Times New Roman"/>
                <w:b/>
                <w:bCs/>
              </w:rPr>
              <w:t>245 684,26</w:t>
            </w:r>
          </w:p>
        </w:tc>
        <w:tc>
          <w:tcPr>
            <w:tcW w:w="885" w:type="dxa"/>
            <w:tcBorders>
              <w:top w:val="nil"/>
              <w:left w:val="nil"/>
              <w:bottom w:val="single" w:sz="4" w:space="0" w:color="auto"/>
              <w:right w:val="single" w:sz="4" w:space="0" w:color="auto"/>
            </w:tcBorders>
            <w:shd w:val="clear" w:color="auto" w:fill="auto"/>
            <w:vAlign w:val="bottom"/>
          </w:tcPr>
          <w:p w14:paraId="5DA0EF0E" w14:textId="77777777" w:rsidR="00353702" w:rsidRPr="00E47AA9" w:rsidRDefault="00353702" w:rsidP="00353702">
            <w:pPr>
              <w:spacing w:after="0" w:line="240" w:lineRule="auto"/>
              <w:jc w:val="right"/>
              <w:rPr>
                <w:rFonts w:ascii="Times New Roman" w:hAnsi="Times New Roman" w:cs="Times New Roman"/>
                <w:b/>
                <w:bCs/>
                <w:i/>
                <w:iCs/>
              </w:rPr>
            </w:pPr>
            <w:r w:rsidRPr="00E47AA9">
              <w:rPr>
                <w:rFonts w:ascii="Times New Roman" w:hAnsi="Times New Roman" w:cs="Times New Roman"/>
                <w:b/>
                <w:bCs/>
                <w:i/>
                <w:iCs/>
              </w:rPr>
              <w:t>100,00</w:t>
            </w:r>
          </w:p>
        </w:tc>
        <w:tc>
          <w:tcPr>
            <w:tcW w:w="1275" w:type="dxa"/>
            <w:gridSpan w:val="2"/>
            <w:tcBorders>
              <w:top w:val="nil"/>
              <w:left w:val="nil"/>
              <w:bottom w:val="single" w:sz="4" w:space="0" w:color="auto"/>
              <w:right w:val="single" w:sz="4" w:space="0" w:color="auto"/>
            </w:tcBorders>
            <w:shd w:val="clear" w:color="auto" w:fill="auto"/>
            <w:vAlign w:val="bottom"/>
          </w:tcPr>
          <w:p w14:paraId="01FFC7E1" w14:textId="77777777" w:rsidR="00353702" w:rsidRPr="00E47AA9" w:rsidRDefault="00353702" w:rsidP="00353702">
            <w:pPr>
              <w:spacing w:after="0" w:line="240" w:lineRule="auto"/>
              <w:jc w:val="right"/>
              <w:rPr>
                <w:rFonts w:ascii="Times New Roman" w:hAnsi="Times New Roman" w:cs="Times New Roman"/>
                <w:b/>
                <w:bCs/>
              </w:rPr>
            </w:pPr>
            <w:r w:rsidRPr="00E47AA9">
              <w:rPr>
                <w:rFonts w:ascii="Times New Roman" w:hAnsi="Times New Roman" w:cs="Times New Roman"/>
                <w:b/>
                <w:bCs/>
              </w:rPr>
              <w:t>236 994,68</w:t>
            </w:r>
          </w:p>
        </w:tc>
        <w:tc>
          <w:tcPr>
            <w:tcW w:w="850" w:type="dxa"/>
            <w:tcBorders>
              <w:top w:val="nil"/>
              <w:left w:val="nil"/>
              <w:bottom w:val="single" w:sz="4" w:space="0" w:color="auto"/>
              <w:right w:val="single" w:sz="4" w:space="0" w:color="auto"/>
            </w:tcBorders>
            <w:shd w:val="clear" w:color="auto" w:fill="auto"/>
            <w:vAlign w:val="bottom"/>
          </w:tcPr>
          <w:p w14:paraId="4CA3A368" w14:textId="77777777" w:rsidR="00353702" w:rsidRPr="00E47AA9" w:rsidRDefault="00353702" w:rsidP="00353702">
            <w:pPr>
              <w:spacing w:after="0" w:line="240" w:lineRule="auto"/>
              <w:jc w:val="right"/>
              <w:rPr>
                <w:rFonts w:ascii="Times New Roman" w:hAnsi="Times New Roman" w:cs="Times New Roman"/>
                <w:b/>
                <w:bCs/>
              </w:rPr>
            </w:pPr>
            <w:r w:rsidRPr="00E47AA9">
              <w:rPr>
                <w:rFonts w:ascii="Times New Roman" w:hAnsi="Times New Roman" w:cs="Times New Roman"/>
                <w:b/>
                <w:bCs/>
              </w:rPr>
              <w:t>96,46</w:t>
            </w:r>
          </w:p>
        </w:tc>
        <w:tc>
          <w:tcPr>
            <w:tcW w:w="958" w:type="dxa"/>
            <w:tcBorders>
              <w:top w:val="nil"/>
              <w:left w:val="nil"/>
              <w:bottom w:val="single" w:sz="4" w:space="0" w:color="auto"/>
              <w:right w:val="single" w:sz="4" w:space="0" w:color="auto"/>
            </w:tcBorders>
            <w:shd w:val="clear" w:color="auto" w:fill="auto"/>
            <w:vAlign w:val="bottom"/>
          </w:tcPr>
          <w:p w14:paraId="3CC0AE1E" w14:textId="77777777" w:rsidR="00353702" w:rsidRPr="00E47AA9" w:rsidRDefault="00353702" w:rsidP="00353702">
            <w:pPr>
              <w:spacing w:after="0" w:line="240" w:lineRule="auto"/>
              <w:jc w:val="right"/>
              <w:rPr>
                <w:rFonts w:ascii="Times New Roman" w:hAnsi="Times New Roman" w:cs="Times New Roman"/>
                <w:b/>
                <w:bCs/>
                <w:i/>
                <w:iCs/>
              </w:rPr>
            </w:pPr>
            <w:r w:rsidRPr="00E47AA9">
              <w:rPr>
                <w:rFonts w:ascii="Times New Roman" w:hAnsi="Times New Roman" w:cs="Times New Roman"/>
                <w:b/>
                <w:bCs/>
                <w:i/>
                <w:iCs/>
              </w:rPr>
              <w:t>100,00</w:t>
            </w:r>
          </w:p>
        </w:tc>
        <w:tc>
          <w:tcPr>
            <w:tcW w:w="1560" w:type="dxa"/>
            <w:tcBorders>
              <w:top w:val="nil"/>
              <w:left w:val="nil"/>
              <w:bottom w:val="single" w:sz="4" w:space="0" w:color="auto"/>
              <w:right w:val="single" w:sz="4" w:space="0" w:color="auto"/>
            </w:tcBorders>
            <w:shd w:val="clear" w:color="auto" w:fill="auto"/>
            <w:vAlign w:val="bottom"/>
          </w:tcPr>
          <w:p w14:paraId="46E47D81" w14:textId="77777777" w:rsidR="00353702" w:rsidRPr="00E47AA9" w:rsidRDefault="00353702" w:rsidP="00353702">
            <w:pPr>
              <w:spacing w:after="0" w:line="240" w:lineRule="auto"/>
              <w:jc w:val="right"/>
              <w:rPr>
                <w:rFonts w:ascii="Times New Roman" w:hAnsi="Times New Roman" w:cs="Times New Roman"/>
                <w:b/>
                <w:bCs/>
              </w:rPr>
            </w:pPr>
            <w:r w:rsidRPr="00E47AA9">
              <w:rPr>
                <w:rFonts w:ascii="Times New Roman" w:hAnsi="Times New Roman" w:cs="Times New Roman"/>
                <w:b/>
                <w:bCs/>
              </w:rPr>
              <w:t>8 689,58</w:t>
            </w:r>
          </w:p>
        </w:tc>
      </w:tr>
    </w:tbl>
    <w:p w14:paraId="596A056A" w14:textId="77777777" w:rsidR="00353702" w:rsidRPr="00E47AA9" w:rsidRDefault="00353702" w:rsidP="00353702">
      <w:pPr>
        <w:spacing w:after="0" w:line="240" w:lineRule="auto"/>
        <w:ind w:firstLine="709"/>
        <w:jc w:val="both"/>
        <w:rPr>
          <w:rFonts w:ascii="Times New Roman" w:eastAsia="Times New Roman" w:hAnsi="Times New Roman" w:cs="Times New Roman"/>
          <w:sz w:val="28"/>
          <w:szCs w:val="28"/>
          <w:lang w:eastAsia="ru-RU"/>
        </w:rPr>
      </w:pPr>
    </w:p>
    <w:p w14:paraId="535E9EA8" w14:textId="77777777" w:rsidR="00353702" w:rsidRPr="00E47AA9" w:rsidRDefault="00353702" w:rsidP="00353702">
      <w:pPr>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sz w:val="28"/>
          <w:szCs w:val="28"/>
          <w:lang w:eastAsia="ru-RU"/>
        </w:rPr>
        <w:t xml:space="preserve">Согласно </w:t>
      </w:r>
      <w:proofErr w:type="gramStart"/>
      <w:r w:rsidRPr="00E47AA9">
        <w:rPr>
          <w:rFonts w:ascii="Times New Roman" w:eastAsia="Times New Roman" w:hAnsi="Times New Roman" w:cs="Times New Roman"/>
          <w:sz w:val="28"/>
          <w:szCs w:val="28"/>
          <w:lang w:eastAsia="ru-RU"/>
        </w:rPr>
        <w:t>отчету</w:t>
      </w:r>
      <w:proofErr w:type="gramEnd"/>
      <w:r w:rsidRPr="00E47AA9">
        <w:rPr>
          <w:rFonts w:ascii="Times New Roman" w:eastAsia="Times New Roman" w:hAnsi="Times New Roman" w:cs="Times New Roman"/>
          <w:sz w:val="28"/>
          <w:szCs w:val="28"/>
          <w:lang w:eastAsia="ru-RU"/>
        </w:rPr>
        <w:t xml:space="preserve"> расходы краевого бюджета за 2024 год исполнены в сумме 236994,68 млн рублей, или 96,46 % уточненных бюджетных назначений (245684,26 млн рублей).</w:t>
      </w:r>
      <w:r w:rsidRPr="00E47AA9">
        <w:rPr>
          <w:rFonts w:ascii="Times New Roman" w:eastAsia="Times New Roman" w:hAnsi="Times New Roman" w:cs="Times New Roman"/>
          <w:bCs/>
          <w:sz w:val="28"/>
          <w:szCs w:val="28"/>
          <w:lang w:eastAsia="ru-RU"/>
        </w:rPr>
        <w:t xml:space="preserve"> </w:t>
      </w:r>
    </w:p>
    <w:p w14:paraId="6FF96321" w14:textId="77777777" w:rsidR="00353702" w:rsidRPr="00E47AA9" w:rsidRDefault="00353702" w:rsidP="0035370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hAnsi="Times New Roman" w:cs="Times New Roman"/>
          <w:sz w:val="28"/>
          <w:szCs w:val="28"/>
        </w:rPr>
        <w:t>За 2024 год к</w:t>
      </w:r>
      <w:r w:rsidRPr="00E47AA9">
        <w:rPr>
          <w:rFonts w:ascii="Times New Roman" w:eastAsia="Times New Roman" w:hAnsi="Times New Roman" w:cs="Times New Roman"/>
          <w:sz w:val="28"/>
          <w:szCs w:val="28"/>
          <w:lang w:eastAsia="ru-RU"/>
        </w:rPr>
        <w:t xml:space="preserve">ассовое исполнение расходов выше среднего уровня (96,46 %) осуществлено по 9 разделам из 14. Не достигли среднего уровня </w:t>
      </w:r>
      <w:r w:rsidRPr="00E47AA9">
        <w:rPr>
          <w:rFonts w:ascii="Times New Roman" w:eastAsia="Times New Roman" w:hAnsi="Times New Roman" w:cs="Times New Roman"/>
          <w:sz w:val="28"/>
          <w:szCs w:val="28"/>
          <w:lang w:eastAsia="ru-RU"/>
        </w:rPr>
        <w:br/>
        <w:t>5 разделов: "Национальная экономика" (92,50 %), "Жилищно-коммунальное хозяйство" (95,60 %), "Охрана окружающей среды" (86,70 %), "Здравоохранение" (95,15 %), "Физическая культура и спорт" (92,24 %).</w:t>
      </w:r>
    </w:p>
    <w:p w14:paraId="4D5CC97F" w14:textId="77777777" w:rsidR="00353702" w:rsidRPr="00E47AA9" w:rsidRDefault="00353702" w:rsidP="0035370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Неисполненный остаток бюджетных ассигнований за 2024 год составил 8689,58 млн рублей, из них в наибольших значениях по разделам:</w:t>
      </w:r>
    </w:p>
    <w:p w14:paraId="7BAAE52D" w14:textId="1F8FDD5E" w:rsidR="00353702" w:rsidRPr="00E47AA9" w:rsidRDefault="00353702" w:rsidP="0035370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"Национальная экономика" – 3649,18 млн рублей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48623,92 млн рублей, исполнено 44974,74 млн рублей), из которых 2184,95 млн рублей по государственной программе Приморского края "Развитие транспортного комплекса в Приморском крае";</w:t>
      </w:r>
    </w:p>
    <w:p w14:paraId="6626D998" w14:textId="5287EB1E" w:rsidR="00353702" w:rsidRPr="00E47AA9" w:rsidRDefault="00353702" w:rsidP="00353702">
      <w:pPr>
        <w:tabs>
          <w:tab w:val="left" w:pos="0"/>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"Жилищно-коммунальное хозяйство" – 1462,01 млн рублей (план</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 33255,85 млн рублей, исполнено 31793,84 млн рублей), из них 1159,05 млн рублей по государственной программе Приморского края "Обеспечение доступным жильем и качественными услугами жилищно-коммунального хозяйства населения Приморского края";</w:t>
      </w:r>
    </w:p>
    <w:p w14:paraId="7B768BEF" w14:textId="00D5FBA4" w:rsidR="00353702" w:rsidRPr="00E47AA9" w:rsidRDefault="00353702" w:rsidP="00353702">
      <w:pPr>
        <w:tabs>
          <w:tab w:val="left" w:pos="0"/>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"Образование" – 1277,67 млн рублей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49756,79 млн рублей, исполнено 48479,12 млн рублей), из них 1266,78 млн рублей по государственной программе Приморского края "Развитие образования Приморского края";</w:t>
      </w:r>
    </w:p>
    <w:p w14:paraId="0DE3495C" w14:textId="1C3B3958" w:rsidR="00353702" w:rsidRPr="00E47AA9" w:rsidRDefault="00353702" w:rsidP="00353702">
      <w:pPr>
        <w:tabs>
          <w:tab w:val="left" w:pos="0"/>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"Здравоохранение" – 1017,83 млн рублей (план</w:t>
      </w:r>
      <w:r w:rsidR="001D6C53" w:rsidRPr="00E47AA9">
        <w:rPr>
          <w:rFonts w:ascii="Times New Roman" w:eastAsia="Times New Roman" w:hAnsi="Times New Roman" w:cs="Times New Roman"/>
          <w:sz w:val="28"/>
          <w:szCs w:val="28"/>
          <w:lang w:eastAsia="ru-RU"/>
        </w:rPr>
        <w:t xml:space="preserve"> – </w:t>
      </w:r>
      <w:r w:rsidRPr="00E47AA9">
        <w:rPr>
          <w:rFonts w:ascii="Times New Roman" w:eastAsia="Times New Roman" w:hAnsi="Times New Roman" w:cs="Times New Roman"/>
          <w:sz w:val="28"/>
          <w:szCs w:val="28"/>
          <w:lang w:eastAsia="ru-RU"/>
        </w:rPr>
        <w:t>20975,87 млн рублей, исполнено 19958,04 млн рублей), из них 1015,18 млн рублей по ГП "Развитие здравоохранения Приморского края".</w:t>
      </w:r>
    </w:p>
    <w:p w14:paraId="638219DF" w14:textId="77777777" w:rsidR="00353702" w:rsidRPr="00E47AA9" w:rsidRDefault="00353702" w:rsidP="00353702">
      <w:pPr>
        <w:spacing w:after="0" w:line="240" w:lineRule="auto"/>
        <w:ind w:firstLine="708"/>
        <w:jc w:val="both"/>
        <w:outlineLvl w:val="2"/>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Распределение исполненных расходов по долям (%) в 2023 и 2024 годах в разрезе 14 разделов бюджетной классификации расходов представлено в таблице.</w:t>
      </w:r>
    </w:p>
    <w:p w14:paraId="11277CD8" w14:textId="77777777" w:rsidR="00353702" w:rsidRPr="00E47AA9" w:rsidRDefault="00353702" w:rsidP="00353702">
      <w:pPr>
        <w:spacing w:after="0" w:line="240" w:lineRule="auto"/>
        <w:ind w:firstLine="708"/>
        <w:outlineLvl w:val="2"/>
        <w:rPr>
          <w:rFonts w:ascii="Times New Roman" w:eastAsia="Times New Roman" w:hAnsi="Times New Roman" w:cs="Times New Roman"/>
          <w:sz w:val="27"/>
          <w:szCs w:val="27"/>
          <w:lang w:eastAsia="ru-RU"/>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087"/>
        <w:gridCol w:w="1790"/>
        <w:gridCol w:w="1790"/>
        <w:gridCol w:w="1689"/>
      </w:tblGrid>
      <w:tr w:rsidR="00E47AA9" w:rsidRPr="00E47AA9" w14:paraId="264440FF" w14:textId="77777777" w:rsidTr="00353702">
        <w:trPr>
          <w:trHeight w:val="20"/>
          <w:tblHeader/>
        </w:trPr>
        <w:tc>
          <w:tcPr>
            <w:tcW w:w="4087" w:type="dxa"/>
            <w:vMerge w:val="restart"/>
            <w:tcMar>
              <w:top w:w="103" w:type="dxa"/>
              <w:left w:w="0" w:type="dxa"/>
              <w:bottom w:w="103" w:type="dxa"/>
              <w:right w:w="206" w:type="dxa"/>
            </w:tcMar>
            <w:vAlign w:val="center"/>
          </w:tcPr>
          <w:p w14:paraId="32ED3579" w14:textId="77777777" w:rsidR="00353702" w:rsidRPr="00E47AA9" w:rsidRDefault="00353702" w:rsidP="00353702">
            <w:pPr>
              <w:spacing w:after="0" w:line="240" w:lineRule="auto"/>
              <w:ind w:left="137"/>
              <w:jc w:val="center"/>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Наименование раздела бюджетной классификации расходов</w:t>
            </w:r>
          </w:p>
        </w:tc>
        <w:tc>
          <w:tcPr>
            <w:tcW w:w="3580" w:type="dxa"/>
            <w:gridSpan w:val="2"/>
            <w:tcMar>
              <w:top w:w="103" w:type="dxa"/>
              <w:left w:w="206" w:type="dxa"/>
              <w:bottom w:w="103" w:type="dxa"/>
              <w:right w:w="206" w:type="dxa"/>
            </w:tcMar>
            <w:vAlign w:val="center"/>
          </w:tcPr>
          <w:p w14:paraId="512935FA" w14:textId="77777777" w:rsidR="00353702" w:rsidRPr="00E47AA9" w:rsidRDefault="00353702" w:rsidP="00353702">
            <w:pPr>
              <w:spacing w:after="0" w:line="240" w:lineRule="auto"/>
              <w:jc w:val="center"/>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Исполнение бюджетных ассигнований</w:t>
            </w:r>
          </w:p>
        </w:tc>
        <w:tc>
          <w:tcPr>
            <w:tcW w:w="1689" w:type="dxa"/>
            <w:vMerge w:val="restart"/>
            <w:tcMar>
              <w:top w:w="103" w:type="dxa"/>
              <w:left w:w="206" w:type="dxa"/>
              <w:bottom w:w="103" w:type="dxa"/>
              <w:right w:w="206" w:type="dxa"/>
            </w:tcMar>
            <w:vAlign w:val="center"/>
          </w:tcPr>
          <w:p w14:paraId="35089B8D" w14:textId="77777777" w:rsidR="00353702" w:rsidRPr="00E47AA9" w:rsidRDefault="00353702" w:rsidP="00353702">
            <w:pPr>
              <w:spacing w:after="0" w:line="240" w:lineRule="auto"/>
              <w:jc w:val="center"/>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Отклонение 2024/2023</w:t>
            </w:r>
          </w:p>
        </w:tc>
      </w:tr>
      <w:tr w:rsidR="00E47AA9" w:rsidRPr="00E47AA9" w14:paraId="1F82A624" w14:textId="77777777" w:rsidTr="00353702">
        <w:trPr>
          <w:trHeight w:val="20"/>
          <w:tblHeader/>
        </w:trPr>
        <w:tc>
          <w:tcPr>
            <w:tcW w:w="4087" w:type="dxa"/>
            <w:vMerge/>
            <w:tcMar>
              <w:top w:w="103" w:type="dxa"/>
              <w:left w:w="0" w:type="dxa"/>
              <w:bottom w:w="103" w:type="dxa"/>
              <w:right w:w="206" w:type="dxa"/>
            </w:tcMar>
            <w:vAlign w:val="center"/>
            <w:hideMark/>
          </w:tcPr>
          <w:p w14:paraId="237E4923" w14:textId="77777777" w:rsidR="00353702" w:rsidRPr="00E47AA9" w:rsidRDefault="00353702" w:rsidP="00353702">
            <w:pPr>
              <w:spacing w:after="0" w:line="240" w:lineRule="auto"/>
              <w:ind w:left="137"/>
              <w:jc w:val="center"/>
              <w:rPr>
                <w:rFonts w:ascii="Times New Roman" w:eastAsia="Times New Roman" w:hAnsi="Times New Roman" w:cs="Times New Roman"/>
                <w:b/>
                <w:bCs/>
                <w:lang w:eastAsia="ru-RU"/>
              </w:rPr>
            </w:pPr>
          </w:p>
        </w:tc>
        <w:tc>
          <w:tcPr>
            <w:tcW w:w="1790" w:type="dxa"/>
            <w:tcMar>
              <w:top w:w="103" w:type="dxa"/>
              <w:left w:w="206" w:type="dxa"/>
              <w:bottom w:w="103" w:type="dxa"/>
              <w:right w:w="206" w:type="dxa"/>
            </w:tcMar>
            <w:vAlign w:val="center"/>
            <w:hideMark/>
          </w:tcPr>
          <w:p w14:paraId="3EC876AB" w14:textId="77777777" w:rsidR="00353702" w:rsidRPr="00E47AA9" w:rsidRDefault="00353702" w:rsidP="00353702">
            <w:pPr>
              <w:spacing w:after="0" w:line="240" w:lineRule="auto"/>
              <w:jc w:val="center"/>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в 2023 году</w:t>
            </w:r>
          </w:p>
        </w:tc>
        <w:tc>
          <w:tcPr>
            <w:tcW w:w="1790" w:type="dxa"/>
            <w:tcMar>
              <w:top w:w="103" w:type="dxa"/>
              <w:left w:w="206" w:type="dxa"/>
              <w:bottom w:w="103" w:type="dxa"/>
              <w:right w:w="206" w:type="dxa"/>
            </w:tcMar>
            <w:vAlign w:val="center"/>
            <w:hideMark/>
          </w:tcPr>
          <w:p w14:paraId="2B7D4561" w14:textId="77777777" w:rsidR="00353702" w:rsidRPr="00E47AA9" w:rsidRDefault="00353702" w:rsidP="00353702">
            <w:pPr>
              <w:spacing w:after="0" w:line="240" w:lineRule="auto"/>
              <w:jc w:val="center"/>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в 2024 году</w:t>
            </w:r>
          </w:p>
        </w:tc>
        <w:tc>
          <w:tcPr>
            <w:tcW w:w="1689" w:type="dxa"/>
            <w:vMerge/>
            <w:tcMar>
              <w:top w:w="103" w:type="dxa"/>
              <w:left w:w="206" w:type="dxa"/>
              <w:bottom w:w="103" w:type="dxa"/>
              <w:right w:w="206" w:type="dxa"/>
            </w:tcMar>
            <w:vAlign w:val="center"/>
            <w:hideMark/>
          </w:tcPr>
          <w:p w14:paraId="7FDB6A1C" w14:textId="77777777" w:rsidR="00353702" w:rsidRPr="00E47AA9" w:rsidRDefault="00353702" w:rsidP="00353702">
            <w:pPr>
              <w:spacing w:after="0" w:line="240" w:lineRule="auto"/>
              <w:jc w:val="center"/>
              <w:rPr>
                <w:rFonts w:ascii="Times New Roman" w:eastAsia="Times New Roman" w:hAnsi="Times New Roman" w:cs="Times New Roman"/>
                <w:b/>
                <w:bCs/>
                <w:lang w:eastAsia="ru-RU"/>
              </w:rPr>
            </w:pPr>
          </w:p>
        </w:tc>
      </w:tr>
      <w:tr w:rsidR="00E47AA9" w:rsidRPr="00E47AA9" w14:paraId="49CEA106" w14:textId="77777777" w:rsidTr="00353702">
        <w:trPr>
          <w:trHeight w:val="20"/>
        </w:trPr>
        <w:tc>
          <w:tcPr>
            <w:tcW w:w="4087" w:type="dxa"/>
            <w:tcMar>
              <w:top w:w="103" w:type="dxa"/>
              <w:left w:w="0" w:type="dxa"/>
              <w:bottom w:w="103" w:type="dxa"/>
              <w:right w:w="206" w:type="dxa"/>
            </w:tcMar>
            <w:vAlign w:val="center"/>
            <w:hideMark/>
          </w:tcPr>
          <w:p w14:paraId="722C7131" w14:textId="77777777" w:rsidR="00353702" w:rsidRPr="00E47AA9" w:rsidRDefault="00353702" w:rsidP="00353702">
            <w:pPr>
              <w:spacing w:after="0" w:line="240" w:lineRule="auto"/>
              <w:ind w:left="137"/>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Социальная политика</w:t>
            </w:r>
          </w:p>
        </w:tc>
        <w:tc>
          <w:tcPr>
            <w:tcW w:w="1790" w:type="dxa"/>
            <w:tcMar>
              <w:top w:w="103" w:type="dxa"/>
              <w:left w:w="206" w:type="dxa"/>
              <w:bottom w:w="103" w:type="dxa"/>
              <w:right w:w="206" w:type="dxa"/>
            </w:tcMar>
            <w:vAlign w:val="center"/>
            <w:hideMark/>
          </w:tcPr>
          <w:p w14:paraId="2DFF54E5"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26,21%</w:t>
            </w:r>
          </w:p>
        </w:tc>
        <w:tc>
          <w:tcPr>
            <w:tcW w:w="1790" w:type="dxa"/>
            <w:tcMar>
              <w:top w:w="103" w:type="dxa"/>
              <w:left w:w="206" w:type="dxa"/>
              <w:bottom w:w="103" w:type="dxa"/>
              <w:right w:w="206" w:type="dxa"/>
            </w:tcMar>
            <w:vAlign w:val="center"/>
            <w:hideMark/>
          </w:tcPr>
          <w:p w14:paraId="3768A4D7"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23,44 %</w:t>
            </w:r>
          </w:p>
        </w:tc>
        <w:tc>
          <w:tcPr>
            <w:tcW w:w="1689" w:type="dxa"/>
            <w:tcMar>
              <w:top w:w="103" w:type="dxa"/>
              <w:left w:w="206" w:type="dxa"/>
              <w:bottom w:w="103" w:type="dxa"/>
              <w:right w:w="206" w:type="dxa"/>
            </w:tcMar>
            <w:vAlign w:val="center"/>
            <w:hideMark/>
          </w:tcPr>
          <w:p w14:paraId="4488A92B"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 -2,77 %</w:t>
            </w:r>
          </w:p>
        </w:tc>
      </w:tr>
      <w:tr w:rsidR="00E47AA9" w:rsidRPr="00E47AA9" w14:paraId="1F362386" w14:textId="77777777" w:rsidTr="00353702">
        <w:trPr>
          <w:trHeight w:val="20"/>
        </w:trPr>
        <w:tc>
          <w:tcPr>
            <w:tcW w:w="4087" w:type="dxa"/>
            <w:tcMar>
              <w:top w:w="103" w:type="dxa"/>
              <w:left w:w="0" w:type="dxa"/>
              <w:bottom w:w="103" w:type="dxa"/>
              <w:right w:w="206" w:type="dxa"/>
            </w:tcMar>
            <w:vAlign w:val="center"/>
            <w:hideMark/>
          </w:tcPr>
          <w:p w14:paraId="17044B2F" w14:textId="77777777" w:rsidR="00353702" w:rsidRPr="00E47AA9" w:rsidRDefault="00353702" w:rsidP="00353702">
            <w:pPr>
              <w:spacing w:after="0" w:line="240" w:lineRule="auto"/>
              <w:ind w:left="137"/>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Образование</w:t>
            </w:r>
          </w:p>
        </w:tc>
        <w:tc>
          <w:tcPr>
            <w:tcW w:w="1790" w:type="dxa"/>
            <w:tcMar>
              <w:top w:w="103" w:type="dxa"/>
              <w:left w:w="206" w:type="dxa"/>
              <w:bottom w:w="103" w:type="dxa"/>
              <w:right w:w="206" w:type="dxa"/>
            </w:tcMar>
            <w:vAlign w:val="center"/>
            <w:hideMark/>
          </w:tcPr>
          <w:p w14:paraId="1AC5020C"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19,80 %</w:t>
            </w:r>
          </w:p>
        </w:tc>
        <w:tc>
          <w:tcPr>
            <w:tcW w:w="1790" w:type="dxa"/>
            <w:tcMar>
              <w:top w:w="103" w:type="dxa"/>
              <w:left w:w="206" w:type="dxa"/>
              <w:bottom w:w="103" w:type="dxa"/>
              <w:right w:w="206" w:type="dxa"/>
            </w:tcMar>
            <w:vAlign w:val="center"/>
            <w:hideMark/>
          </w:tcPr>
          <w:p w14:paraId="12EC5423"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20,46 %</w:t>
            </w:r>
          </w:p>
        </w:tc>
        <w:tc>
          <w:tcPr>
            <w:tcW w:w="1689" w:type="dxa"/>
            <w:tcMar>
              <w:top w:w="103" w:type="dxa"/>
              <w:left w:w="206" w:type="dxa"/>
              <w:bottom w:w="103" w:type="dxa"/>
              <w:right w:w="206" w:type="dxa"/>
            </w:tcMar>
            <w:vAlign w:val="center"/>
            <w:hideMark/>
          </w:tcPr>
          <w:p w14:paraId="0F648B06"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 +0,66 %</w:t>
            </w:r>
          </w:p>
        </w:tc>
      </w:tr>
      <w:tr w:rsidR="00E47AA9" w:rsidRPr="00E47AA9" w14:paraId="4534E1C0" w14:textId="77777777" w:rsidTr="00353702">
        <w:trPr>
          <w:trHeight w:val="20"/>
        </w:trPr>
        <w:tc>
          <w:tcPr>
            <w:tcW w:w="4087" w:type="dxa"/>
            <w:tcMar>
              <w:top w:w="103" w:type="dxa"/>
              <w:left w:w="0" w:type="dxa"/>
              <w:bottom w:w="103" w:type="dxa"/>
              <w:right w:w="206" w:type="dxa"/>
            </w:tcMar>
            <w:vAlign w:val="center"/>
            <w:hideMark/>
          </w:tcPr>
          <w:p w14:paraId="7AFD83F3" w14:textId="77777777" w:rsidR="00353702" w:rsidRPr="00E47AA9" w:rsidRDefault="00353702" w:rsidP="00353702">
            <w:pPr>
              <w:spacing w:after="0" w:line="240" w:lineRule="auto"/>
              <w:ind w:left="137"/>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Национальная экономика</w:t>
            </w:r>
          </w:p>
        </w:tc>
        <w:tc>
          <w:tcPr>
            <w:tcW w:w="1790" w:type="dxa"/>
            <w:tcMar>
              <w:top w:w="103" w:type="dxa"/>
              <w:left w:w="206" w:type="dxa"/>
              <w:bottom w:w="103" w:type="dxa"/>
              <w:right w:w="206" w:type="dxa"/>
            </w:tcMar>
            <w:vAlign w:val="center"/>
            <w:hideMark/>
          </w:tcPr>
          <w:p w14:paraId="6ABBEAED"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19,20 %</w:t>
            </w:r>
          </w:p>
        </w:tc>
        <w:tc>
          <w:tcPr>
            <w:tcW w:w="1790" w:type="dxa"/>
            <w:tcMar>
              <w:top w:w="103" w:type="dxa"/>
              <w:left w:w="206" w:type="dxa"/>
              <w:bottom w:w="103" w:type="dxa"/>
              <w:right w:w="206" w:type="dxa"/>
            </w:tcMar>
            <w:vAlign w:val="center"/>
            <w:hideMark/>
          </w:tcPr>
          <w:p w14:paraId="4630646F"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18,98 %</w:t>
            </w:r>
          </w:p>
        </w:tc>
        <w:tc>
          <w:tcPr>
            <w:tcW w:w="1689" w:type="dxa"/>
            <w:tcMar>
              <w:top w:w="103" w:type="dxa"/>
              <w:left w:w="206" w:type="dxa"/>
              <w:bottom w:w="103" w:type="dxa"/>
              <w:right w:w="206" w:type="dxa"/>
            </w:tcMar>
            <w:vAlign w:val="center"/>
            <w:hideMark/>
          </w:tcPr>
          <w:p w14:paraId="4989C419"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 -0,22 %</w:t>
            </w:r>
          </w:p>
        </w:tc>
      </w:tr>
      <w:tr w:rsidR="00E47AA9" w:rsidRPr="00E47AA9" w14:paraId="092FA38F" w14:textId="77777777" w:rsidTr="00353702">
        <w:trPr>
          <w:trHeight w:val="20"/>
        </w:trPr>
        <w:tc>
          <w:tcPr>
            <w:tcW w:w="4087" w:type="dxa"/>
            <w:tcMar>
              <w:top w:w="103" w:type="dxa"/>
              <w:left w:w="0" w:type="dxa"/>
              <w:bottom w:w="103" w:type="dxa"/>
              <w:right w:w="206" w:type="dxa"/>
            </w:tcMar>
            <w:vAlign w:val="center"/>
            <w:hideMark/>
          </w:tcPr>
          <w:p w14:paraId="18C56775" w14:textId="77777777" w:rsidR="00353702" w:rsidRPr="00E47AA9" w:rsidRDefault="00353702" w:rsidP="00353702">
            <w:pPr>
              <w:spacing w:after="0" w:line="240" w:lineRule="auto"/>
              <w:ind w:left="137"/>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Жилищно-коммунальное хозяйство</w:t>
            </w:r>
          </w:p>
        </w:tc>
        <w:tc>
          <w:tcPr>
            <w:tcW w:w="1790" w:type="dxa"/>
            <w:tcMar>
              <w:top w:w="103" w:type="dxa"/>
              <w:left w:w="206" w:type="dxa"/>
              <w:bottom w:w="103" w:type="dxa"/>
              <w:right w:w="206" w:type="dxa"/>
            </w:tcMar>
            <w:vAlign w:val="center"/>
            <w:hideMark/>
          </w:tcPr>
          <w:p w14:paraId="681EABC6"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12,92 %</w:t>
            </w:r>
          </w:p>
        </w:tc>
        <w:tc>
          <w:tcPr>
            <w:tcW w:w="1790" w:type="dxa"/>
            <w:tcMar>
              <w:top w:w="103" w:type="dxa"/>
              <w:left w:w="206" w:type="dxa"/>
              <w:bottom w:w="103" w:type="dxa"/>
              <w:right w:w="206" w:type="dxa"/>
            </w:tcMar>
            <w:vAlign w:val="center"/>
            <w:hideMark/>
          </w:tcPr>
          <w:p w14:paraId="7BB0B493"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13,42 %</w:t>
            </w:r>
          </w:p>
        </w:tc>
        <w:tc>
          <w:tcPr>
            <w:tcW w:w="1689" w:type="dxa"/>
            <w:tcMar>
              <w:top w:w="103" w:type="dxa"/>
              <w:left w:w="206" w:type="dxa"/>
              <w:bottom w:w="103" w:type="dxa"/>
              <w:right w:w="206" w:type="dxa"/>
            </w:tcMar>
            <w:vAlign w:val="center"/>
            <w:hideMark/>
          </w:tcPr>
          <w:p w14:paraId="450C6FF3"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 +0,50 %</w:t>
            </w:r>
          </w:p>
        </w:tc>
      </w:tr>
      <w:tr w:rsidR="00E47AA9" w:rsidRPr="00E47AA9" w14:paraId="18184640" w14:textId="77777777" w:rsidTr="00353702">
        <w:trPr>
          <w:trHeight w:val="20"/>
        </w:trPr>
        <w:tc>
          <w:tcPr>
            <w:tcW w:w="4087" w:type="dxa"/>
            <w:tcMar>
              <w:top w:w="103" w:type="dxa"/>
              <w:left w:w="0" w:type="dxa"/>
              <w:bottom w:w="103" w:type="dxa"/>
              <w:right w:w="206" w:type="dxa"/>
            </w:tcMar>
            <w:vAlign w:val="center"/>
            <w:hideMark/>
          </w:tcPr>
          <w:p w14:paraId="03A2561B" w14:textId="77777777" w:rsidR="00353702" w:rsidRPr="00E47AA9" w:rsidRDefault="00353702" w:rsidP="00353702">
            <w:pPr>
              <w:spacing w:after="0" w:line="240" w:lineRule="auto"/>
              <w:ind w:left="137"/>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Здравоохранение</w:t>
            </w:r>
          </w:p>
        </w:tc>
        <w:tc>
          <w:tcPr>
            <w:tcW w:w="1790" w:type="dxa"/>
            <w:tcMar>
              <w:top w:w="103" w:type="dxa"/>
              <w:left w:w="206" w:type="dxa"/>
              <w:bottom w:w="103" w:type="dxa"/>
              <w:right w:w="206" w:type="dxa"/>
            </w:tcMar>
            <w:vAlign w:val="center"/>
            <w:hideMark/>
          </w:tcPr>
          <w:p w14:paraId="05CE0348"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7,33 %</w:t>
            </w:r>
          </w:p>
        </w:tc>
        <w:tc>
          <w:tcPr>
            <w:tcW w:w="1790" w:type="dxa"/>
            <w:tcMar>
              <w:top w:w="103" w:type="dxa"/>
              <w:left w:w="206" w:type="dxa"/>
              <w:bottom w:w="103" w:type="dxa"/>
              <w:right w:w="206" w:type="dxa"/>
            </w:tcMar>
            <w:vAlign w:val="center"/>
            <w:hideMark/>
          </w:tcPr>
          <w:p w14:paraId="4B60A0D8"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8,42 %</w:t>
            </w:r>
          </w:p>
        </w:tc>
        <w:tc>
          <w:tcPr>
            <w:tcW w:w="1689" w:type="dxa"/>
            <w:tcMar>
              <w:top w:w="103" w:type="dxa"/>
              <w:left w:w="206" w:type="dxa"/>
              <w:bottom w:w="103" w:type="dxa"/>
              <w:right w:w="206" w:type="dxa"/>
            </w:tcMar>
            <w:vAlign w:val="center"/>
            <w:hideMark/>
          </w:tcPr>
          <w:p w14:paraId="55076771"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 +1,09 %</w:t>
            </w:r>
          </w:p>
        </w:tc>
      </w:tr>
      <w:tr w:rsidR="00E47AA9" w:rsidRPr="00E47AA9" w14:paraId="41424AF1" w14:textId="77777777" w:rsidTr="00353702">
        <w:trPr>
          <w:trHeight w:val="20"/>
        </w:trPr>
        <w:tc>
          <w:tcPr>
            <w:tcW w:w="4087" w:type="dxa"/>
            <w:tcMar>
              <w:top w:w="103" w:type="dxa"/>
              <w:left w:w="0" w:type="dxa"/>
              <w:bottom w:w="103" w:type="dxa"/>
              <w:right w:w="206" w:type="dxa"/>
            </w:tcMar>
            <w:vAlign w:val="center"/>
            <w:hideMark/>
          </w:tcPr>
          <w:p w14:paraId="764BC3D0" w14:textId="77777777" w:rsidR="00353702" w:rsidRPr="00E47AA9" w:rsidRDefault="00353702" w:rsidP="00353702">
            <w:pPr>
              <w:spacing w:after="0" w:line="240" w:lineRule="auto"/>
              <w:ind w:left="137"/>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Общегосударственные вопросы</w:t>
            </w:r>
          </w:p>
        </w:tc>
        <w:tc>
          <w:tcPr>
            <w:tcW w:w="1790" w:type="dxa"/>
            <w:tcMar>
              <w:top w:w="103" w:type="dxa"/>
              <w:left w:w="206" w:type="dxa"/>
              <w:bottom w:w="103" w:type="dxa"/>
              <w:right w:w="206" w:type="dxa"/>
            </w:tcMar>
            <w:vAlign w:val="center"/>
            <w:hideMark/>
          </w:tcPr>
          <w:p w14:paraId="53A3F61A"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3,59 %</w:t>
            </w:r>
          </w:p>
        </w:tc>
        <w:tc>
          <w:tcPr>
            <w:tcW w:w="1790" w:type="dxa"/>
            <w:tcMar>
              <w:top w:w="103" w:type="dxa"/>
              <w:left w:w="206" w:type="dxa"/>
              <w:bottom w:w="103" w:type="dxa"/>
              <w:right w:w="206" w:type="dxa"/>
            </w:tcMar>
            <w:vAlign w:val="center"/>
            <w:hideMark/>
          </w:tcPr>
          <w:p w14:paraId="542520E1"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3,98 %</w:t>
            </w:r>
          </w:p>
        </w:tc>
        <w:tc>
          <w:tcPr>
            <w:tcW w:w="1689" w:type="dxa"/>
            <w:tcMar>
              <w:top w:w="103" w:type="dxa"/>
              <w:left w:w="206" w:type="dxa"/>
              <w:bottom w:w="103" w:type="dxa"/>
              <w:right w:w="206" w:type="dxa"/>
            </w:tcMar>
            <w:vAlign w:val="center"/>
            <w:hideMark/>
          </w:tcPr>
          <w:p w14:paraId="2F6B44FC"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 +0,39 %</w:t>
            </w:r>
          </w:p>
        </w:tc>
      </w:tr>
      <w:tr w:rsidR="00E47AA9" w:rsidRPr="00E47AA9" w14:paraId="1D7587B5" w14:textId="77777777" w:rsidTr="00353702">
        <w:trPr>
          <w:trHeight w:val="20"/>
        </w:trPr>
        <w:tc>
          <w:tcPr>
            <w:tcW w:w="4087" w:type="dxa"/>
            <w:tcMar>
              <w:top w:w="103" w:type="dxa"/>
              <w:left w:w="0" w:type="dxa"/>
              <w:bottom w:w="103" w:type="dxa"/>
              <w:right w:w="206" w:type="dxa"/>
            </w:tcMar>
            <w:vAlign w:val="center"/>
            <w:hideMark/>
          </w:tcPr>
          <w:p w14:paraId="2741DFC3" w14:textId="77777777" w:rsidR="00353702" w:rsidRPr="00E47AA9" w:rsidRDefault="00353702" w:rsidP="00353702">
            <w:pPr>
              <w:spacing w:after="0" w:line="240" w:lineRule="auto"/>
              <w:ind w:left="137"/>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Физическая культура и спорт</w:t>
            </w:r>
          </w:p>
        </w:tc>
        <w:tc>
          <w:tcPr>
            <w:tcW w:w="1790" w:type="dxa"/>
            <w:tcMar>
              <w:top w:w="103" w:type="dxa"/>
              <w:left w:w="206" w:type="dxa"/>
              <w:bottom w:w="103" w:type="dxa"/>
              <w:right w:w="206" w:type="dxa"/>
            </w:tcMar>
            <w:vAlign w:val="center"/>
            <w:hideMark/>
          </w:tcPr>
          <w:p w14:paraId="2531F802"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2,54 %</w:t>
            </w:r>
          </w:p>
        </w:tc>
        <w:tc>
          <w:tcPr>
            <w:tcW w:w="1790" w:type="dxa"/>
            <w:tcMar>
              <w:top w:w="103" w:type="dxa"/>
              <w:left w:w="206" w:type="dxa"/>
              <w:bottom w:w="103" w:type="dxa"/>
              <w:right w:w="206" w:type="dxa"/>
            </w:tcMar>
            <w:vAlign w:val="center"/>
            <w:hideMark/>
          </w:tcPr>
          <w:p w14:paraId="09043919"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2,67 %</w:t>
            </w:r>
          </w:p>
        </w:tc>
        <w:tc>
          <w:tcPr>
            <w:tcW w:w="1689" w:type="dxa"/>
            <w:tcMar>
              <w:top w:w="103" w:type="dxa"/>
              <w:left w:w="206" w:type="dxa"/>
              <w:bottom w:w="103" w:type="dxa"/>
              <w:right w:w="206" w:type="dxa"/>
            </w:tcMar>
            <w:vAlign w:val="center"/>
            <w:hideMark/>
          </w:tcPr>
          <w:p w14:paraId="020F3BCB"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 +0,13 %</w:t>
            </w:r>
          </w:p>
        </w:tc>
      </w:tr>
      <w:tr w:rsidR="00E47AA9" w:rsidRPr="00E47AA9" w14:paraId="7523F8A9" w14:textId="77777777" w:rsidTr="00353702">
        <w:trPr>
          <w:trHeight w:val="20"/>
        </w:trPr>
        <w:tc>
          <w:tcPr>
            <w:tcW w:w="4087" w:type="dxa"/>
            <w:tcMar>
              <w:top w:w="103" w:type="dxa"/>
              <w:left w:w="0" w:type="dxa"/>
              <w:bottom w:w="103" w:type="dxa"/>
              <w:right w:w="206" w:type="dxa"/>
            </w:tcMar>
            <w:vAlign w:val="center"/>
            <w:hideMark/>
          </w:tcPr>
          <w:p w14:paraId="40E3DDA2" w14:textId="77777777" w:rsidR="00353702" w:rsidRPr="00E47AA9" w:rsidRDefault="00353702" w:rsidP="00353702">
            <w:pPr>
              <w:spacing w:after="0" w:line="240" w:lineRule="auto"/>
              <w:ind w:left="137"/>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Национальная безопасность</w:t>
            </w:r>
          </w:p>
        </w:tc>
        <w:tc>
          <w:tcPr>
            <w:tcW w:w="1790" w:type="dxa"/>
            <w:tcMar>
              <w:top w:w="103" w:type="dxa"/>
              <w:left w:w="206" w:type="dxa"/>
              <w:bottom w:w="103" w:type="dxa"/>
              <w:right w:w="206" w:type="dxa"/>
            </w:tcMar>
            <w:vAlign w:val="center"/>
            <w:hideMark/>
          </w:tcPr>
          <w:p w14:paraId="00BA6726"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1,89 %</w:t>
            </w:r>
          </w:p>
        </w:tc>
        <w:tc>
          <w:tcPr>
            <w:tcW w:w="1790" w:type="dxa"/>
            <w:tcMar>
              <w:top w:w="103" w:type="dxa"/>
              <w:left w:w="206" w:type="dxa"/>
              <w:bottom w:w="103" w:type="dxa"/>
              <w:right w:w="206" w:type="dxa"/>
            </w:tcMar>
            <w:vAlign w:val="center"/>
            <w:hideMark/>
          </w:tcPr>
          <w:p w14:paraId="0A13C160"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2,09 %</w:t>
            </w:r>
          </w:p>
        </w:tc>
        <w:tc>
          <w:tcPr>
            <w:tcW w:w="1689" w:type="dxa"/>
            <w:tcMar>
              <w:top w:w="103" w:type="dxa"/>
              <w:left w:w="206" w:type="dxa"/>
              <w:bottom w:w="103" w:type="dxa"/>
              <w:right w:w="206" w:type="dxa"/>
            </w:tcMar>
            <w:vAlign w:val="center"/>
            <w:hideMark/>
          </w:tcPr>
          <w:p w14:paraId="32EE2591"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 +0,20 %</w:t>
            </w:r>
          </w:p>
        </w:tc>
      </w:tr>
      <w:tr w:rsidR="00E47AA9" w:rsidRPr="00E47AA9" w14:paraId="4DF5CE85" w14:textId="77777777" w:rsidTr="00353702">
        <w:trPr>
          <w:trHeight w:val="20"/>
        </w:trPr>
        <w:tc>
          <w:tcPr>
            <w:tcW w:w="4087" w:type="dxa"/>
            <w:tcMar>
              <w:top w:w="103" w:type="dxa"/>
              <w:left w:w="0" w:type="dxa"/>
              <w:bottom w:w="103" w:type="dxa"/>
              <w:right w:w="206" w:type="dxa"/>
            </w:tcMar>
            <w:vAlign w:val="center"/>
            <w:hideMark/>
          </w:tcPr>
          <w:p w14:paraId="000770CF" w14:textId="77777777" w:rsidR="00353702" w:rsidRPr="00E47AA9" w:rsidRDefault="00353702" w:rsidP="00353702">
            <w:pPr>
              <w:spacing w:after="0" w:line="240" w:lineRule="auto"/>
              <w:ind w:left="137"/>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Межбюджетные трансферты</w:t>
            </w:r>
          </w:p>
        </w:tc>
        <w:tc>
          <w:tcPr>
            <w:tcW w:w="1790" w:type="dxa"/>
            <w:tcMar>
              <w:top w:w="103" w:type="dxa"/>
              <w:left w:w="206" w:type="dxa"/>
              <w:bottom w:w="103" w:type="dxa"/>
              <w:right w:w="206" w:type="dxa"/>
            </w:tcMar>
            <w:vAlign w:val="center"/>
            <w:hideMark/>
          </w:tcPr>
          <w:p w14:paraId="387F6561"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3,59 %</w:t>
            </w:r>
          </w:p>
        </w:tc>
        <w:tc>
          <w:tcPr>
            <w:tcW w:w="1790" w:type="dxa"/>
            <w:tcMar>
              <w:top w:w="103" w:type="dxa"/>
              <w:left w:w="206" w:type="dxa"/>
              <w:bottom w:w="103" w:type="dxa"/>
              <w:right w:w="206" w:type="dxa"/>
            </w:tcMar>
            <w:vAlign w:val="center"/>
            <w:hideMark/>
          </w:tcPr>
          <w:p w14:paraId="0A610C37"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1,76 %</w:t>
            </w:r>
          </w:p>
        </w:tc>
        <w:tc>
          <w:tcPr>
            <w:tcW w:w="1689" w:type="dxa"/>
            <w:tcMar>
              <w:top w:w="103" w:type="dxa"/>
              <w:left w:w="206" w:type="dxa"/>
              <w:bottom w:w="103" w:type="dxa"/>
              <w:right w:w="206" w:type="dxa"/>
            </w:tcMar>
            <w:vAlign w:val="center"/>
            <w:hideMark/>
          </w:tcPr>
          <w:p w14:paraId="481E5027"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 -1,83 %</w:t>
            </w:r>
          </w:p>
        </w:tc>
      </w:tr>
      <w:tr w:rsidR="00E47AA9" w:rsidRPr="00E47AA9" w14:paraId="1E6BAE3D" w14:textId="77777777" w:rsidTr="00353702">
        <w:trPr>
          <w:trHeight w:val="20"/>
        </w:trPr>
        <w:tc>
          <w:tcPr>
            <w:tcW w:w="4087" w:type="dxa"/>
            <w:tcMar>
              <w:top w:w="103" w:type="dxa"/>
              <w:left w:w="0" w:type="dxa"/>
              <w:bottom w:w="103" w:type="dxa"/>
              <w:right w:w="206" w:type="dxa"/>
            </w:tcMar>
            <w:vAlign w:val="center"/>
            <w:hideMark/>
          </w:tcPr>
          <w:p w14:paraId="6A00A2CC" w14:textId="77777777" w:rsidR="00353702" w:rsidRPr="00E47AA9" w:rsidRDefault="00353702" w:rsidP="00353702">
            <w:pPr>
              <w:spacing w:after="0" w:line="240" w:lineRule="auto"/>
              <w:ind w:left="137"/>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Культура, кинематография</w:t>
            </w:r>
          </w:p>
        </w:tc>
        <w:tc>
          <w:tcPr>
            <w:tcW w:w="1790" w:type="dxa"/>
            <w:tcMar>
              <w:top w:w="103" w:type="dxa"/>
              <w:left w:w="206" w:type="dxa"/>
              <w:bottom w:w="103" w:type="dxa"/>
              <w:right w:w="206" w:type="dxa"/>
            </w:tcMar>
            <w:vAlign w:val="center"/>
            <w:hideMark/>
          </w:tcPr>
          <w:p w14:paraId="35726E30"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1,10 %</w:t>
            </w:r>
          </w:p>
        </w:tc>
        <w:tc>
          <w:tcPr>
            <w:tcW w:w="1790" w:type="dxa"/>
            <w:tcMar>
              <w:top w:w="103" w:type="dxa"/>
              <w:left w:w="206" w:type="dxa"/>
              <w:bottom w:w="103" w:type="dxa"/>
              <w:right w:w="206" w:type="dxa"/>
            </w:tcMar>
            <w:vAlign w:val="center"/>
            <w:hideMark/>
          </w:tcPr>
          <w:p w14:paraId="01F9E781"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1,31 %</w:t>
            </w:r>
          </w:p>
        </w:tc>
        <w:tc>
          <w:tcPr>
            <w:tcW w:w="1689" w:type="dxa"/>
            <w:tcMar>
              <w:top w:w="103" w:type="dxa"/>
              <w:left w:w="206" w:type="dxa"/>
              <w:bottom w:w="103" w:type="dxa"/>
              <w:right w:w="206" w:type="dxa"/>
            </w:tcMar>
            <w:vAlign w:val="center"/>
            <w:hideMark/>
          </w:tcPr>
          <w:p w14:paraId="6B32FEF3"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 +0,21 %</w:t>
            </w:r>
          </w:p>
        </w:tc>
      </w:tr>
      <w:tr w:rsidR="00E47AA9" w:rsidRPr="00E47AA9" w14:paraId="422919F7" w14:textId="77777777" w:rsidTr="00353702">
        <w:trPr>
          <w:trHeight w:val="20"/>
        </w:trPr>
        <w:tc>
          <w:tcPr>
            <w:tcW w:w="4087" w:type="dxa"/>
            <w:tcMar>
              <w:top w:w="103" w:type="dxa"/>
              <w:left w:w="0" w:type="dxa"/>
              <w:bottom w:w="103" w:type="dxa"/>
              <w:right w:w="206" w:type="dxa"/>
            </w:tcMar>
            <w:vAlign w:val="center"/>
            <w:hideMark/>
          </w:tcPr>
          <w:p w14:paraId="24080B3D" w14:textId="77777777" w:rsidR="00353702" w:rsidRPr="00E47AA9" w:rsidRDefault="00353702" w:rsidP="00353702">
            <w:pPr>
              <w:spacing w:after="0" w:line="240" w:lineRule="auto"/>
              <w:ind w:left="137"/>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Национальная оборона</w:t>
            </w:r>
          </w:p>
        </w:tc>
        <w:tc>
          <w:tcPr>
            <w:tcW w:w="1790" w:type="dxa"/>
            <w:tcMar>
              <w:top w:w="103" w:type="dxa"/>
              <w:left w:w="206" w:type="dxa"/>
              <w:bottom w:w="103" w:type="dxa"/>
              <w:right w:w="206" w:type="dxa"/>
            </w:tcMar>
            <w:vAlign w:val="center"/>
            <w:hideMark/>
          </w:tcPr>
          <w:p w14:paraId="63A3FC06"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1,01 %</w:t>
            </w:r>
          </w:p>
        </w:tc>
        <w:tc>
          <w:tcPr>
            <w:tcW w:w="1790" w:type="dxa"/>
            <w:tcMar>
              <w:top w:w="103" w:type="dxa"/>
              <w:left w:w="206" w:type="dxa"/>
              <w:bottom w:w="103" w:type="dxa"/>
              <w:right w:w="206" w:type="dxa"/>
            </w:tcMar>
            <w:vAlign w:val="center"/>
            <w:hideMark/>
          </w:tcPr>
          <w:p w14:paraId="25085C5B"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0,99 %</w:t>
            </w:r>
          </w:p>
        </w:tc>
        <w:tc>
          <w:tcPr>
            <w:tcW w:w="1689" w:type="dxa"/>
            <w:tcMar>
              <w:top w:w="103" w:type="dxa"/>
              <w:left w:w="206" w:type="dxa"/>
              <w:bottom w:w="103" w:type="dxa"/>
              <w:right w:w="206" w:type="dxa"/>
            </w:tcMar>
            <w:vAlign w:val="center"/>
            <w:hideMark/>
          </w:tcPr>
          <w:p w14:paraId="4CCBD14B"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 -0,02 %</w:t>
            </w:r>
          </w:p>
        </w:tc>
      </w:tr>
      <w:tr w:rsidR="00E47AA9" w:rsidRPr="00E47AA9" w14:paraId="2DED360E" w14:textId="77777777" w:rsidTr="00353702">
        <w:trPr>
          <w:trHeight w:val="20"/>
        </w:trPr>
        <w:tc>
          <w:tcPr>
            <w:tcW w:w="4087" w:type="dxa"/>
            <w:tcMar>
              <w:top w:w="103" w:type="dxa"/>
              <w:left w:w="0" w:type="dxa"/>
              <w:bottom w:w="103" w:type="dxa"/>
              <w:right w:w="206" w:type="dxa"/>
            </w:tcMar>
            <w:vAlign w:val="center"/>
            <w:hideMark/>
          </w:tcPr>
          <w:p w14:paraId="3DD5EBE7" w14:textId="77777777" w:rsidR="00353702" w:rsidRPr="00E47AA9" w:rsidRDefault="00353702" w:rsidP="00353702">
            <w:pPr>
              <w:spacing w:after="0" w:line="240" w:lineRule="auto"/>
              <w:ind w:left="137"/>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Средства массовой информации</w:t>
            </w:r>
          </w:p>
        </w:tc>
        <w:tc>
          <w:tcPr>
            <w:tcW w:w="1790" w:type="dxa"/>
            <w:tcMar>
              <w:top w:w="103" w:type="dxa"/>
              <w:left w:w="206" w:type="dxa"/>
              <w:bottom w:w="103" w:type="dxa"/>
              <w:right w:w="206" w:type="dxa"/>
            </w:tcMar>
            <w:vAlign w:val="center"/>
            <w:hideMark/>
          </w:tcPr>
          <w:p w14:paraId="52C7C838"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0,25 %</w:t>
            </w:r>
          </w:p>
        </w:tc>
        <w:tc>
          <w:tcPr>
            <w:tcW w:w="1790" w:type="dxa"/>
            <w:tcMar>
              <w:top w:w="103" w:type="dxa"/>
              <w:left w:w="206" w:type="dxa"/>
              <w:bottom w:w="103" w:type="dxa"/>
              <w:right w:w="206" w:type="dxa"/>
            </w:tcMar>
            <w:vAlign w:val="center"/>
            <w:hideMark/>
          </w:tcPr>
          <w:p w14:paraId="5558FB3D"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0,22 %</w:t>
            </w:r>
          </w:p>
        </w:tc>
        <w:tc>
          <w:tcPr>
            <w:tcW w:w="1689" w:type="dxa"/>
            <w:tcMar>
              <w:top w:w="103" w:type="dxa"/>
              <w:left w:w="206" w:type="dxa"/>
              <w:bottom w:w="103" w:type="dxa"/>
              <w:right w:w="206" w:type="dxa"/>
            </w:tcMar>
            <w:vAlign w:val="center"/>
            <w:hideMark/>
          </w:tcPr>
          <w:p w14:paraId="51AB2668"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 -0,03 %</w:t>
            </w:r>
          </w:p>
        </w:tc>
      </w:tr>
      <w:tr w:rsidR="00E47AA9" w:rsidRPr="00E47AA9" w14:paraId="4E2046D2" w14:textId="77777777" w:rsidTr="00353702">
        <w:trPr>
          <w:trHeight w:val="20"/>
        </w:trPr>
        <w:tc>
          <w:tcPr>
            <w:tcW w:w="4087" w:type="dxa"/>
            <w:tcMar>
              <w:top w:w="103" w:type="dxa"/>
              <w:left w:w="0" w:type="dxa"/>
              <w:bottom w:w="103" w:type="dxa"/>
              <w:right w:w="206" w:type="dxa"/>
            </w:tcMar>
            <w:vAlign w:val="center"/>
            <w:hideMark/>
          </w:tcPr>
          <w:p w14:paraId="003F7B80" w14:textId="77777777" w:rsidR="00353702" w:rsidRPr="00E47AA9" w:rsidRDefault="00353702" w:rsidP="00353702">
            <w:pPr>
              <w:spacing w:after="0" w:line="240" w:lineRule="auto"/>
              <w:ind w:left="137"/>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Обслуживание госдолга</w:t>
            </w:r>
          </w:p>
        </w:tc>
        <w:tc>
          <w:tcPr>
            <w:tcW w:w="1790" w:type="dxa"/>
            <w:tcMar>
              <w:top w:w="103" w:type="dxa"/>
              <w:left w:w="206" w:type="dxa"/>
              <w:bottom w:w="103" w:type="dxa"/>
              <w:right w:w="206" w:type="dxa"/>
            </w:tcMar>
            <w:vAlign w:val="center"/>
            <w:hideMark/>
          </w:tcPr>
          <w:p w14:paraId="1E718AC2"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0,10 %</w:t>
            </w:r>
          </w:p>
        </w:tc>
        <w:tc>
          <w:tcPr>
            <w:tcW w:w="1790" w:type="dxa"/>
            <w:tcMar>
              <w:top w:w="103" w:type="dxa"/>
              <w:left w:w="206" w:type="dxa"/>
              <w:bottom w:w="103" w:type="dxa"/>
              <w:right w:w="206" w:type="dxa"/>
            </w:tcMar>
            <w:vAlign w:val="center"/>
            <w:hideMark/>
          </w:tcPr>
          <w:p w14:paraId="04E5033B"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0,22 %</w:t>
            </w:r>
          </w:p>
        </w:tc>
        <w:tc>
          <w:tcPr>
            <w:tcW w:w="1689" w:type="dxa"/>
            <w:tcMar>
              <w:top w:w="103" w:type="dxa"/>
              <w:left w:w="206" w:type="dxa"/>
              <w:bottom w:w="103" w:type="dxa"/>
              <w:right w:w="206" w:type="dxa"/>
            </w:tcMar>
            <w:vAlign w:val="center"/>
            <w:hideMark/>
          </w:tcPr>
          <w:p w14:paraId="60B9AC9F"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 +0,12 %</w:t>
            </w:r>
          </w:p>
        </w:tc>
      </w:tr>
      <w:tr w:rsidR="00353702" w:rsidRPr="00E47AA9" w14:paraId="7C2B3DD3" w14:textId="77777777" w:rsidTr="00353702">
        <w:trPr>
          <w:trHeight w:val="20"/>
        </w:trPr>
        <w:tc>
          <w:tcPr>
            <w:tcW w:w="4087" w:type="dxa"/>
            <w:tcMar>
              <w:top w:w="103" w:type="dxa"/>
              <w:left w:w="0" w:type="dxa"/>
              <w:bottom w:w="103" w:type="dxa"/>
              <w:right w:w="206" w:type="dxa"/>
            </w:tcMar>
            <w:vAlign w:val="center"/>
            <w:hideMark/>
          </w:tcPr>
          <w:p w14:paraId="4749D82E" w14:textId="77777777" w:rsidR="00353702" w:rsidRPr="00E47AA9" w:rsidRDefault="00353702" w:rsidP="00353702">
            <w:pPr>
              <w:spacing w:after="0" w:line="240" w:lineRule="auto"/>
              <w:ind w:left="137"/>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Охрана окружающей среды</w:t>
            </w:r>
          </w:p>
        </w:tc>
        <w:tc>
          <w:tcPr>
            <w:tcW w:w="1790" w:type="dxa"/>
            <w:tcMar>
              <w:top w:w="103" w:type="dxa"/>
              <w:left w:w="206" w:type="dxa"/>
              <w:bottom w:w="103" w:type="dxa"/>
              <w:right w:w="206" w:type="dxa"/>
            </w:tcMar>
            <w:vAlign w:val="center"/>
            <w:hideMark/>
          </w:tcPr>
          <w:p w14:paraId="76F73A25"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0,45 %</w:t>
            </w:r>
          </w:p>
        </w:tc>
        <w:tc>
          <w:tcPr>
            <w:tcW w:w="1790" w:type="dxa"/>
            <w:tcMar>
              <w:top w:w="103" w:type="dxa"/>
              <w:left w:w="206" w:type="dxa"/>
              <w:bottom w:w="103" w:type="dxa"/>
              <w:right w:w="206" w:type="dxa"/>
            </w:tcMar>
            <w:vAlign w:val="center"/>
            <w:hideMark/>
          </w:tcPr>
          <w:p w14:paraId="057E8AB1"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0,21 %</w:t>
            </w:r>
          </w:p>
        </w:tc>
        <w:tc>
          <w:tcPr>
            <w:tcW w:w="1689" w:type="dxa"/>
            <w:tcMar>
              <w:top w:w="103" w:type="dxa"/>
              <w:left w:w="206" w:type="dxa"/>
              <w:bottom w:w="103" w:type="dxa"/>
              <w:right w:w="206" w:type="dxa"/>
            </w:tcMar>
            <w:vAlign w:val="center"/>
            <w:hideMark/>
          </w:tcPr>
          <w:p w14:paraId="629B557B" w14:textId="77777777" w:rsidR="00353702" w:rsidRPr="00E47AA9" w:rsidRDefault="00353702" w:rsidP="00353702">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bCs/>
                <w:lang w:eastAsia="ru-RU"/>
              </w:rPr>
              <w:t>▼ -0,24 %</w:t>
            </w:r>
          </w:p>
        </w:tc>
      </w:tr>
    </w:tbl>
    <w:p w14:paraId="21EFC84E" w14:textId="77777777" w:rsidR="00353702" w:rsidRPr="00E47AA9" w:rsidRDefault="00353702" w:rsidP="00353702">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14:paraId="06E42D89" w14:textId="77777777" w:rsidR="00353702" w:rsidRPr="00E47AA9" w:rsidRDefault="00353702" w:rsidP="00353702">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Доля расходов на социально-культурную сферу (образование, здравоохранение, культуру, социальную политику, спорт) в общем объеме расходов краевого бюджета остается стабильной – 56,30 % в 2024 году и </w:t>
      </w:r>
      <w:r w:rsidRPr="00E47AA9">
        <w:rPr>
          <w:rFonts w:ascii="Times New Roman" w:eastAsia="Times New Roman" w:hAnsi="Times New Roman" w:cs="Times New Roman"/>
          <w:sz w:val="28"/>
          <w:szCs w:val="28"/>
          <w:lang w:eastAsia="ru-RU"/>
        </w:rPr>
        <w:br/>
      </w:r>
      <w:r w:rsidRPr="00E47AA9">
        <w:rPr>
          <w:rFonts w:ascii="Times New Roman" w:eastAsia="Times New Roman" w:hAnsi="Times New Roman" w:cs="Times New Roman"/>
          <w:sz w:val="28"/>
          <w:szCs w:val="28"/>
          <w:lang w:eastAsia="ru-RU"/>
        </w:rPr>
        <w:lastRenderedPageBreak/>
        <w:t xml:space="preserve">56,98 % в 2023 году, что отражает приоритетность социальных обязательств. При этом при снижении в 2024 году доли расходов на социальную политику (на 2,77 %) остальные разделы, относящиеся к социально-культурной сфере, продемонстрировали рост. </w:t>
      </w:r>
    </w:p>
    <w:p w14:paraId="7AB38209" w14:textId="77777777" w:rsidR="00353702" w:rsidRPr="00E47AA9" w:rsidRDefault="00353702" w:rsidP="00353702">
      <w:pPr>
        <w:tabs>
          <w:tab w:val="left" w:pos="0"/>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bCs/>
          <w:sz w:val="28"/>
          <w:szCs w:val="28"/>
          <w:lang w:eastAsia="ru-RU"/>
        </w:rPr>
        <w:t>2.</w:t>
      </w:r>
      <w:r w:rsidRPr="00E47AA9">
        <w:rPr>
          <w:rFonts w:ascii="Times New Roman" w:eastAsia="Times New Roman" w:hAnsi="Times New Roman" w:cs="Times New Roman"/>
          <w:sz w:val="28"/>
          <w:szCs w:val="28"/>
          <w:lang w:eastAsia="ru-RU"/>
        </w:rPr>
        <w:t> В 2024 году ведомственная структура сократилась с 44 до 43 главных распорядителей бюджетных средств (далее – ГРБС).</w:t>
      </w:r>
    </w:p>
    <w:p w14:paraId="539085FC" w14:textId="77777777" w:rsidR="00353702" w:rsidRPr="00E47AA9" w:rsidRDefault="00353702" w:rsidP="00353702">
      <w:pPr>
        <w:tabs>
          <w:tab w:val="left" w:pos="0"/>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соответствии с постановлением Правительства Приморского края от 29.05.2024 № 366-пп "О реорганизации министерства финансов Приморского края" с 01.10.2024 министерство государственного финансового контроля Приморского края реорганизовано в форме присоединения к министерству финансов Приморского края. </w:t>
      </w:r>
    </w:p>
    <w:p w14:paraId="6A70F1FB" w14:textId="77777777" w:rsidR="00353702" w:rsidRPr="00E47AA9" w:rsidRDefault="00353702" w:rsidP="00353702">
      <w:pPr>
        <w:widowControl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ходе исполнения краевого бюджета в 2024 году корректировки бюджетных назначений по расходам соответствующими законами о внесении изменений в краевой бюджет произведены по 41 ГРБС (кроме 2 ГРБС </w:t>
      </w:r>
      <w:r w:rsidR="00050EC4"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агентства проектного управления Приморского края и Уполномоченного по правам ребенка в Приморском крае).</w:t>
      </w:r>
    </w:p>
    <w:p w14:paraId="0A00176F" w14:textId="041472C8" w:rsidR="00353702" w:rsidRPr="00E47AA9" w:rsidRDefault="00353702" w:rsidP="00353702">
      <w:pPr>
        <w:widowControl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Значительная сумма увеличений бюджетных назначений по расходам сложилась по Правительству Приморского края – на 5336,77 млн рублей (первоначальная редакция закона о краевом бюджете – 1427,74 млн рублей, действующая редакция – 6764,51 млн рублей) и министерству жилищно-коммунального хозяйства Приморского края – на 5419</w:t>
      </w:r>
      <w:r w:rsidR="00F1125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65</w:t>
      </w:r>
      <w:r w:rsidR="00F11259"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млн рублей (с 18073,71 млн рублей до 23493,36 млн рублей).</w:t>
      </w:r>
    </w:p>
    <w:p w14:paraId="408FAA5B" w14:textId="221086F7" w:rsidR="00353702" w:rsidRPr="00E47AA9" w:rsidRDefault="00353702" w:rsidP="00353702">
      <w:pPr>
        <w:widowControl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Наибольшее сокращение произведено по министерству финансов Приморского края на 2349,77 млн рублей (первоначальная редакция закона о краевом бюджете – 12931,07 млн рублей, действующая редакция – 10581,30 млн рублей).</w:t>
      </w:r>
    </w:p>
    <w:p w14:paraId="62874544" w14:textId="77777777" w:rsidR="00353702" w:rsidRPr="00E47AA9" w:rsidRDefault="00353702" w:rsidP="00353702">
      <w:pPr>
        <w:tabs>
          <w:tab w:val="left" w:pos="0"/>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Анализ корректировок бюджетных назначений по ведомственной классификации расходов краевого бюджета с учетом итогов исполнения в 2024 году представлен в приложении 2 к заключению.</w:t>
      </w:r>
    </w:p>
    <w:p w14:paraId="7A79243B" w14:textId="77777777" w:rsidR="00353702" w:rsidRPr="00E47AA9" w:rsidRDefault="00353702" w:rsidP="0035370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По итогам исполнения краевого бюджет</w:t>
      </w:r>
      <w:r w:rsidR="00050EC4" w:rsidRPr="00E47AA9">
        <w:rPr>
          <w:rFonts w:ascii="Times New Roman" w:eastAsia="Times New Roman" w:hAnsi="Times New Roman" w:cs="Times New Roman"/>
          <w:sz w:val="28"/>
          <w:szCs w:val="28"/>
          <w:lang w:eastAsia="ru-RU"/>
        </w:rPr>
        <w:t>а</w:t>
      </w:r>
      <w:r w:rsidRPr="00E47AA9">
        <w:rPr>
          <w:rFonts w:ascii="Times New Roman" w:eastAsia="Times New Roman" w:hAnsi="Times New Roman" w:cs="Times New Roman"/>
          <w:sz w:val="28"/>
          <w:szCs w:val="28"/>
          <w:lang w:eastAsia="ru-RU"/>
        </w:rPr>
        <w:t xml:space="preserve"> по расходам в 2024 году, как и в предыдущие годы, значительный объем (67,73 %) приходится на пять главных распорядителей бюджетных средств: </w:t>
      </w:r>
    </w:p>
    <w:p w14:paraId="146FE62B" w14:textId="77777777" w:rsidR="00353702" w:rsidRPr="00E47AA9" w:rsidRDefault="00353702" w:rsidP="0035370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министерство образования Приморского края – 16</w:t>
      </w:r>
      <w:r w:rsidR="009C2100"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86 % (39958,84 млн рублей); </w:t>
      </w:r>
    </w:p>
    <w:p w14:paraId="23DDC77B" w14:textId="77777777" w:rsidR="00353702" w:rsidRPr="00E47AA9" w:rsidRDefault="00353702" w:rsidP="0035370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министерство труда и социальной политики Приморского края – 15,95 % (37792,50 млн рублей); </w:t>
      </w:r>
    </w:p>
    <w:p w14:paraId="0E3A7495" w14:textId="77777777" w:rsidR="00353702" w:rsidRPr="00E47AA9" w:rsidRDefault="00353702" w:rsidP="0035370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министерство здравоохранения Приморского края – 14,44 % (34222,64 млн рублей);</w:t>
      </w:r>
    </w:p>
    <w:p w14:paraId="739722C3" w14:textId="77777777" w:rsidR="00353702" w:rsidRPr="00E47AA9" w:rsidRDefault="00353702" w:rsidP="0035370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министерство транспорта и дорожного хозяйства Приморского края – 10,58 % (25071,57 млн рублей);</w:t>
      </w:r>
    </w:p>
    <w:p w14:paraId="081D7A3F" w14:textId="77777777" w:rsidR="00353702" w:rsidRPr="00E47AA9" w:rsidRDefault="00353702" w:rsidP="0035370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министерство жилищно-коммунального хозяйства Приморского края – 9,90 % (23454,53 млн рублей). </w:t>
      </w:r>
    </w:p>
    <w:p w14:paraId="6DE76979" w14:textId="77777777" w:rsidR="00353702" w:rsidRPr="00E47AA9" w:rsidRDefault="00353702" w:rsidP="0035370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Исполнение главными распорядителями бюджетных средств уточненных плановых назначений в 2024 году отражено в таблице.</w:t>
      </w:r>
    </w:p>
    <w:tbl>
      <w:tblPr>
        <w:tblW w:w="10233"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410"/>
        <w:gridCol w:w="709"/>
        <w:gridCol w:w="1276"/>
        <w:gridCol w:w="850"/>
        <w:gridCol w:w="1307"/>
        <w:gridCol w:w="832"/>
        <w:gridCol w:w="960"/>
        <w:gridCol w:w="1322"/>
      </w:tblGrid>
      <w:tr w:rsidR="00E47AA9" w:rsidRPr="00E47AA9" w14:paraId="55A10FE7" w14:textId="77777777" w:rsidTr="00353702">
        <w:trPr>
          <w:trHeight w:val="300"/>
          <w:tblHeader/>
        </w:trPr>
        <w:tc>
          <w:tcPr>
            <w:tcW w:w="567" w:type="dxa"/>
            <w:tcBorders>
              <w:top w:val="nil"/>
              <w:left w:val="nil"/>
              <w:bottom w:val="single" w:sz="4" w:space="0" w:color="auto"/>
              <w:right w:val="nil"/>
            </w:tcBorders>
            <w:shd w:val="clear" w:color="auto" w:fill="auto"/>
            <w:noWrap/>
            <w:vAlign w:val="bottom"/>
            <w:hideMark/>
          </w:tcPr>
          <w:p w14:paraId="61C635B3" w14:textId="77777777" w:rsidR="00353702" w:rsidRPr="00E47AA9" w:rsidRDefault="00353702" w:rsidP="00353702">
            <w:pPr>
              <w:spacing w:after="0" w:line="240" w:lineRule="auto"/>
              <w:rPr>
                <w:rFonts w:ascii="Times New Roman" w:eastAsia="Times New Roman" w:hAnsi="Times New Roman" w:cs="Times New Roman"/>
                <w:lang w:eastAsia="ru-RU"/>
              </w:rPr>
            </w:pPr>
          </w:p>
        </w:tc>
        <w:tc>
          <w:tcPr>
            <w:tcW w:w="2410" w:type="dxa"/>
            <w:tcBorders>
              <w:top w:val="nil"/>
              <w:left w:val="nil"/>
              <w:bottom w:val="single" w:sz="4" w:space="0" w:color="auto"/>
              <w:right w:val="nil"/>
            </w:tcBorders>
            <w:shd w:val="clear" w:color="auto" w:fill="auto"/>
            <w:noWrap/>
            <w:vAlign w:val="bottom"/>
            <w:hideMark/>
          </w:tcPr>
          <w:p w14:paraId="0C06FFDA" w14:textId="77777777" w:rsidR="00353702" w:rsidRPr="00E47AA9" w:rsidRDefault="00353702" w:rsidP="00353702">
            <w:pPr>
              <w:spacing w:after="0" w:line="240" w:lineRule="auto"/>
              <w:rPr>
                <w:rFonts w:ascii="Times New Roman" w:eastAsia="Times New Roman" w:hAnsi="Times New Roman" w:cs="Times New Roman"/>
                <w:lang w:eastAsia="ru-RU"/>
              </w:rPr>
            </w:pPr>
          </w:p>
        </w:tc>
        <w:tc>
          <w:tcPr>
            <w:tcW w:w="709" w:type="dxa"/>
            <w:tcBorders>
              <w:top w:val="nil"/>
              <w:left w:val="nil"/>
              <w:bottom w:val="single" w:sz="4" w:space="0" w:color="auto"/>
              <w:right w:val="nil"/>
            </w:tcBorders>
            <w:shd w:val="clear" w:color="auto" w:fill="auto"/>
            <w:noWrap/>
            <w:vAlign w:val="bottom"/>
            <w:hideMark/>
          </w:tcPr>
          <w:p w14:paraId="03921049" w14:textId="77777777" w:rsidR="00353702" w:rsidRPr="00E47AA9" w:rsidRDefault="00353702" w:rsidP="00353702">
            <w:pPr>
              <w:spacing w:after="0" w:line="240" w:lineRule="auto"/>
              <w:rPr>
                <w:rFonts w:ascii="Times New Roman" w:eastAsia="Times New Roman" w:hAnsi="Times New Roman" w:cs="Times New Roman"/>
                <w:lang w:eastAsia="ru-RU"/>
              </w:rPr>
            </w:pPr>
          </w:p>
        </w:tc>
        <w:tc>
          <w:tcPr>
            <w:tcW w:w="1276" w:type="dxa"/>
            <w:tcBorders>
              <w:top w:val="nil"/>
              <w:left w:val="nil"/>
              <w:bottom w:val="single" w:sz="4" w:space="0" w:color="auto"/>
              <w:right w:val="nil"/>
            </w:tcBorders>
            <w:shd w:val="clear" w:color="auto" w:fill="auto"/>
            <w:noWrap/>
            <w:vAlign w:val="bottom"/>
            <w:hideMark/>
          </w:tcPr>
          <w:p w14:paraId="15877BF1" w14:textId="77777777" w:rsidR="00353702" w:rsidRPr="00E47AA9" w:rsidRDefault="00353702" w:rsidP="00353702">
            <w:pPr>
              <w:spacing w:after="0" w:line="240" w:lineRule="auto"/>
              <w:rPr>
                <w:rFonts w:ascii="Times New Roman" w:eastAsia="Times New Roman" w:hAnsi="Times New Roman" w:cs="Times New Roman"/>
                <w:lang w:eastAsia="ru-RU"/>
              </w:rPr>
            </w:pPr>
          </w:p>
        </w:tc>
        <w:tc>
          <w:tcPr>
            <w:tcW w:w="850" w:type="dxa"/>
            <w:tcBorders>
              <w:top w:val="nil"/>
              <w:left w:val="nil"/>
              <w:bottom w:val="single" w:sz="4" w:space="0" w:color="auto"/>
              <w:right w:val="nil"/>
            </w:tcBorders>
            <w:shd w:val="clear" w:color="auto" w:fill="auto"/>
            <w:noWrap/>
            <w:vAlign w:val="bottom"/>
            <w:hideMark/>
          </w:tcPr>
          <w:p w14:paraId="09AA819B" w14:textId="77777777" w:rsidR="00353702" w:rsidRPr="00E47AA9" w:rsidRDefault="00353702" w:rsidP="00353702">
            <w:pPr>
              <w:spacing w:after="0" w:line="240" w:lineRule="auto"/>
              <w:jc w:val="right"/>
              <w:rPr>
                <w:rFonts w:ascii="Times New Roman" w:eastAsia="Times New Roman" w:hAnsi="Times New Roman" w:cs="Times New Roman"/>
                <w:i/>
                <w:iCs/>
                <w:lang w:eastAsia="ru-RU"/>
              </w:rPr>
            </w:pPr>
          </w:p>
        </w:tc>
        <w:tc>
          <w:tcPr>
            <w:tcW w:w="1307" w:type="dxa"/>
            <w:tcBorders>
              <w:top w:val="nil"/>
              <w:left w:val="nil"/>
              <w:bottom w:val="single" w:sz="4" w:space="0" w:color="auto"/>
              <w:right w:val="nil"/>
            </w:tcBorders>
            <w:shd w:val="clear" w:color="auto" w:fill="auto"/>
            <w:noWrap/>
            <w:vAlign w:val="bottom"/>
            <w:hideMark/>
          </w:tcPr>
          <w:p w14:paraId="6D3ABB7F" w14:textId="77777777" w:rsidR="00353702" w:rsidRPr="00E47AA9" w:rsidRDefault="00353702" w:rsidP="00353702">
            <w:pPr>
              <w:spacing w:after="0" w:line="240" w:lineRule="auto"/>
              <w:jc w:val="right"/>
              <w:rPr>
                <w:rFonts w:ascii="Times New Roman" w:eastAsia="Times New Roman" w:hAnsi="Times New Roman" w:cs="Times New Roman"/>
                <w:lang w:eastAsia="ru-RU"/>
              </w:rPr>
            </w:pPr>
          </w:p>
        </w:tc>
        <w:tc>
          <w:tcPr>
            <w:tcW w:w="832" w:type="dxa"/>
            <w:tcBorders>
              <w:top w:val="nil"/>
              <w:left w:val="nil"/>
              <w:bottom w:val="single" w:sz="4" w:space="0" w:color="auto"/>
              <w:right w:val="nil"/>
            </w:tcBorders>
            <w:shd w:val="clear" w:color="auto" w:fill="auto"/>
            <w:noWrap/>
            <w:vAlign w:val="bottom"/>
            <w:hideMark/>
          </w:tcPr>
          <w:p w14:paraId="0137ED14" w14:textId="77777777" w:rsidR="00353702" w:rsidRPr="00E47AA9" w:rsidRDefault="00353702" w:rsidP="00353702">
            <w:pPr>
              <w:spacing w:after="0" w:line="240" w:lineRule="auto"/>
              <w:rPr>
                <w:rFonts w:ascii="Times New Roman" w:eastAsia="Times New Roman" w:hAnsi="Times New Roman" w:cs="Times New Roman"/>
                <w:lang w:eastAsia="ru-RU"/>
              </w:rPr>
            </w:pPr>
          </w:p>
        </w:tc>
        <w:tc>
          <w:tcPr>
            <w:tcW w:w="2282" w:type="dxa"/>
            <w:gridSpan w:val="2"/>
            <w:tcBorders>
              <w:top w:val="nil"/>
              <w:left w:val="nil"/>
              <w:bottom w:val="single" w:sz="4" w:space="0" w:color="auto"/>
              <w:right w:val="nil"/>
            </w:tcBorders>
            <w:shd w:val="clear" w:color="auto" w:fill="auto"/>
            <w:noWrap/>
            <w:vAlign w:val="bottom"/>
            <w:hideMark/>
          </w:tcPr>
          <w:p w14:paraId="598EC825" w14:textId="77777777" w:rsidR="00353702" w:rsidRPr="00E47AA9" w:rsidRDefault="00353702" w:rsidP="00353702">
            <w:pPr>
              <w:spacing w:after="0" w:line="240" w:lineRule="auto"/>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71139F4C" w14:textId="77777777" w:rsidTr="00353702">
        <w:trPr>
          <w:trHeight w:val="854"/>
          <w:tblHeader/>
        </w:trPr>
        <w:tc>
          <w:tcPr>
            <w:tcW w:w="567" w:type="dxa"/>
            <w:vMerge w:val="restart"/>
            <w:tcBorders>
              <w:top w:val="single" w:sz="4" w:space="0" w:color="auto"/>
            </w:tcBorders>
            <w:shd w:val="clear" w:color="auto" w:fill="auto"/>
            <w:vAlign w:val="center"/>
            <w:hideMark/>
          </w:tcPr>
          <w:p w14:paraId="1EEBFBC5"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п/п</w:t>
            </w:r>
          </w:p>
        </w:tc>
        <w:tc>
          <w:tcPr>
            <w:tcW w:w="2410" w:type="dxa"/>
            <w:vMerge w:val="restart"/>
            <w:tcBorders>
              <w:top w:val="single" w:sz="4" w:space="0" w:color="auto"/>
            </w:tcBorders>
            <w:shd w:val="clear" w:color="auto" w:fill="auto"/>
            <w:vAlign w:val="center"/>
            <w:hideMark/>
          </w:tcPr>
          <w:p w14:paraId="5E2668CA"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w:t>
            </w:r>
          </w:p>
        </w:tc>
        <w:tc>
          <w:tcPr>
            <w:tcW w:w="709" w:type="dxa"/>
            <w:vMerge w:val="restart"/>
            <w:tcBorders>
              <w:top w:val="single" w:sz="4" w:space="0" w:color="auto"/>
            </w:tcBorders>
            <w:shd w:val="clear" w:color="auto" w:fill="auto"/>
            <w:vAlign w:val="center"/>
            <w:hideMark/>
          </w:tcPr>
          <w:p w14:paraId="028EFE61"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p>
          <w:p w14:paraId="42C17F6B"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Код ГРБС</w:t>
            </w:r>
          </w:p>
        </w:tc>
        <w:tc>
          <w:tcPr>
            <w:tcW w:w="2126" w:type="dxa"/>
            <w:gridSpan w:val="2"/>
            <w:tcBorders>
              <w:top w:val="single" w:sz="4" w:space="0" w:color="auto"/>
            </w:tcBorders>
            <w:shd w:val="clear" w:color="auto" w:fill="auto"/>
            <w:vAlign w:val="center"/>
            <w:hideMark/>
          </w:tcPr>
          <w:p w14:paraId="1441FDD9"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Уточненные бюджетные назначения </w:t>
            </w:r>
          </w:p>
          <w:p w14:paraId="42B42D5F"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 2024 год</w:t>
            </w:r>
          </w:p>
        </w:tc>
        <w:tc>
          <w:tcPr>
            <w:tcW w:w="4421" w:type="dxa"/>
            <w:gridSpan w:val="4"/>
            <w:tcBorders>
              <w:top w:val="single" w:sz="4" w:space="0" w:color="auto"/>
            </w:tcBorders>
            <w:shd w:val="clear" w:color="auto" w:fill="auto"/>
            <w:vAlign w:val="center"/>
            <w:hideMark/>
          </w:tcPr>
          <w:p w14:paraId="153D708D"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r>
      <w:tr w:rsidR="00E47AA9" w:rsidRPr="00E47AA9" w14:paraId="2FFB2EBE" w14:textId="77777777" w:rsidTr="00353702">
        <w:trPr>
          <w:trHeight w:val="401"/>
          <w:tblHeader/>
        </w:trPr>
        <w:tc>
          <w:tcPr>
            <w:tcW w:w="567" w:type="dxa"/>
            <w:vMerge/>
            <w:vAlign w:val="center"/>
            <w:hideMark/>
          </w:tcPr>
          <w:p w14:paraId="18D30ACB" w14:textId="77777777" w:rsidR="00353702" w:rsidRPr="00E47AA9" w:rsidRDefault="00353702" w:rsidP="00353702">
            <w:pPr>
              <w:spacing w:after="0" w:line="240" w:lineRule="auto"/>
              <w:rPr>
                <w:rFonts w:ascii="Times New Roman" w:eastAsia="Times New Roman" w:hAnsi="Times New Roman" w:cs="Times New Roman"/>
                <w:sz w:val="20"/>
                <w:szCs w:val="20"/>
                <w:lang w:eastAsia="ru-RU"/>
              </w:rPr>
            </w:pPr>
          </w:p>
        </w:tc>
        <w:tc>
          <w:tcPr>
            <w:tcW w:w="2410" w:type="dxa"/>
            <w:vMerge/>
            <w:tcBorders>
              <w:bottom w:val="single" w:sz="4" w:space="0" w:color="auto"/>
            </w:tcBorders>
            <w:vAlign w:val="center"/>
            <w:hideMark/>
          </w:tcPr>
          <w:p w14:paraId="7351BBAD" w14:textId="77777777" w:rsidR="00353702" w:rsidRPr="00E47AA9" w:rsidRDefault="00353702" w:rsidP="00353702">
            <w:pPr>
              <w:spacing w:after="0" w:line="240" w:lineRule="auto"/>
              <w:rPr>
                <w:rFonts w:ascii="Times New Roman" w:eastAsia="Times New Roman" w:hAnsi="Times New Roman" w:cs="Times New Roman"/>
                <w:sz w:val="20"/>
                <w:szCs w:val="20"/>
                <w:lang w:eastAsia="ru-RU"/>
              </w:rPr>
            </w:pPr>
          </w:p>
        </w:tc>
        <w:tc>
          <w:tcPr>
            <w:tcW w:w="709" w:type="dxa"/>
            <w:vMerge/>
            <w:tcBorders>
              <w:bottom w:val="single" w:sz="4" w:space="0" w:color="auto"/>
            </w:tcBorders>
            <w:vAlign w:val="center"/>
            <w:hideMark/>
          </w:tcPr>
          <w:p w14:paraId="2199C2F3" w14:textId="77777777" w:rsidR="00353702" w:rsidRPr="00E47AA9" w:rsidRDefault="00353702" w:rsidP="00353702">
            <w:pPr>
              <w:spacing w:after="0" w:line="240" w:lineRule="auto"/>
              <w:rPr>
                <w:rFonts w:ascii="Times New Roman" w:eastAsia="Times New Roman" w:hAnsi="Times New Roman" w:cs="Times New Roman"/>
                <w:sz w:val="20"/>
                <w:szCs w:val="20"/>
                <w:lang w:eastAsia="ru-RU"/>
              </w:rPr>
            </w:pPr>
          </w:p>
        </w:tc>
        <w:tc>
          <w:tcPr>
            <w:tcW w:w="1276" w:type="dxa"/>
            <w:tcBorders>
              <w:bottom w:val="single" w:sz="4" w:space="0" w:color="auto"/>
            </w:tcBorders>
            <w:shd w:val="clear" w:color="auto" w:fill="auto"/>
            <w:vAlign w:val="center"/>
            <w:hideMark/>
          </w:tcPr>
          <w:p w14:paraId="22D8BBB9"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850" w:type="dxa"/>
            <w:tcBorders>
              <w:bottom w:val="single" w:sz="4" w:space="0" w:color="auto"/>
            </w:tcBorders>
            <w:shd w:val="clear" w:color="auto" w:fill="auto"/>
            <w:vAlign w:val="center"/>
            <w:hideMark/>
          </w:tcPr>
          <w:p w14:paraId="6FA65AB5" w14:textId="77777777" w:rsidR="00353702" w:rsidRPr="00E47AA9" w:rsidRDefault="00353702" w:rsidP="00353702">
            <w:pPr>
              <w:spacing w:after="0" w:line="240" w:lineRule="auto"/>
              <w:jc w:val="center"/>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уд. вес (%)</w:t>
            </w:r>
          </w:p>
        </w:tc>
        <w:tc>
          <w:tcPr>
            <w:tcW w:w="1307" w:type="dxa"/>
            <w:tcBorders>
              <w:bottom w:val="single" w:sz="4" w:space="0" w:color="auto"/>
            </w:tcBorders>
            <w:shd w:val="clear" w:color="auto" w:fill="auto"/>
            <w:vAlign w:val="center"/>
            <w:hideMark/>
          </w:tcPr>
          <w:p w14:paraId="5BF2BBED"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832" w:type="dxa"/>
            <w:tcBorders>
              <w:bottom w:val="single" w:sz="4" w:space="0" w:color="auto"/>
            </w:tcBorders>
            <w:shd w:val="clear" w:color="auto" w:fill="auto"/>
            <w:noWrap/>
            <w:vAlign w:val="center"/>
            <w:hideMark/>
          </w:tcPr>
          <w:p w14:paraId="0A205BC7"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w:t>
            </w:r>
          </w:p>
        </w:tc>
        <w:tc>
          <w:tcPr>
            <w:tcW w:w="960" w:type="dxa"/>
            <w:tcBorders>
              <w:bottom w:val="single" w:sz="4" w:space="0" w:color="auto"/>
            </w:tcBorders>
            <w:shd w:val="clear" w:color="auto" w:fill="auto"/>
            <w:vAlign w:val="center"/>
            <w:hideMark/>
          </w:tcPr>
          <w:p w14:paraId="166D8B41" w14:textId="77777777" w:rsidR="00353702" w:rsidRPr="00E47AA9" w:rsidRDefault="00353702" w:rsidP="00353702">
            <w:pPr>
              <w:spacing w:after="0" w:line="240" w:lineRule="auto"/>
              <w:jc w:val="center"/>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уд. вес (%)</w:t>
            </w:r>
          </w:p>
        </w:tc>
        <w:tc>
          <w:tcPr>
            <w:tcW w:w="1322" w:type="dxa"/>
            <w:tcBorders>
              <w:bottom w:val="single" w:sz="4" w:space="0" w:color="auto"/>
            </w:tcBorders>
            <w:shd w:val="clear" w:color="auto" w:fill="auto"/>
            <w:vAlign w:val="center"/>
            <w:hideMark/>
          </w:tcPr>
          <w:p w14:paraId="03840BAB"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p>
          <w:p w14:paraId="7BC0446F"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бюджетные</w:t>
            </w:r>
          </w:p>
          <w:p w14:paraId="1A0E41B3"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назначения </w:t>
            </w:r>
          </w:p>
        </w:tc>
      </w:tr>
      <w:tr w:rsidR="00E47AA9" w:rsidRPr="00E47AA9" w14:paraId="2BC6B12F" w14:textId="77777777" w:rsidTr="00353702">
        <w:trPr>
          <w:trHeight w:val="441"/>
        </w:trPr>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523D0A23"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1</w:t>
            </w:r>
          </w:p>
        </w:tc>
        <w:tc>
          <w:tcPr>
            <w:tcW w:w="2410" w:type="dxa"/>
            <w:tcBorders>
              <w:top w:val="single" w:sz="4" w:space="0" w:color="auto"/>
              <w:left w:val="nil"/>
              <w:bottom w:val="single" w:sz="4" w:space="0" w:color="auto"/>
              <w:right w:val="single" w:sz="4" w:space="0" w:color="auto"/>
            </w:tcBorders>
            <w:shd w:val="clear" w:color="auto" w:fill="auto"/>
            <w:vAlign w:val="bottom"/>
          </w:tcPr>
          <w:p w14:paraId="0ABAB5C3"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Правительство Приморского края</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37DBB389"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751</w:t>
            </w:r>
          </w:p>
        </w:tc>
        <w:tc>
          <w:tcPr>
            <w:tcW w:w="1276" w:type="dxa"/>
            <w:tcBorders>
              <w:top w:val="single" w:sz="4" w:space="0" w:color="auto"/>
              <w:left w:val="nil"/>
              <w:bottom w:val="single" w:sz="4" w:space="0" w:color="auto"/>
              <w:right w:val="single" w:sz="4" w:space="0" w:color="auto"/>
            </w:tcBorders>
            <w:shd w:val="clear" w:color="auto" w:fill="auto"/>
            <w:vAlign w:val="bottom"/>
          </w:tcPr>
          <w:p w14:paraId="0283635E"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993,80</w:t>
            </w:r>
          </w:p>
        </w:tc>
        <w:tc>
          <w:tcPr>
            <w:tcW w:w="850" w:type="dxa"/>
            <w:tcBorders>
              <w:top w:val="single" w:sz="4" w:space="0" w:color="auto"/>
              <w:left w:val="nil"/>
              <w:bottom w:val="single" w:sz="4" w:space="0" w:color="auto"/>
              <w:right w:val="single" w:sz="4" w:space="0" w:color="auto"/>
            </w:tcBorders>
            <w:shd w:val="clear" w:color="auto" w:fill="auto"/>
            <w:vAlign w:val="bottom"/>
          </w:tcPr>
          <w:p w14:paraId="0587C367"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0,40</w:t>
            </w:r>
          </w:p>
        </w:tc>
        <w:tc>
          <w:tcPr>
            <w:tcW w:w="1307" w:type="dxa"/>
            <w:tcBorders>
              <w:top w:val="single" w:sz="4" w:space="0" w:color="auto"/>
              <w:left w:val="nil"/>
              <w:bottom w:val="single" w:sz="4" w:space="0" w:color="auto"/>
              <w:right w:val="single" w:sz="4" w:space="0" w:color="auto"/>
            </w:tcBorders>
            <w:shd w:val="clear" w:color="auto" w:fill="auto"/>
            <w:vAlign w:val="bottom"/>
          </w:tcPr>
          <w:p w14:paraId="445FE70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961,24</w:t>
            </w:r>
          </w:p>
        </w:tc>
        <w:tc>
          <w:tcPr>
            <w:tcW w:w="832" w:type="dxa"/>
            <w:tcBorders>
              <w:top w:val="single" w:sz="4" w:space="0" w:color="auto"/>
              <w:left w:val="nil"/>
              <w:bottom w:val="single" w:sz="4" w:space="0" w:color="auto"/>
              <w:right w:val="single" w:sz="4" w:space="0" w:color="auto"/>
            </w:tcBorders>
            <w:shd w:val="clear" w:color="auto" w:fill="auto"/>
            <w:noWrap/>
            <w:vAlign w:val="bottom"/>
          </w:tcPr>
          <w:p w14:paraId="2E2E4F7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96,72</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41AAB283"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0,41</w:t>
            </w:r>
          </w:p>
        </w:tc>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8F2D3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32,56</w:t>
            </w:r>
          </w:p>
        </w:tc>
      </w:tr>
      <w:tr w:rsidR="00E47AA9" w:rsidRPr="00E47AA9" w14:paraId="154655BC" w14:textId="77777777" w:rsidTr="00353702">
        <w:trPr>
          <w:trHeight w:val="600"/>
        </w:trPr>
        <w:tc>
          <w:tcPr>
            <w:tcW w:w="567" w:type="dxa"/>
            <w:tcBorders>
              <w:top w:val="nil"/>
              <w:left w:val="single" w:sz="4" w:space="0" w:color="auto"/>
              <w:bottom w:val="single" w:sz="4" w:space="0" w:color="auto"/>
              <w:right w:val="single" w:sz="4" w:space="0" w:color="auto"/>
            </w:tcBorders>
            <w:shd w:val="clear" w:color="auto" w:fill="auto"/>
            <w:vAlign w:val="bottom"/>
          </w:tcPr>
          <w:p w14:paraId="00882AE0"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2</w:t>
            </w:r>
          </w:p>
        </w:tc>
        <w:tc>
          <w:tcPr>
            <w:tcW w:w="2410" w:type="dxa"/>
            <w:tcBorders>
              <w:top w:val="nil"/>
              <w:left w:val="nil"/>
              <w:bottom w:val="single" w:sz="4" w:space="0" w:color="auto"/>
              <w:right w:val="single" w:sz="4" w:space="0" w:color="auto"/>
            </w:tcBorders>
            <w:shd w:val="clear" w:color="auto" w:fill="auto"/>
            <w:vAlign w:val="bottom"/>
          </w:tcPr>
          <w:p w14:paraId="02E17BD7"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финансов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1F589DE2"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752</w:t>
            </w:r>
          </w:p>
        </w:tc>
        <w:tc>
          <w:tcPr>
            <w:tcW w:w="1276" w:type="dxa"/>
            <w:tcBorders>
              <w:top w:val="nil"/>
              <w:left w:val="nil"/>
              <w:bottom w:val="single" w:sz="4" w:space="0" w:color="auto"/>
              <w:right w:val="single" w:sz="4" w:space="0" w:color="auto"/>
            </w:tcBorders>
            <w:shd w:val="clear" w:color="auto" w:fill="auto"/>
            <w:vAlign w:val="bottom"/>
          </w:tcPr>
          <w:p w14:paraId="25AD9D9D"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9 671,83</w:t>
            </w:r>
          </w:p>
        </w:tc>
        <w:tc>
          <w:tcPr>
            <w:tcW w:w="850" w:type="dxa"/>
            <w:tcBorders>
              <w:top w:val="nil"/>
              <w:left w:val="nil"/>
              <w:bottom w:val="single" w:sz="4" w:space="0" w:color="auto"/>
              <w:right w:val="single" w:sz="4" w:space="0" w:color="auto"/>
            </w:tcBorders>
            <w:shd w:val="clear" w:color="auto" w:fill="auto"/>
            <w:vAlign w:val="bottom"/>
          </w:tcPr>
          <w:p w14:paraId="10844533"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3,94</w:t>
            </w:r>
          </w:p>
        </w:tc>
        <w:tc>
          <w:tcPr>
            <w:tcW w:w="1307" w:type="dxa"/>
            <w:tcBorders>
              <w:top w:val="nil"/>
              <w:left w:val="nil"/>
              <w:bottom w:val="single" w:sz="4" w:space="0" w:color="auto"/>
              <w:right w:val="single" w:sz="4" w:space="0" w:color="auto"/>
            </w:tcBorders>
            <w:shd w:val="clear" w:color="auto" w:fill="auto"/>
            <w:vAlign w:val="bottom"/>
          </w:tcPr>
          <w:p w14:paraId="3D5F775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9 504,30</w:t>
            </w:r>
          </w:p>
        </w:tc>
        <w:tc>
          <w:tcPr>
            <w:tcW w:w="832" w:type="dxa"/>
            <w:tcBorders>
              <w:top w:val="nil"/>
              <w:left w:val="nil"/>
              <w:bottom w:val="single" w:sz="4" w:space="0" w:color="auto"/>
              <w:right w:val="single" w:sz="4" w:space="0" w:color="auto"/>
            </w:tcBorders>
            <w:shd w:val="clear" w:color="auto" w:fill="auto"/>
            <w:noWrap/>
            <w:vAlign w:val="bottom"/>
          </w:tcPr>
          <w:p w14:paraId="12729446"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98,27</w:t>
            </w:r>
          </w:p>
        </w:tc>
        <w:tc>
          <w:tcPr>
            <w:tcW w:w="960" w:type="dxa"/>
            <w:tcBorders>
              <w:top w:val="nil"/>
              <w:left w:val="nil"/>
              <w:bottom w:val="single" w:sz="4" w:space="0" w:color="auto"/>
              <w:right w:val="single" w:sz="4" w:space="0" w:color="auto"/>
            </w:tcBorders>
            <w:shd w:val="clear" w:color="auto" w:fill="auto"/>
            <w:noWrap/>
            <w:vAlign w:val="bottom"/>
          </w:tcPr>
          <w:p w14:paraId="50AEF1AF"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4,01</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627A9F8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167,53</w:t>
            </w:r>
          </w:p>
        </w:tc>
      </w:tr>
      <w:tr w:rsidR="00E47AA9" w:rsidRPr="00E47AA9" w14:paraId="04ACDAC2" w14:textId="77777777" w:rsidTr="00353702">
        <w:trPr>
          <w:trHeight w:val="363"/>
        </w:trPr>
        <w:tc>
          <w:tcPr>
            <w:tcW w:w="567" w:type="dxa"/>
            <w:tcBorders>
              <w:top w:val="nil"/>
              <w:left w:val="single" w:sz="4" w:space="0" w:color="auto"/>
              <w:bottom w:val="single" w:sz="4" w:space="0" w:color="auto"/>
              <w:right w:val="single" w:sz="4" w:space="0" w:color="auto"/>
            </w:tcBorders>
            <w:shd w:val="clear" w:color="auto" w:fill="auto"/>
            <w:vAlign w:val="bottom"/>
          </w:tcPr>
          <w:p w14:paraId="4653CB6A"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3</w:t>
            </w:r>
          </w:p>
        </w:tc>
        <w:tc>
          <w:tcPr>
            <w:tcW w:w="2410" w:type="dxa"/>
            <w:tcBorders>
              <w:top w:val="nil"/>
              <w:left w:val="nil"/>
              <w:bottom w:val="single" w:sz="4" w:space="0" w:color="auto"/>
              <w:right w:val="single" w:sz="4" w:space="0" w:color="auto"/>
            </w:tcBorders>
            <w:shd w:val="clear" w:color="auto" w:fill="auto"/>
            <w:vAlign w:val="bottom"/>
          </w:tcPr>
          <w:p w14:paraId="17AF6B3D"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Законодательное Собрание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3FB1D2CF"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753</w:t>
            </w:r>
          </w:p>
        </w:tc>
        <w:tc>
          <w:tcPr>
            <w:tcW w:w="1276" w:type="dxa"/>
            <w:tcBorders>
              <w:top w:val="nil"/>
              <w:left w:val="nil"/>
              <w:bottom w:val="single" w:sz="4" w:space="0" w:color="auto"/>
              <w:right w:val="single" w:sz="4" w:space="0" w:color="auto"/>
            </w:tcBorders>
            <w:shd w:val="clear" w:color="auto" w:fill="auto"/>
            <w:vAlign w:val="bottom"/>
          </w:tcPr>
          <w:p w14:paraId="23F12C4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661,76</w:t>
            </w:r>
          </w:p>
        </w:tc>
        <w:tc>
          <w:tcPr>
            <w:tcW w:w="850" w:type="dxa"/>
            <w:tcBorders>
              <w:top w:val="nil"/>
              <w:left w:val="nil"/>
              <w:bottom w:val="single" w:sz="4" w:space="0" w:color="auto"/>
              <w:right w:val="single" w:sz="4" w:space="0" w:color="auto"/>
            </w:tcBorders>
            <w:shd w:val="clear" w:color="auto" w:fill="auto"/>
            <w:vAlign w:val="bottom"/>
          </w:tcPr>
          <w:p w14:paraId="763BD0BE"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0,27</w:t>
            </w:r>
          </w:p>
        </w:tc>
        <w:tc>
          <w:tcPr>
            <w:tcW w:w="1307" w:type="dxa"/>
            <w:tcBorders>
              <w:top w:val="nil"/>
              <w:left w:val="nil"/>
              <w:bottom w:val="single" w:sz="4" w:space="0" w:color="auto"/>
              <w:right w:val="single" w:sz="4" w:space="0" w:color="auto"/>
            </w:tcBorders>
            <w:shd w:val="clear" w:color="auto" w:fill="auto"/>
            <w:vAlign w:val="bottom"/>
          </w:tcPr>
          <w:p w14:paraId="6FC3F10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649,41</w:t>
            </w:r>
          </w:p>
        </w:tc>
        <w:tc>
          <w:tcPr>
            <w:tcW w:w="832" w:type="dxa"/>
            <w:tcBorders>
              <w:top w:val="nil"/>
              <w:left w:val="nil"/>
              <w:bottom w:val="single" w:sz="4" w:space="0" w:color="auto"/>
              <w:right w:val="single" w:sz="4" w:space="0" w:color="auto"/>
            </w:tcBorders>
            <w:shd w:val="clear" w:color="auto" w:fill="auto"/>
            <w:noWrap/>
            <w:vAlign w:val="bottom"/>
          </w:tcPr>
          <w:p w14:paraId="4B02518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98,13</w:t>
            </w:r>
          </w:p>
        </w:tc>
        <w:tc>
          <w:tcPr>
            <w:tcW w:w="960" w:type="dxa"/>
            <w:tcBorders>
              <w:top w:val="nil"/>
              <w:left w:val="nil"/>
              <w:bottom w:val="single" w:sz="4" w:space="0" w:color="auto"/>
              <w:right w:val="single" w:sz="4" w:space="0" w:color="auto"/>
            </w:tcBorders>
            <w:shd w:val="clear" w:color="auto" w:fill="auto"/>
            <w:noWrap/>
            <w:vAlign w:val="bottom"/>
          </w:tcPr>
          <w:p w14:paraId="32FE02CE"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0,27</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55BE681C"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12,35</w:t>
            </w:r>
          </w:p>
        </w:tc>
      </w:tr>
      <w:tr w:rsidR="00E47AA9" w:rsidRPr="00E47AA9" w14:paraId="7F76965A" w14:textId="77777777" w:rsidTr="00353702">
        <w:trPr>
          <w:trHeight w:val="102"/>
        </w:trPr>
        <w:tc>
          <w:tcPr>
            <w:tcW w:w="567" w:type="dxa"/>
            <w:tcBorders>
              <w:top w:val="nil"/>
              <w:left w:val="single" w:sz="4" w:space="0" w:color="auto"/>
              <w:bottom w:val="single" w:sz="4" w:space="0" w:color="auto"/>
              <w:right w:val="single" w:sz="4" w:space="0" w:color="auto"/>
            </w:tcBorders>
            <w:shd w:val="clear" w:color="auto" w:fill="auto"/>
            <w:vAlign w:val="bottom"/>
          </w:tcPr>
          <w:p w14:paraId="7650FD1F"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4</w:t>
            </w:r>
          </w:p>
        </w:tc>
        <w:tc>
          <w:tcPr>
            <w:tcW w:w="2410" w:type="dxa"/>
            <w:tcBorders>
              <w:top w:val="nil"/>
              <w:left w:val="nil"/>
              <w:bottom w:val="single" w:sz="4" w:space="0" w:color="auto"/>
              <w:right w:val="single" w:sz="4" w:space="0" w:color="auto"/>
            </w:tcBorders>
            <w:shd w:val="clear" w:color="auto" w:fill="auto"/>
            <w:vAlign w:val="bottom"/>
          </w:tcPr>
          <w:p w14:paraId="1C0B7464"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транспорта и дорожного хозяйства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7E7CE9FB"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754</w:t>
            </w:r>
          </w:p>
        </w:tc>
        <w:tc>
          <w:tcPr>
            <w:tcW w:w="1276" w:type="dxa"/>
            <w:tcBorders>
              <w:top w:val="nil"/>
              <w:left w:val="nil"/>
              <w:bottom w:val="single" w:sz="4" w:space="0" w:color="auto"/>
              <w:right w:val="single" w:sz="4" w:space="0" w:color="auto"/>
            </w:tcBorders>
            <w:shd w:val="clear" w:color="auto" w:fill="auto"/>
            <w:vAlign w:val="bottom"/>
          </w:tcPr>
          <w:p w14:paraId="1929313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27 289,11</w:t>
            </w:r>
          </w:p>
        </w:tc>
        <w:tc>
          <w:tcPr>
            <w:tcW w:w="850" w:type="dxa"/>
            <w:tcBorders>
              <w:top w:val="nil"/>
              <w:left w:val="nil"/>
              <w:bottom w:val="single" w:sz="4" w:space="0" w:color="auto"/>
              <w:right w:val="single" w:sz="4" w:space="0" w:color="auto"/>
            </w:tcBorders>
            <w:shd w:val="clear" w:color="auto" w:fill="auto"/>
            <w:vAlign w:val="bottom"/>
          </w:tcPr>
          <w:p w14:paraId="5C525F67"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11,11</w:t>
            </w:r>
          </w:p>
        </w:tc>
        <w:tc>
          <w:tcPr>
            <w:tcW w:w="1307" w:type="dxa"/>
            <w:tcBorders>
              <w:top w:val="nil"/>
              <w:left w:val="nil"/>
              <w:bottom w:val="single" w:sz="4" w:space="0" w:color="auto"/>
              <w:right w:val="single" w:sz="4" w:space="0" w:color="auto"/>
            </w:tcBorders>
            <w:shd w:val="clear" w:color="auto" w:fill="auto"/>
            <w:vAlign w:val="bottom"/>
          </w:tcPr>
          <w:p w14:paraId="5F22CA6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25 071,57</w:t>
            </w:r>
          </w:p>
        </w:tc>
        <w:tc>
          <w:tcPr>
            <w:tcW w:w="832" w:type="dxa"/>
            <w:tcBorders>
              <w:top w:val="nil"/>
              <w:left w:val="nil"/>
              <w:bottom w:val="single" w:sz="4" w:space="0" w:color="auto"/>
              <w:right w:val="single" w:sz="4" w:space="0" w:color="auto"/>
            </w:tcBorders>
            <w:shd w:val="clear" w:color="auto" w:fill="auto"/>
            <w:noWrap/>
            <w:vAlign w:val="bottom"/>
          </w:tcPr>
          <w:p w14:paraId="54BAF4E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91,87</w:t>
            </w:r>
          </w:p>
        </w:tc>
        <w:tc>
          <w:tcPr>
            <w:tcW w:w="960" w:type="dxa"/>
            <w:tcBorders>
              <w:top w:val="nil"/>
              <w:left w:val="nil"/>
              <w:bottom w:val="single" w:sz="4" w:space="0" w:color="auto"/>
              <w:right w:val="single" w:sz="4" w:space="0" w:color="auto"/>
            </w:tcBorders>
            <w:shd w:val="clear" w:color="auto" w:fill="auto"/>
            <w:noWrap/>
            <w:vAlign w:val="bottom"/>
          </w:tcPr>
          <w:p w14:paraId="23514F6E"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10,58</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0160F3D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2 217,54</w:t>
            </w:r>
          </w:p>
        </w:tc>
      </w:tr>
      <w:tr w:rsidR="00E47AA9" w:rsidRPr="00E47AA9" w14:paraId="37C9EC36" w14:textId="77777777" w:rsidTr="00353702">
        <w:trPr>
          <w:trHeight w:val="245"/>
        </w:trPr>
        <w:tc>
          <w:tcPr>
            <w:tcW w:w="567" w:type="dxa"/>
            <w:tcBorders>
              <w:top w:val="nil"/>
              <w:left w:val="single" w:sz="4" w:space="0" w:color="auto"/>
              <w:bottom w:val="single" w:sz="4" w:space="0" w:color="auto"/>
              <w:right w:val="single" w:sz="4" w:space="0" w:color="auto"/>
            </w:tcBorders>
            <w:shd w:val="clear" w:color="auto" w:fill="auto"/>
            <w:vAlign w:val="bottom"/>
          </w:tcPr>
          <w:p w14:paraId="0372FD73"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5</w:t>
            </w:r>
          </w:p>
        </w:tc>
        <w:tc>
          <w:tcPr>
            <w:tcW w:w="2410" w:type="dxa"/>
            <w:tcBorders>
              <w:top w:val="nil"/>
              <w:left w:val="nil"/>
              <w:bottom w:val="single" w:sz="4" w:space="0" w:color="auto"/>
              <w:right w:val="single" w:sz="4" w:space="0" w:color="auto"/>
            </w:tcBorders>
            <w:shd w:val="clear" w:color="auto" w:fill="auto"/>
            <w:vAlign w:val="bottom"/>
          </w:tcPr>
          <w:p w14:paraId="6D71E271"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цифрового развития и связи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4508F5B2"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755</w:t>
            </w:r>
          </w:p>
        </w:tc>
        <w:tc>
          <w:tcPr>
            <w:tcW w:w="1276" w:type="dxa"/>
            <w:tcBorders>
              <w:top w:val="nil"/>
              <w:left w:val="nil"/>
              <w:bottom w:val="single" w:sz="4" w:space="0" w:color="auto"/>
              <w:right w:val="single" w:sz="4" w:space="0" w:color="auto"/>
            </w:tcBorders>
            <w:shd w:val="clear" w:color="auto" w:fill="auto"/>
            <w:vAlign w:val="bottom"/>
          </w:tcPr>
          <w:p w14:paraId="03C6963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3 903,12</w:t>
            </w:r>
          </w:p>
        </w:tc>
        <w:tc>
          <w:tcPr>
            <w:tcW w:w="850" w:type="dxa"/>
            <w:tcBorders>
              <w:top w:val="nil"/>
              <w:left w:val="nil"/>
              <w:bottom w:val="single" w:sz="4" w:space="0" w:color="auto"/>
              <w:right w:val="single" w:sz="4" w:space="0" w:color="auto"/>
            </w:tcBorders>
            <w:shd w:val="clear" w:color="auto" w:fill="auto"/>
            <w:vAlign w:val="bottom"/>
          </w:tcPr>
          <w:p w14:paraId="747C982F"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1,59</w:t>
            </w:r>
          </w:p>
        </w:tc>
        <w:tc>
          <w:tcPr>
            <w:tcW w:w="1307" w:type="dxa"/>
            <w:tcBorders>
              <w:top w:val="nil"/>
              <w:left w:val="nil"/>
              <w:bottom w:val="single" w:sz="4" w:space="0" w:color="auto"/>
              <w:right w:val="single" w:sz="4" w:space="0" w:color="auto"/>
            </w:tcBorders>
            <w:shd w:val="clear" w:color="auto" w:fill="auto"/>
            <w:vAlign w:val="bottom"/>
          </w:tcPr>
          <w:p w14:paraId="6AE740B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3 900,82</w:t>
            </w:r>
          </w:p>
        </w:tc>
        <w:tc>
          <w:tcPr>
            <w:tcW w:w="832" w:type="dxa"/>
            <w:tcBorders>
              <w:top w:val="nil"/>
              <w:left w:val="nil"/>
              <w:bottom w:val="single" w:sz="4" w:space="0" w:color="auto"/>
              <w:right w:val="single" w:sz="4" w:space="0" w:color="auto"/>
            </w:tcBorders>
            <w:shd w:val="clear" w:color="auto" w:fill="auto"/>
            <w:noWrap/>
            <w:vAlign w:val="bottom"/>
          </w:tcPr>
          <w:p w14:paraId="44AB10F0"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99,94</w:t>
            </w:r>
          </w:p>
        </w:tc>
        <w:tc>
          <w:tcPr>
            <w:tcW w:w="960" w:type="dxa"/>
            <w:tcBorders>
              <w:top w:val="nil"/>
              <w:left w:val="nil"/>
              <w:bottom w:val="single" w:sz="4" w:space="0" w:color="auto"/>
              <w:right w:val="single" w:sz="4" w:space="0" w:color="auto"/>
            </w:tcBorders>
            <w:shd w:val="clear" w:color="auto" w:fill="auto"/>
            <w:noWrap/>
            <w:vAlign w:val="bottom"/>
          </w:tcPr>
          <w:p w14:paraId="71B59A48"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1,65</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5EECA6D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2,30</w:t>
            </w:r>
          </w:p>
        </w:tc>
      </w:tr>
      <w:tr w:rsidR="00E47AA9" w:rsidRPr="00E47AA9" w14:paraId="3B763D93" w14:textId="77777777" w:rsidTr="00353702">
        <w:trPr>
          <w:trHeight w:val="306"/>
        </w:trPr>
        <w:tc>
          <w:tcPr>
            <w:tcW w:w="567" w:type="dxa"/>
            <w:tcBorders>
              <w:top w:val="nil"/>
              <w:left w:val="single" w:sz="4" w:space="0" w:color="auto"/>
              <w:bottom w:val="single" w:sz="4" w:space="0" w:color="auto"/>
              <w:right w:val="single" w:sz="4" w:space="0" w:color="auto"/>
            </w:tcBorders>
            <w:shd w:val="clear" w:color="auto" w:fill="auto"/>
            <w:vAlign w:val="bottom"/>
          </w:tcPr>
          <w:p w14:paraId="5877A67D"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6</w:t>
            </w:r>
          </w:p>
        </w:tc>
        <w:tc>
          <w:tcPr>
            <w:tcW w:w="2410" w:type="dxa"/>
            <w:tcBorders>
              <w:top w:val="nil"/>
              <w:left w:val="nil"/>
              <w:bottom w:val="single" w:sz="4" w:space="0" w:color="auto"/>
              <w:right w:val="single" w:sz="4" w:space="0" w:color="auto"/>
            </w:tcBorders>
            <w:shd w:val="clear" w:color="auto" w:fill="auto"/>
            <w:vAlign w:val="bottom"/>
          </w:tcPr>
          <w:p w14:paraId="013ADF35"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Уполномоченный по правам человека в Приморском крае</w:t>
            </w:r>
          </w:p>
        </w:tc>
        <w:tc>
          <w:tcPr>
            <w:tcW w:w="709" w:type="dxa"/>
            <w:tcBorders>
              <w:top w:val="nil"/>
              <w:left w:val="nil"/>
              <w:bottom w:val="single" w:sz="4" w:space="0" w:color="auto"/>
              <w:right w:val="single" w:sz="4" w:space="0" w:color="auto"/>
            </w:tcBorders>
            <w:shd w:val="clear" w:color="auto" w:fill="auto"/>
            <w:noWrap/>
            <w:vAlign w:val="bottom"/>
          </w:tcPr>
          <w:p w14:paraId="4A91A6E8"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757</w:t>
            </w:r>
          </w:p>
        </w:tc>
        <w:tc>
          <w:tcPr>
            <w:tcW w:w="1276" w:type="dxa"/>
            <w:tcBorders>
              <w:top w:val="nil"/>
              <w:left w:val="nil"/>
              <w:bottom w:val="single" w:sz="4" w:space="0" w:color="auto"/>
              <w:right w:val="single" w:sz="4" w:space="0" w:color="auto"/>
            </w:tcBorders>
            <w:shd w:val="clear" w:color="auto" w:fill="auto"/>
            <w:vAlign w:val="bottom"/>
          </w:tcPr>
          <w:p w14:paraId="50BCE407"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41,47</w:t>
            </w:r>
          </w:p>
        </w:tc>
        <w:tc>
          <w:tcPr>
            <w:tcW w:w="850" w:type="dxa"/>
            <w:tcBorders>
              <w:top w:val="nil"/>
              <w:left w:val="nil"/>
              <w:bottom w:val="single" w:sz="4" w:space="0" w:color="auto"/>
              <w:right w:val="single" w:sz="4" w:space="0" w:color="auto"/>
            </w:tcBorders>
            <w:shd w:val="clear" w:color="auto" w:fill="auto"/>
            <w:vAlign w:val="bottom"/>
          </w:tcPr>
          <w:p w14:paraId="7984CC5D"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0,02</w:t>
            </w:r>
          </w:p>
        </w:tc>
        <w:tc>
          <w:tcPr>
            <w:tcW w:w="1307" w:type="dxa"/>
            <w:tcBorders>
              <w:top w:val="nil"/>
              <w:left w:val="nil"/>
              <w:bottom w:val="single" w:sz="4" w:space="0" w:color="auto"/>
              <w:right w:val="single" w:sz="4" w:space="0" w:color="auto"/>
            </w:tcBorders>
            <w:shd w:val="clear" w:color="auto" w:fill="auto"/>
            <w:vAlign w:val="bottom"/>
          </w:tcPr>
          <w:p w14:paraId="76A0F43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41,42</w:t>
            </w:r>
          </w:p>
        </w:tc>
        <w:tc>
          <w:tcPr>
            <w:tcW w:w="832" w:type="dxa"/>
            <w:tcBorders>
              <w:top w:val="nil"/>
              <w:left w:val="nil"/>
              <w:bottom w:val="single" w:sz="4" w:space="0" w:color="auto"/>
              <w:right w:val="single" w:sz="4" w:space="0" w:color="auto"/>
            </w:tcBorders>
            <w:shd w:val="clear" w:color="auto" w:fill="auto"/>
            <w:noWrap/>
            <w:vAlign w:val="bottom"/>
          </w:tcPr>
          <w:p w14:paraId="17C683B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99,89</w:t>
            </w:r>
          </w:p>
        </w:tc>
        <w:tc>
          <w:tcPr>
            <w:tcW w:w="960" w:type="dxa"/>
            <w:tcBorders>
              <w:top w:val="nil"/>
              <w:left w:val="nil"/>
              <w:bottom w:val="single" w:sz="4" w:space="0" w:color="auto"/>
              <w:right w:val="single" w:sz="4" w:space="0" w:color="auto"/>
            </w:tcBorders>
            <w:shd w:val="clear" w:color="auto" w:fill="auto"/>
            <w:noWrap/>
            <w:vAlign w:val="bottom"/>
          </w:tcPr>
          <w:p w14:paraId="35B85FFF"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0,02</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7D4782E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0,05</w:t>
            </w:r>
          </w:p>
        </w:tc>
      </w:tr>
      <w:tr w:rsidR="00E47AA9" w:rsidRPr="00E47AA9" w14:paraId="7F3D553B" w14:textId="77777777" w:rsidTr="00353702">
        <w:trPr>
          <w:trHeight w:val="384"/>
        </w:trPr>
        <w:tc>
          <w:tcPr>
            <w:tcW w:w="567" w:type="dxa"/>
            <w:tcBorders>
              <w:top w:val="nil"/>
              <w:left w:val="single" w:sz="4" w:space="0" w:color="auto"/>
              <w:bottom w:val="single" w:sz="4" w:space="0" w:color="auto"/>
              <w:right w:val="single" w:sz="4" w:space="0" w:color="auto"/>
            </w:tcBorders>
            <w:shd w:val="clear" w:color="auto" w:fill="auto"/>
            <w:vAlign w:val="bottom"/>
          </w:tcPr>
          <w:p w14:paraId="4224FFE7"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w:t>
            </w:r>
          </w:p>
        </w:tc>
        <w:tc>
          <w:tcPr>
            <w:tcW w:w="2410" w:type="dxa"/>
            <w:tcBorders>
              <w:top w:val="nil"/>
              <w:left w:val="nil"/>
              <w:bottom w:val="single" w:sz="4" w:space="0" w:color="auto"/>
              <w:right w:val="single" w:sz="4" w:space="0" w:color="auto"/>
            </w:tcBorders>
            <w:shd w:val="clear" w:color="auto" w:fill="auto"/>
            <w:vAlign w:val="bottom"/>
          </w:tcPr>
          <w:p w14:paraId="207A100B"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сельского хозяйства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05C648A5"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758</w:t>
            </w:r>
          </w:p>
        </w:tc>
        <w:tc>
          <w:tcPr>
            <w:tcW w:w="1276" w:type="dxa"/>
            <w:tcBorders>
              <w:top w:val="nil"/>
              <w:left w:val="nil"/>
              <w:bottom w:val="single" w:sz="4" w:space="0" w:color="auto"/>
              <w:right w:val="single" w:sz="4" w:space="0" w:color="auto"/>
            </w:tcBorders>
            <w:shd w:val="clear" w:color="auto" w:fill="auto"/>
            <w:vAlign w:val="bottom"/>
          </w:tcPr>
          <w:p w14:paraId="22DDA2D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4 508,13</w:t>
            </w:r>
          </w:p>
        </w:tc>
        <w:tc>
          <w:tcPr>
            <w:tcW w:w="850" w:type="dxa"/>
            <w:tcBorders>
              <w:top w:val="nil"/>
              <w:left w:val="nil"/>
              <w:bottom w:val="single" w:sz="4" w:space="0" w:color="auto"/>
              <w:right w:val="single" w:sz="4" w:space="0" w:color="auto"/>
            </w:tcBorders>
            <w:shd w:val="clear" w:color="auto" w:fill="auto"/>
            <w:vAlign w:val="bottom"/>
          </w:tcPr>
          <w:p w14:paraId="2BBC8465"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1,83</w:t>
            </w:r>
          </w:p>
        </w:tc>
        <w:tc>
          <w:tcPr>
            <w:tcW w:w="1307" w:type="dxa"/>
            <w:tcBorders>
              <w:top w:val="nil"/>
              <w:left w:val="nil"/>
              <w:bottom w:val="single" w:sz="4" w:space="0" w:color="auto"/>
              <w:right w:val="single" w:sz="4" w:space="0" w:color="auto"/>
            </w:tcBorders>
            <w:shd w:val="clear" w:color="auto" w:fill="auto"/>
            <w:vAlign w:val="bottom"/>
          </w:tcPr>
          <w:p w14:paraId="7A2FE750"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4 473,31</w:t>
            </w:r>
          </w:p>
        </w:tc>
        <w:tc>
          <w:tcPr>
            <w:tcW w:w="832" w:type="dxa"/>
            <w:tcBorders>
              <w:top w:val="nil"/>
              <w:left w:val="nil"/>
              <w:bottom w:val="single" w:sz="4" w:space="0" w:color="auto"/>
              <w:right w:val="single" w:sz="4" w:space="0" w:color="auto"/>
            </w:tcBorders>
            <w:shd w:val="clear" w:color="auto" w:fill="auto"/>
            <w:noWrap/>
            <w:vAlign w:val="bottom"/>
          </w:tcPr>
          <w:p w14:paraId="1AC9D2FD"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99,23</w:t>
            </w:r>
          </w:p>
        </w:tc>
        <w:tc>
          <w:tcPr>
            <w:tcW w:w="960" w:type="dxa"/>
            <w:tcBorders>
              <w:top w:val="nil"/>
              <w:left w:val="nil"/>
              <w:bottom w:val="single" w:sz="4" w:space="0" w:color="auto"/>
              <w:right w:val="single" w:sz="4" w:space="0" w:color="auto"/>
            </w:tcBorders>
            <w:shd w:val="clear" w:color="auto" w:fill="auto"/>
            <w:noWrap/>
            <w:vAlign w:val="bottom"/>
          </w:tcPr>
          <w:p w14:paraId="4BAFEF2E"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1,89</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37778530"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34,82</w:t>
            </w:r>
          </w:p>
        </w:tc>
      </w:tr>
      <w:tr w:rsidR="00E47AA9" w:rsidRPr="00E47AA9" w14:paraId="4D8F0D1E" w14:textId="77777777" w:rsidTr="00353702">
        <w:trPr>
          <w:trHeight w:val="333"/>
        </w:trPr>
        <w:tc>
          <w:tcPr>
            <w:tcW w:w="567" w:type="dxa"/>
            <w:tcBorders>
              <w:top w:val="nil"/>
              <w:left w:val="single" w:sz="4" w:space="0" w:color="auto"/>
              <w:bottom w:val="single" w:sz="4" w:space="0" w:color="auto"/>
              <w:right w:val="single" w:sz="4" w:space="0" w:color="auto"/>
            </w:tcBorders>
            <w:shd w:val="clear" w:color="auto" w:fill="auto"/>
            <w:vAlign w:val="bottom"/>
          </w:tcPr>
          <w:p w14:paraId="6EFBAD9E"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8</w:t>
            </w:r>
          </w:p>
        </w:tc>
        <w:tc>
          <w:tcPr>
            <w:tcW w:w="2410" w:type="dxa"/>
            <w:tcBorders>
              <w:top w:val="nil"/>
              <w:left w:val="nil"/>
              <w:bottom w:val="single" w:sz="4" w:space="0" w:color="auto"/>
              <w:right w:val="single" w:sz="4" w:space="0" w:color="auto"/>
            </w:tcBorders>
            <w:shd w:val="clear" w:color="auto" w:fill="auto"/>
            <w:vAlign w:val="bottom"/>
          </w:tcPr>
          <w:p w14:paraId="484089E6"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образования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6EF70E00"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759</w:t>
            </w:r>
          </w:p>
        </w:tc>
        <w:tc>
          <w:tcPr>
            <w:tcW w:w="1276" w:type="dxa"/>
            <w:tcBorders>
              <w:top w:val="nil"/>
              <w:left w:val="nil"/>
              <w:bottom w:val="single" w:sz="4" w:space="0" w:color="auto"/>
              <w:right w:val="single" w:sz="4" w:space="0" w:color="auto"/>
            </w:tcBorders>
            <w:shd w:val="clear" w:color="auto" w:fill="auto"/>
            <w:vAlign w:val="bottom"/>
          </w:tcPr>
          <w:p w14:paraId="16E100D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40 905,74</w:t>
            </w:r>
          </w:p>
        </w:tc>
        <w:tc>
          <w:tcPr>
            <w:tcW w:w="850" w:type="dxa"/>
            <w:tcBorders>
              <w:top w:val="nil"/>
              <w:left w:val="nil"/>
              <w:bottom w:val="single" w:sz="4" w:space="0" w:color="auto"/>
              <w:right w:val="single" w:sz="4" w:space="0" w:color="auto"/>
            </w:tcBorders>
            <w:shd w:val="clear" w:color="auto" w:fill="auto"/>
            <w:vAlign w:val="bottom"/>
          </w:tcPr>
          <w:p w14:paraId="50EA5F92"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16,65</w:t>
            </w:r>
          </w:p>
        </w:tc>
        <w:tc>
          <w:tcPr>
            <w:tcW w:w="1307" w:type="dxa"/>
            <w:tcBorders>
              <w:top w:val="nil"/>
              <w:left w:val="nil"/>
              <w:bottom w:val="single" w:sz="4" w:space="0" w:color="auto"/>
              <w:right w:val="single" w:sz="4" w:space="0" w:color="auto"/>
            </w:tcBorders>
            <w:shd w:val="clear" w:color="auto" w:fill="auto"/>
            <w:vAlign w:val="bottom"/>
          </w:tcPr>
          <w:p w14:paraId="4A613C9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39 958,84</w:t>
            </w:r>
          </w:p>
        </w:tc>
        <w:tc>
          <w:tcPr>
            <w:tcW w:w="832" w:type="dxa"/>
            <w:tcBorders>
              <w:top w:val="nil"/>
              <w:left w:val="nil"/>
              <w:bottom w:val="single" w:sz="4" w:space="0" w:color="auto"/>
              <w:right w:val="single" w:sz="4" w:space="0" w:color="auto"/>
            </w:tcBorders>
            <w:shd w:val="clear" w:color="auto" w:fill="auto"/>
            <w:noWrap/>
            <w:vAlign w:val="bottom"/>
          </w:tcPr>
          <w:p w14:paraId="0F5ED49D"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97,69</w:t>
            </w:r>
          </w:p>
        </w:tc>
        <w:tc>
          <w:tcPr>
            <w:tcW w:w="960" w:type="dxa"/>
            <w:tcBorders>
              <w:top w:val="nil"/>
              <w:left w:val="nil"/>
              <w:bottom w:val="single" w:sz="4" w:space="0" w:color="auto"/>
              <w:right w:val="single" w:sz="4" w:space="0" w:color="auto"/>
            </w:tcBorders>
            <w:shd w:val="clear" w:color="auto" w:fill="auto"/>
            <w:noWrap/>
            <w:vAlign w:val="bottom"/>
          </w:tcPr>
          <w:p w14:paraId="440F3765"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16,86</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16CCE58D"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946,90</w:t>
            </w:r>
          </w:p>
        </w:tc>
      </w:tr>
      <w:tr w:rsidR="00E47AA9" w:rsidRPr="00E47AA9" w14:paraId="7FA57BBF" w14:textId="77777777" w:rsidTr="00353702">
        <w:trPr>
          <w:trHeight w:val="600"/>
        </w:trPr>
        <w:tc>
          <w:tcPr>
            <w:tcW w:w="567" w:type="dxa"/>
            <w:tcBorders>
              <w:top w:val="nil"/>
              <w:left w:val="single" w:sz="4" w:space="0" w:color="auto"/>
              <w:bottom w:val="single" w:sz="4" w:space="0" w:color="auto"/>
              <w:right w:val="single" w:sz="4" w:space="0" w:color="auto"/>
            </w:tcBorders>
            <w:shd w:val="clear" w:color="auto" w:fill="auto"/>
            <w:vAlign w:val="bottom"/>
          </w:tcPr>
          <w:p w14:paraId="03F708E6"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9</w:t>
            </w:r>
          </w:p>
        </w:tc>
        <w:tc>
          <w:tcPr>
            <w:tcW w:w="2410" w:type="dxa"/>
            <w:tcBorders>
              <w:top w:val="nil"/>
              <w:left w:val="nil"/>
              <w:bottom w:val="single" w:sz="4" w:space="0" w:color="auto"/>
              <w:right w:val="single" w:sz="4" w:space="0" w:color="auto"/>
            </w:tcBorders>
            <w:shd w:val="clear" w:color="auto" w:fill="auto"/>
            <w:vAlign w:val="bottom"/>
          </w:tcPr>
          <w:p w14:paraId="371D2098"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труда и социальной политики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7378342B"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760</w:t>
            </w:r>
          </w:p>
        </w:tc>
        <w:tc>
          <w:tcPr>
            <w:tcW w:w="1276" w:type="dxa"/>
            <w:tcBorders>
              <w:top w:val="nil"/>
              <w:left w:val="nil"/>
              <w:bottom w:val="single" w:sz="4" w:space="0" w:color="auto"/>
              <w:right w:val="single" w:sz="4" w:space="0" w:color="auto"/>
            </w:tcBorders>
            <w:shd w:val="clear" w:color="auto" w:fill="auto"/>
            <w:vAlign w:val="bottom"/>
          </w:tcPr>
          <w:p w14:paraId="6576445D"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38 048,54</w:t>
            </w:r>
          </w:p>
        </w:tc>
        <w:tc>
          <w:tcPr>
            <w:tcW w:w="850" w:type="dxa"/>
            <w:tcBorders>
              <w:top w:val="nil"/>
              <w:left w:val="nil"/>
              <w:bottom w:val="single" w:sz="4" w:space="0" w:color="auto"/>
              <w:right w:val="single" w:sz="4" w:space="0" w:color="auto"/>
            </w:tcBorders>
            <w:shd w:val="clear" w:color="auto" w:fill="auto"/>
            <w:vAlign w:val="bottom"/>
          </w:tcPr>
          <w:p w14:paraId="05298F9C"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15,49</w:t>
            </w:r>
          </w:p>
        </w:tc>
        <w:tc>
          <w:tcPr>
            <w:tcW w:w="1307" w:type="dxa"/>
            <w:tcBorders>
              <w:top w:val="nil"/>
              <w:left w:val="nil"/>
              <w:bottom w:val="single" w:sz="4" w:space="0" w:color="auto"/>
              <w:right w:val="single" w:sz="4" w:space="0" w:color="auto"/>
            </w:tcBorders>
            <w:shd w:val="clear" w:color="auto" w:fill="auto"/>
            <w:vAlign w:val="bottom"/>
          </w:tcPr>
          <w:p w14:paraId="267715C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37 792,50</w:t>
            </w:r>
          </w:p>
        </w:tc>
        <w:tc>
          <w:tcPr>
            <w:tcW w:w="832" w:type="dxa"/>
            <w:tcBorders>
              <w:top w:val="nil"/>
              <w:left w:val="nil"/>
              <w:bottom w:val="single" w:sz="4" w:space="0" w:color="auto"/>
              <w:right w:val="single" w:sz="4" w:space="0" w:color="auto"/>
            </w:tcBorders>
            <w:shd w:val="clear" w:color="auto" w:fill="auto"/>
            <w:noWrap/>
            <w:vAlign w:val="bottom"/>
          </w:tcPr>
          <w:p w14:paraId="418A954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99,33</w:t>
            </w:r>
          </w:p>
        </w:tc>
        <w:tc>
          <w:tcPr>
            <w:tcW w:w="960" w:type="dxa"/>
            <w:tcBorders>
              <w:top w:val="nil"/>
              <w:left w:val="nil"/>
              <w:bottom w:val="single" w:sz="4" w:space="0" w:color="auto"/>
              <w:right w:val="single" w:sz="4" w:space="0" w:color="auto"/>
            </w:tcBorders>
            <w:shd w:val="clear" w:color="auto" w:fill="auto"/>
            <w:noWrap/>
            <w:vAlign w:val="bottom"/>
          </w:tcPr>
          <w:p w14:paraId="7C8CE063"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15,95</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438926E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256,04</w:t>
            </w:r>
          </w:p>
        </w:tc>
      </w:tr>
      <w:tr w:rsidR="00E47AA9" w:rsidRPr="00E47AA9" w14:paraId="5DC25439" w14:textId="77777777" w:rsidTr="00353702">
        <w:trPr>
          <w:trHeight w:val="103"/>
        </w:trPr>
        <w:tc>
          <w:tcPr>
            <w:tcW w:w="567" w:type="dxa"/>
            <w:tcBorders>
              <w:top w:val="nil"/>
              <w:left w:val="single" w:sz="4" w:space="0" w:color="auto"/>
              <w:bottom w:val="single" w:sz="4" w:space="0" w:color="auto"/>
              <w:right w:val="single" w:sz="4" w:space="0" w:color="auto"/>
            </w:tcBorders>
            <w:shd w:val="clear" w:color="auto" w:fill="auto"/>
            <w:vAlign w:val="bottom"/>
          </w:tcPr>
          <w:p w14:paraId="0A8951D1"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10</w:t>
            </w:r>
          </w:p>
        </w:tc>
        <w:tc>
          <w:tcPr>
            <w:tcW w:w="2410" w:type="dxa"/>
            <w:tcBorders>
              <w:top w:val="nil"/>
              <w:left w:val="nil"/>
              <w:bottom w:val="single" w:sz="4" w:space="0" w:color="auto"/>
              <w:right w:val="single" w:sz="4" w:space="0" w:color="auto"/>
            </w:tcBorders>
            <w:shd w:val="clear" w:color="auto" w:fill="auto"/>
            <w:vAlign w:val="bottom"/>
          </w:tcPr>
          <w:p w14:paraId="5114631E"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здравоохранения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162B457A"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761</w:t>
            </w:r>
          </w:p>
        </w:tc>
        <w:tc>
          <w:tcPr>
            <w:tcW w:w="1276" w:type="dxa"/>
            <w:tcBorders>
              <w:top w:val="nil"/>
              <w:left w:val="nil"/>
              <w:bottom w:val="single" w:sz="4" w:space="0" w:color="auto"/>
              <w:right w:val="single" w:sz="4" w:space="0" w:color="auto"/>
            </w:tcBorders>
            <w:shd w:val="clear" w:color="auto" w:fill="auto"/>
            <w:vAlign w:val="bottom"/>
          </w:tcPr>
          <w:p w14:paraId="1515090D"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34 318,36</w:t>
            </w:r>
          </w:p>
        </w:tc>
        <w:tc>
          <w:tcPr>
            <w:tcW w:w="850" w:type="dxa"/>
            <w:tcBorders>
              <w:top w:val="nil"/>
              <w:left w:val="nil"/>
              <w:bottom w:val="single" w:sz="4" w:space="0" w:color="auto"/>
              <w:right w:val="single" w:sz="4" w:space="0" w:color="auto"/>
            </w:tcBorders>
            <w:shd w:val="clear" w:color="auto" w:fill="auto"/>
            <w:vAlign w:val="bottom"/>
          </w:tcPr>
          <w:p w14:paraId="6309063F"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13,97</w:t>
            </w:r>
          </w:p>
        </w:tc>
        <w:tc>
          <w:tcPr>
            <w:tcW w:w="1307" w:type="dxa"/>
            <w:tcBorders>
              <w:top w:val="nil"/>
              <w:left w:val="nil"/>
              <w:bottom w:val="single" w:sz="4" w:space="0" w:color="auto"/>
              <w:right w:val="single" w:sz="4" w:space="0" w:color="auto"/>
            </w:tcBorders>
            <w:shd w:val="clear" w:color="auto" w:fill="auto"/>
            <w:vAlign w:val="bottom"/>
          </w:tcPr>
          <w:p w14:paraId="6C41868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34 222,64</w:t>
            </w:r>
          </w:p>
        </w:tc>
        <w:tc>
          <w:tcPr>
            <w:tcW w:w="832" w:type="dxa"/>
            <w:tcBorders>
              <w:top w:val="nil"/>
              <w:left w:val="nil"/>
              <w:bottom w:val="single" w:sz="4" w:space="0" w:color="auto"/>
              <w:right w:val="single" w:sz="4" w:space="0" w:color="auto"/>
            </w:tcBorders>
            <w:shd w:val="clear" w:color="auto" w:fill="auto"/>
            <w:noWrap/>
            <w:vAlign w:val="bottom"/>
          </w:tcPr>
          <w:p w14:paraId="28D2317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99,72</w:t>
            </w:r>
          </w:p>
        </w:tc>
        <w:tc>
          <w:tcPr>
            <w:tcW w:w="960" w:type="dxa"/>
            <w:tcBorders>
              <w:top w:val="nil"/>
              <w:left w:val="nil"/>
              <w:bottom w:val="single" w:sz="4" w:space="0" w:color="auto"/>
              <w:right w:val="single" w:sz="4" w:space="0" w:color="auto"/>
            </w:tcBorders>
            <w:shd w:val="clear" w:color="auto" w:fill="auto"/>
            <w:noWrap/>
            <w:vAlign w:val="bottom"/>
          </w:tcPr>
          <w:p w14:paraId="22BFC4F2"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14,44</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31F34C4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95,72</w:t>
            </w:r>
          </w:p>
        </w:tc>
      </w:tr>
      <w:tr w:rsidR="00E47AA9" w:rsidRPr="00E47AA9" w14:paraId="751F46A6" w14:textId="77777777" w:rsidTr="00353702">
        <w:trPr>
          <w:trHeight w:val="432"/>
        </w:trPr>
        <w:tc>
          <w:tcPr>
            <w:tcW w:w="567" w:type="dxa"/>
            <w:tcBorders>
              <w:top w:val="nil"/>
              <w:left w:val="single" w:sz="4" w:space="0" w:color="auto"/>
              <w:bottom w:val="single" w:sz="4" w:space="0" w:color="auto"/>
              <w:right w:val="single" w:sz="4" w:space="0" w:color="auto"/>
            </w:tcBorders>
            <w:shd w:val="clear" w:color="auto" w:fill="auto"/>
            <w:vAlign w:val="bottom"/>
          </w:tcPr>
          <w:p w14:paraId="03260865"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11</w:t>
            </w:r>
          </w:p>
        </w:tc>
        <w:tc>
          <w:tcPr>
            <w:tcW w:w="2410" w:type="dxa"/>
            <w:tcBorders>
              <w:top w:val="nil"/>
              <w:left w:val="nil"/>
              <w:bottom w:val="single" w:sz="4" w:space="0" w:color="auto"/>
              <w:right w:val="single" w:sz="4" w:space="0" w:color="auto"/>
            </w:tcBorders>
            <w:shd w:val="clear" w:color="auto" w:fill="auto"/>
            <w:vAlign w:val="bottom"/>
          </w:tcPr>
          <w:p w14:paraId="651CBD91"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Контрольно-счетная палата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1AA14A55"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762</w:t>
            </w:r>
          </w:p>
        </w:tc>
        <w:tc>
          <w:tcPr>
            <w:tcW w:w="1276" w:type="dxa"/>
            <w:tcBorders>
              <w:top w:val="nil"/>
              <w:left w:val="nil"/>
              <w:bottom w:val="single" w:sz="4" w:space="0" w:color="auto"/>
              <w:right w:val="single" w:sz="4" w:space="0" w:color="auto"/>
            </w:tcBorders>
            <w:shd w:val="clear" w:color="auto" w:fill="auto"/>
            <w:vAlign w:val="bottom"/>
          </w:tcPr>
          <w:p w14:paraId="38AD638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125,93</w:t>
            </w:r>
          </w:p>
        </w:tc>
        <w:tc>
          <w:tcPr>
            <w:tcW w:w="850" w:type="dxa"/>
            <w:tcBorders>
              <w:top w:val="nil"/>
              <w:left w:val="nil"/>
              <w:bottom w:val="single" w:sz="4" w:space="0" w:color="auto"/>
              <w:right w:val="single" w:sz="4" w:space="0" w:color="auto"/>
            </w:tcBorders>
            <w:shd w:val="clear" w:color="auto" w:fill="auto"/>
            <w:vAlign w:val="bottom"/>
          </w:tcPr>
          <w:p w14:paraId="6ECF811D"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0,05</w:t>
            </w:r>
          </w:p>
        </w:tc>
        <w:tc>
          <w:tcPr>
            <w:tcW w:w="1307" w:type="dxa"/>
            <w:tcBorders>
              <w:top w:val="nil"/>
              <w:left w:val="nil"/>
              <w:bottom w:val="single" w:sz="4" w:space="0" w:color="auto"/>
              <w:right w:val="single" w:sz="4" w:space="0" w:color="auto"/>
            </w:tcBorders>
            <w:shd w:val="clear" w:color="auto" w:fill="auto"/>
            <w:vAlign w:val="bottom"/>
          </w:tcPr>
          <w:p w14:paraId="29991E4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124,70</w:t>
            </w:r>
          </w:p>
        </w:tc>
        <w:tc>
          <w:tcPr>
            <w:tcW w:w="832" w:type="dxa"/>
            <w:tcBorders>
              <w:top w:val="nil"/>
              <w:left w:val="nil"/>
              <w:bottom w:val="single" w:sz="4" w:space="0" w:color="auto"/>
              <w:right w:val="single" w:sz="4" w:space="0" w:color="auto"/>
            </w:tcBorders>
            <w:shd w:val="clear" w:color="auto" w:fill="auto"/>
            <w:noWrap/>
            <w:vAlign w:val="bottom"/>
          </w:tcPr>
          <w:p w14:paraId="722BADF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99,02</w:t>
            </w:r>
          </w:p>
        </w:tc>
        <w:tc>
          <w:tcPr>
            <w:tcW w:w="960" w:type="dxa"/>
            <w:tcBorders>
              <w:top w:val="nil"/>
              <w:left w:val="nil"/>
              <w:bottom w:val="single" w:sz="4" w:space="0" w:color="auto"/>
              <w:right w:val="single" w:sz="4" w:space="0" w:color="auto"/>
            </w:tcBorders>
            <w:shd w:val="clear" w:color="auto" w:fill="auto"/>
            <w:noWrap/>
            <w:vAlign w:val="bottom"/>
          </w:tcPr>
          <w:p w14:paraId="10BD8F3C"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0,05</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532CB4C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1,23</w:t>
            </w:r>
          </w:p>
        </w:tc>
      </w:tr>
      <w:tr w:rsidR="00E47AA9" w:rsidRPr="00E47AA9" w14:paraId="5D4C0E73" w14:textId="77777777" w:rsidTr="00353702">
        <w:trPr>
          <w:trHeight w:val="600"/>
        </w:trPr>
        <w:tc>
          <w:tcPr>
            <w:tcW w:w="567" w:type="dxa"/>
            <w:tcBorders>
              <w:top w:val="nil"/>
              <w:left w:val="single" w:sz="4" w:space="0" w:color="auto"/>
              <w:bottom w:val="single" w:sz="4" w:space="0" w:color="auto"/>
              <w:right w:val="single" w:sz="4" w:space="0" w:color="auto"/>
            </w:tcBorders>
            <w:shd w:val="clear" w:color="auto" w:fill="auto"/>
            <w:vAlign w:val="bottom"/>
          </w:tcPr>
          <w:p w14:paraId="4BE635C8"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12</w:t>
            </w:r>
          </w:p>
        </w:tc>
        <w:tc>
          <w:tcPr>
            <w:tcW w:w="2410" w:type="dxa"/>
            <w:tcBorders>
              <w:top w:val="nil"/>
              <w:left w:val="nil"/>
              <w:bottom w:val="single" w:sz="4" w:space="0" w:color="auto"/>
              <w:right w:val="single" w:sz="4" w:space="0" w:color="auto"/>
            </w:tcBorders>
            <w:shd w:val="clear" w:color="auto" w:fill="auto"/>
            <w:vAlign w:val="bottom"/>
          </w:tcPr>
          <w:p w14:paraId="59AA0DA6"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физической культуры и спорта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6BDA8AE5"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764</w:t>
            </w:r>
          </w:p>
        </w:tc>
        <w:tc>
          <w:tcPr>
            <w:tcW w:w="1276" w:type="dxa"/>
            <w:tcBorders>
              <w:top w:val="nil"/>
              <w:left w:val="nil"/>
              <w:bottom w:val="single" w:sz="4" w:space="0" w:color="auto"/>
              <w:right w:val="single" w:sz="4" w:space="0" w:color="auto"/>
            </w:tcBorders>
            <w:shd w:val="clear" w:color="auto" w:fill="auto"/>
            <w:vAlign w:val="bottom"/>
          </w:tcPr>
          <w:p w14:paraId="3A0F5B1E"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5 586,21</w:t>
            </w:r>
          </w:p>
        </w:tc>
        <w:tc>
          <w:tcPr>
            <w:tcW w:w="850" w:type="dxa"/>
            <w:tcBorders>
              <w:top w:val="nil"/>
              <w:left w:val="nil"/>
              <w:bottom w:val="single" w:sz="4" w:space="0" w:color="auto"/>
              <w:right w:val="single" w:sz="4" w:space="0" w:color="auto"/>
            </w:tcBorders>
            <w:shd w:val="clear" w:color="auto" w:fill="auto"/>
            <w:vAlign w:val="bottom"/>
          </w:tcPr>
          <w:p w14:paraId="7A276556"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2,27</w:t>
            </w:r>
          </w:p>
        </w:tc>
        <w:tc>
          <w:tcPr>
            <w:tcW w:w="1307" w:type="dxa"/>
            <w:tcBorders>
              <w:top w:val="nil"/>
              <w:left w:val="nil"/>
              <w:bottom w:val="single" w:sz="4" w:space="0" w:color="auto"/>
              <w:right w:val="single" w:sz="4" w:space="0" w:color="auto"/>
            </w:tcBorders>
            <w:shd w:val="clear" w:color="auto" w:fill="auto"/>
            <w:vAlign w:val="bottom"/>
          </w:tcPr>
          <w:p w14:paraId="5467937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5 514,77</w:t>
            </w:r>
          </w:p>
        </w:tc>
        <w:tc>
          <w:tcPr>
            <w:tcW w:w="832" w:type="dxa"/>
            <w:tcBorders>
              <w:top w:val="nil"/>
              <w:left w:val="nil"/>
              <w:bottom w:val="single" w:sz="4" w:space="0" w:color="auto"/>
              <w:right w:val="single" w:sz="4" w:space="0" w:color="auto"/>
            </w:tcBorders>
            <w:shd w:val="clear" w:color="auto" w:fill="auto"/>
            <w:noWrap/>
            <w:vAlign w:val="bottom"/>
          </w:tcPr>
          <w:p w14:paraId="24914CE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98,72</w:t>
            </w:r>
          </w:p>
        </w:tc>
        <w:tc>
          <w:tcPr>
            <w:tcW w:w="960" w:type="dxa"/>
            <w:tcBorders>
              <w:top w:val="nil"/>
              <w:left w:val="nil"/>
              <w:bottom w:val="single" w:sz="4" w:space="0" w:color="auto"/>
              <w:right w:val="single" w:sz="4" w:space="0" w:color="auto"/>
            </w:tcBorders>
            <w:shd w:val="clear" w:color="auto" w:fill="auto"/>
            <w:noWrap/>
            <w:vAlign w:val="bottom"/>
          </w:tcPr>
          <w:p w14:paraId="7540A38B"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2,33</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4BCEF2F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71,44</w:t>
            </w:r>
          </w:p>
        </w:tc>
      </w:tr>
      <w:tr w:rsidR="00E47AA9" w:rsidRPr="00E47AA9" w14:paraId="47998366" w14:textId="77777777" w:rsidTr="00353702">
        <w:trPr>
          <w:trHeight w:val="600"/>
        </w:trPr>
        <w:tc>
          <w:tcPr>
            <w:tcW w:w="567" w:type="dxa"/>
            <w:tcBorders>
              <w:top w:val="nil"/>
              <w:left w:val="single" w:sz="4" w:space="0" w:color="auto"/>
              <w:bottom w:val="single" w:sz="4" w:space="0" w:color="auto"/>
              <w:right w:val="single" w:sz="4" w:space="0" w:color="auto"/>
            </w:tcBorders>
            <w:shd w:val="clear" w:color="auto" w:fill="auto"/>
            <w:vAlign w:val="bottom"/>
          </w:tcPr>
          <w:p w14:paraId="49D3435E"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13</w:t>
            </w:r>
          </w:p>
        </w:tc>
        <w:tc>
          <w:tcPr>
            <w:tcW w:w="2410" w:type="dxa"/>
            <w:tcBorders>
              <w:top w:val="nil"/>
              <w:left w:val="nil"/>
              <w:bottom w:val="single" w:sz="4" w:space="0" w:color="auto"/>
              <w:right w:val="single" w:sz="4" w:space="0" w:color="auto"/>
            </w:tcBorders>
            <w:shd w:val="clear" w:color="auto" w:fill="auto"/>
            <w:vAlign w:val="bottom"/>
          </w:tcPr>
          <w:p w14:paraId="48CC5513"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Департамент записи актов гражданского состояния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61E89144"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766</w:t>
            </w:r>
          </w:p>
        </w:tc>
        <w:tc>
          <w:tcPr>
            <w:tcW w:w="1276" w:type="dxa"/>
            <w:tcBorders>
              <w:top w:val="nil"/>
              <w:left w:val="nil"/>
              <w:bottom w:val="single" w:sz="4" w:space="0" w:color="auto"/>
              <w:right w:val="single" w:sz="4" w:space="0" w:color="auto"/>
            </w:tcBorders>
            <w:shd w:val="clear" w:color="auto" w:fill="auto"/>
            <w:vAlign w:val="bottom"/>
          </w:tcPr>
          <w:p w14:paraId="3219D5F7"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206,69</w:t>
            </w:r>
          </w:p>
        </w:tc>
        <w:tc>
          <w:tcPr>
            <w:tcW w:w="850" w:type="dxa"/>
            <w:tcBorders>
              <w:top w:val="nil"/>
              <w:left w:val="nil"/>
              <w:bottom w:val="single" w:sz="4" w:space="0" w:color="auto"/>
              <w:right w:val="single" w:sz="4" w:space="0" w:color="auto"/>
            </w:tcBorders>
            <w:shd w:val="clear" w:color="auto" w:fill="auto"/>
            <w:vAlign w:val="bottom"/>
          </w:tcPr>
          <w:p w14:paraId="24322CAA"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0,08</w:t>
            </w:r>
          </w:p>
        </w:tc>
        <w:tc>
          <w:tcPr>
            <w:tcW w:w="1307" w:type="dxa"/>
            <w:tcBorders>
              <w:top w:val="nil"/>
              <w:left w:val="nil"/>
              <w:bottom w:val="single" w:sz="4" w:space="0" w:color="auto"/>
              <w:right w:val="single" w:sz="4" w:space="0" w:color="auto"/>
            </w:tcBorders>
            <w:shd w:val="clear" w:color="auto" w:fill="auto"/>
            <w:vAlign w:val="bottom"/>
          </w:tcPr>
          <w:p w14:paraId="33E8379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205,04</w:t>
            </w:r>
          </w:p>
        </w:tc>
        <w:tc>
          <w:tcPr>
            <w:tcW w:w="832" w:type="dxa"/>
            <w:tcBorders>
              <w:top w:val="nil"/>
              <w:left w:val="nil"/>
              <w:bottom w:val="single" w:sz="4" w:space="0" w:color="auto"/>
              <w:right w:val="single" w:sz="4" w:space="0" w:color="auto"/>
            </w:tcBorders>
            <w:shd w:val="clear" w:color="auto" w:fill="auto"/>
            <w:noWrap/>
            <w:vAlign w:val="bottom"/>
          </w:tcPr>
          <w:p w14:paraId="6EAA9BA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99,20</w:t>
            </w:r>
          </w:p>
        </w:tc>
        <w:tc>
          <w:tcPr>
            <w:tcW w:w="960" w:type="dxa"/>
            <w:tcBorders>
              <w:top w:val="nil"/>
              <w:left w:val="nil"/>
              <w:bottom w:val="single" w:sz="4" w:space="0" w:color="auto"/>
              <w:right w:val="single" w:sz="4" w:space="0" w:color="auto"/>
            </w:tcBorders>
            <w:shd w:val="clear" w:color="auto" w:fill="auto"/>
            <w:noWrap/>
            <w:vAlign w:val="bottom"/>
          </w:tcPr>
          <w:p w14:paraId="2221A3FE"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0,09</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7F9D10C6"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1,64</w:t>
            </w:r>
          </w:p>
        </w:tc>
      </w:tr>
      <w:tr w:rsidR="00E47AA9" w:rsidRPr="00E47AA9" w14:paraId="4324F488" w14:textId="77777777" w:rsidTr="00353702">
        <w:trPr>
          <w:trHeight w:val="373"/>
        </w:trPr>
        <w:tc>
          <w:tcPr>
            <w:tcW w:w="567" w:type="dxa"/>
            <w:tcBorders>
              <w:top w:val="nil"/>
              <w:left w:val="single" w:sz="4" w:space="0" w:color="auto"/>
              <w:bottom w:val="single" w:sz="4" w:space="0" w:color="auto"/>
              <w:right w:val="single" w:sz="4" w:space="0" w:color="auto"/>
            </w:tcBorders>
            <w:shd w:val="clear" w:color="auto" w:fill="auto"/>
            <w:vAlign w:val="bottom"/>
          </w:tcPr>
          <w:p w14:paraId="6752C97A"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14</w:t>
            </w:r>
          </w:p>
        </w:tc>
        <w:tc>
          <w:tcPr>
            <w:tcW w:w="2410" w:type="dxa"/>
            <w:tcBorders>
              <w:top w:val="nil"/>
              <w:left w:val="nil"/>
              <w:bottom w:val="single" w:sz="4" w:space="0" w:color="auto"/>
              <w:right w:val="single" w:sz="4" w:space="0" w:color="auto"/>
            </w:tcBorders>
            <w:shd w:val="clear" w:color="auto" w:fill="auto"/>
            <w:vAlign w:val="bottom"/>
          </w:tcPr>
          <w:p w14:paraId="6E083CF6"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Избирательная комиссия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4D179BEF"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767</w:t>
            </w:r>
          </w:p>
        </w:tc>
        <w:tc>
          <w:tcPr>
            <w:tcW w:w="1276" w:type="dxa"/>
            <w:tcBorders>
              <w:top w:val="nil"/>
              <w:left w:val="nil"/>
              <w:bottom w:val="single" w:sz="4" w:space="0" w:color="auto"/>
              <w:right w:val="single" w:sz="4" w:space="0" w:color="auto"/>
            </w:tcBorders>
            <w:shd w:val="clear" w:color="auto" w:fill="auto"/>
            <w:vAlign w:val="bottom"/>
          </w:tcPr>
          <w:p w14:paraId="1DC5EF5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753,02</w:t>
            </w:r>
          </w:p>
        </w:tc>
        <w:tc>
          <w:tcPr>
            <w:tcW w:w="850" w:type="dxa"/>
            <w:tcBorders>
              <w:top w:val="nil"/>
              <w:left w:val="nil"/>
              <w:bottom w:val="single" w:sz="4" w:space="0" w:color="auto"/>
              <w:right w:val="single" w:sz="4" w:space="0" w:color="auto"/>
            </w:tcBorders>
            <w:shd w:val="clear" w:color="auto" w:fill="auto"/>
            <w:vAlign w:val="bottom"/>
          </w:tcPr>
          <w:p w14:paraId="4D7B1247"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0,31</w:t>
            </w:r>
          </w:p>
        </w:tc>
        <w:tc>
          <w:tcPr>
            <w:tcW w:w="1307" w:type="dxa"/>
            <w:tcBorders>
              <w:top w:val="nil"/>
              <w:left w:val="nil"/>
              <w:bottom w:val="single" w:sz="4" w:space="0" w:color="auto"/>
              <w:right w:val="single" w:sz="4" w:space="0" w:color="auto"/>
            </w:tcBorders>
            <w:shd w:val="clear" w:color="auto" w:fill="auto"/>
            <w:vAlign w:val="bottom"/>
          </w:tcPr>
          <w:p w14:paraId="0579007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741,82</w:t>
            </w:r>
          </w:p>
        </w:tc>
        <w:tc>
          <w:tcPr>
            <w:tcW w:w="832" w:type="dxa"/>
            <w:tcBorders>
              <w:top w:val="nil"/>
              <w:left w:val="nil"/>
              <w:bottom w:val="single" w:sz="4" w:space="0" w:color="auto"/>
              <w:right w:val="single" w:sz="4" w:space="0" w:color="auto"/>
            </w:tcBorders>
            <w:shd w:val="clear" w:color="auto" w:fill="auto"/>
            <w:noWrap/>
            <w:vAlign w:val="bottom"/>
          </w:tcPr>
          <w:p w14:paraId="0E12AFF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98,51</w:t>
            </w:r>
          </w:p>
        </w:tc>
        <w:tc>
          <w:tcPr>
            <w:tcW w:w="960" w:type="dxa"/>
            <w:tcBorders>
              <w:top w:val="nil"/>
              <w:left w:val="nil"/>
              <w:bottom w:val="single" w:sz="4" w:space="0" w:color="auto"/>
              <w:right w:val="single" w:sz="4" w:space="0" w:color="auto"/>
            </w:tcBorders>
            <w:shd w:val="clear" w:color="auto" w:fill="auto"/>
            <w:noWrap/>
            <w:vAlign w:val="bottom"/>
          </w:tcPr>
          <w:p w14:paraId="7DF46F90"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0,31</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2568DE4D"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11,20</w:t>
            </w:r>
          </w:p>
        </w:tc>
      </w:tr>
      <w:tr w:rsidR="00E47AA9" w:rsidRPr="00E47AA9" w14:paraId="5BD2707B" w14:textId="77777777" w:rsidTr="00353702">
        <w:trPr>
          <w:trHeight w:val="245"/>
        </w:trPr>
        <w:tc>
          <w:tcPr>
            <w:tcW w:w="567" w:type="dxa"/>
            <w:tcBorders>
              <w:top w:val="nil"/>
              <w:left w:val="single" w:sz="4" w:space="0" w:color="auto"/>
              <w:bottom w:val="single" w:sz="4" w:space="0" w:color="auto"/>
              <w:right w:val="single" w:sz="4" w:space="0" w:color="auto"/>
            </w:tcBorders>
            <w:shd w:val="clear" w:color="auto" w:fill="auto"/>
            <w:vAlign w:val="bottom"/>
          </w:tcPr>
          <w:p w14:paraId="7BC5E6F6"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15</w:t>
            </w:r>
          </w:p>
        </w:tc>
        <w:tc>
          <w:tcPr>
            <w:tcW w:w="2410" w:type="dxa"/>
            <w:tcBorders>
              <w:top w:val="nil"/>
              <w:left w:val="nil"/>
              <w:bottom w:val="single" w:sz="4" w:space="0" w:color="auto"/>
              <w:right w:val="single" w:sz="4" w:space="0" w:color="auto"/>
            </w:tcBorders>
            <w:shd w:val="clear" w:color="auto" w:fill="auto"/>
            <w:vAlign w:val="bottom"/>
          </w:tcPr>
          <w:p w14:paraId="723A583C"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жилищно-</w:t>
            </w:r>
            <w:r w:rsidRPr="00E47AA9">
              <w:rPr>
                <w:rFonts w:ascii="Times New Roman" w:hAnsi="Times New Roman" w:cs="Times New Roman"/>
              </w:rPr>
              <w:lastRenderedPageBreak/>
              <w:t>коммунального хозяйства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4357F327"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lastRenderedPageBreak/>
              <w:t>768</w:t>
            </w:r>
          </w:p>
        </w:tc>
        <w:tc>
          <w:tcPr>
            <w:tcW w:w="1276" w:type="dxa"/>
            <w:tcBorders>
              <w:top w:val="nil"/>
              <w:left w:val="nil"/>
              <w:bottom w:val="single" w:sz="4" w:space="0" w:color="auto"/>
              <w:right w:val="single" w:sz="4" w:space="0" w:color="auto"/>
            </w:tcBorders>
            <w:shd w:val="clear" w:color="auto" w:fill="auto"/>
            <w:vAlign w:val="bottom"/>
          </w:tcPr>
          <w:p w14:paraId="2017F4A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23 819,45</w:t>
            </w:r>
          </w:p>
        </w:tc>
        <w:tc>
          <w:tcPr>
            <w:tcW w:w="850" w:type="dxa"/>
            <w:tcBorders>
              <w:top w:val="nil"/>
              <w:left w:val="nil"/>
              <w:bottom w:val="single" w:sz="4" w:space="0" w:color="auto"/>
              <w:right w:val="single" w:sz="4" w:space="0" w:color="auto"/>
            </w:tcBorders>
            <w:shd w:val="clear" w:color="auto" w:fill="auto"/>
            <w:vAlign w:val="bottom"/>
          </w:tcPr>
          <w:p w14:paraId="5211DAE6"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9,70</w:t>
            </w:r>
          </w:p>
        </w:tc>
        <w:tc>
          <w:tcPr>
            <w:tcW w:w="1307" w:type="dxa"/>
            <w:tcBorders>
              <w:top w:val="nil"/>
              <w:left w:val="nil"/>
              <w:bottom w:val="single" w:sz="4" w:space="0" w:color="auto"/>
              <w:right w:val="single" w:sz="4" w:space="0" w:color="auto"/>
            </w:tcBorders>
            <w:shd w:val="clear" w:color="auto" w:fill="auto"/>
            <w:vAlign w:val="bottom"/>
          </w:tcPr>
          <w:p w14:paraId="12078BC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23 454,53</w:t>
            </w:r>
          </w:p>
        </w:tc>
        <w:tc>
          <w:tcPr>
            <w:tcW w:w="832" w:type="dxa"/>
            <w:tcBorders>
              <w:top w:val="nil"/>
              <w:left w:val="nil"/>
              <w:bottom w:val="single" w:sz="4" w:space="0" w:color="auto"/>
              <w:right w:val="single" w:sz="4" w:space="0" w:color="auto"/>
            </w:tcBorders>
            <w:shd w:val="clear" w:color="auto" w:fill="auto"/>
            <w:noWrap/>
            <w:vAlign w:val="bottom"/>
          </w:tcPr>
          <w:p w14:paraId="468A7CE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98,47</w:t>
            </w:r>
          </w:p>
        </w:tc>
        <w:tc>
          <w:tcPr>
            <w:tcW w:w="960" w:type="dxa"/>
            <w:tcBorders>
              <w:top w:val="nil"/>
              <w:left w:val="nil"/>
              <w:bottom w:val="single" w:sz="4" w:space="0" w:color="auto"/>
              <w:right w:val="single" w:sz="4" w:space="0" w:color="auto"/>
            </w:tcBorders>
            <w:shd w:val="clear" w:color="auto" w:fill="auto"/>
            <w:noWrap/>
            <w:vAlign w:val="bottom"/>
          </w:tcPr>
          <w:p w14:paraId="49E59BEE"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9,90</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089BCB4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364,91</w:t>
            </w:r>
          </w:p>
        </w:tc>
      </w:tr>
      <w:tr w:rsidR="00E47AA9" w:rsidRPr="00E47AA9" w14:paraId="5A6B6767" w14:textId="77777777" w:rsidTr="00353702">
        <w:trPr>
          <w:trHeight w:val="900"/>
        </w:trPr>
        <w:tc>
          <w:tcPr>
            <w:tcW w:w="567" w:type="dxa"/>
            <w:tcBorders>
              <w:top w:val="nil"/>
              <w:left w:val="single" w:sz="4" w:space="0" w:color="auto"/>
              <w:bottom w:val="single" w:sz="4" w:space="0" w:color="auto"/>
              <w:right w:val="single" w:sz="4" w:space="0" w:color="auto"/>
            </w:tcBorders>
            <w:shd w:val="clear" w:color="auto" w:fill="auto"/>
            <w:vAlign w:val="bottom"/>
          </w:tcPr>
          <w:p w14:paraId="33320B08"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16</w:t>
            </w:r>
          </w:p>
        </w:tc>
        <w:tc>
          <w:tcPr>
            <w:tcW w:w="2410" w:type="dxa"/>
            <w:tcBorders>
              <w:top w:val="nil"/>
              <w:left w:val="nil"/>
              <w:bottom w:val="single" w:sz="4" w:space="0" w:color="auto"/>
              <w:right w:val="single" w:sz="4" w:space="0" w:color="auto"/>
            </w:tcBorders>
            <w:shd w:val="clear" w:color="auto" w:fill="auto"/>
            <w:vAlign w:val="bottom"/>
          </w:tcPr>
          <w:p w14:paraId="21DDFE69"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по делам гражданской обороны, защиты от чрезвычайных ситуаций и ликвидации последствий стихийных бедствий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5C75C714"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769</w:t>
            </w:r>
          </w:p>
        </w:tc>
        <w:tc>
          <w:tcPr>
            <w:tcW w:w="1276" w:type="dxa"/>
            <w:tcBorders>
              <w:top w:val="nil"/>
              <w:left w:val="nil"/>
              <w:bottom w:val="single" w:sz="4" w:space="0" w:color="auto"/>
              <w:right w:val="single" w:sz="4" w:space="0" w:color="auto"/>
            </w:tcBorders>
            <w:shd w:val="clear" w:color="auto" w:fill="auto"/>
            <w:vAlign w:val="bottom"/>
          </w:tcPr>
          <w:p w14:paraId="2D63284D"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7 407,89</w:t>
            </w:r>
          </w:p>
        </w:tc>
        <w:tc>
          <w:tcPr>
            <w:tcW w:w="850" w:type="dxa"/>
            <w:tcBorders>
              <w:top w:val="nil"/>
              <w:left w:val="nil"/>
              <w:bottom w:val="single" w:sz="4" w:space="0" w:color="auto"/>
              <w:right w:val="single" w:sz="4" w:space="0" w:color="auto"/>
            </w:tcBorders>
            <w:shd w:val="clear" w:color="auto" w:fill="auto"/>
            <w:vAlign w:val="bottom"/>
          </w:tcPr>
          <w:p w14:paraId="500DEA3D"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3,02</w:t>
            </w:r>
          </w:p>
        </w:tc>
        <w:tc>
          <w:tcPr>
            <w:tcW w:w="1307" w:type="dxa"/>
            <w:tcBorders>
              <w:top w:val="nil"/>
              <w:left w:val="nil"/>
              <w:bottom w:val="single" w:sz="4" w:space="0" w:color="auto"/>
              <w:right w:val="single" w:sz="4" w:space="0" w:color="auto"/>
            </w:tcBorders>
            <w:shd w:val="clear" w:color="auto" w:fill="auto"/>
            <w:vAlign w:val="bottom"/>
          </w:tcPr>
          <w:p w14:paraId="40DFFEF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7 200,34</w:t>
            </w:r>
          </w:p>
        </w:tc>
        <w:tc>
          <w:tcPr>
            <w:tcW w:w="832" w:type="dxa"/>
            <w:tcBorders>
              <w:top w:val="nil"/>
              <w:left w:val="nil"/>
              <w:bottom w:val="single" w:sz="4" w:space="0" w:color="auto"/>
              <w:right w:val="single" w:sz="4" w:space="0" w:color="auto"/>
            </w:tcBorders>
            <w:shd w:val="clear" w:color="auto" w:fill="auto"/>
            <w:noWrap/>
            <w:vAlign w:val="bottom"/>
          </w:tcPr>
          <w:p w14:paraId="6C44937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97,20</w:t>
            </w:r>
          </w:p>
        </w:tc>
        <w:tc>
          <w:tcPr>
            <w:tcW w:w="960" w:type="dxa"/>
            <w:tcBorders>
              <w:top w:val="nil"/>
              <w:left w:val="nil"/>
              <w:bottom w:val="single" w:sz="4" w:space="0" w:color="auto"/>
              <w:right w:val="single" w:sz="4" w:space="0" w:color="auto"/>
            </w:tcBorders>
            <w:shd w:val="clear" w:color="auto" w:fill="auto"/>
            <w:noWrap/>
            <w:vAlign w:val="bottom"/>
          </w:tcPr>
          <w:p w14:paraId="1DDAC268"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3,04</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6C60D8D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207,55</w:t>
            </w:r>
          </w:p>
        </w:tc>
      </w:tr>
      <w:tr w:rsidR="00E47AA9" w:rsidRPr="00E47AA9" w14:paraId="233E465D" w14:textId="77777777" w:rsidTr="00353702">
        <w:trPr>
          <w:trHeight w:val="431"/>
        </w:trPr>
        <w:tc>
          <w:tcPr>
            <w:tcW w:w="567" w:type="dxa"/>
            <w:tcBorders>
              <w:top w:val="nil"/>
              <w:left w:val="single" w:sz="4" w:space="0" w:color="auto"/>
              <w:bottom w:val="single" w:sz="4" w:space="0" w:color="auto"/>
              <w:right w:val="single" w:sz="4" w:space="0" w:color="auto"/>
            </w:tcBorders>
            <w:shd w:val="clear" w:color="auto" w:fill="auto"/>
            <w:vAlign w:val="bottom"/>
          </w:tcPr>
          <w:p w14:paraId="656AB65A"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17</w:t>
            </w:r>
          </w:p>
        </w:tc>
        <w:tc>
          <w:tcPr>
            <w:tcW w:w="2410" w:type="dxa"/>
            <w:tcBorders>
              <w:top w:val="nil"/>
              <w:left w:val="nil"/>
              <w:bottom w:val="single" w:sz="4" w:space="0" w:color="auto"/>
              <w:right w:val="single" w:sz="4" w:space="0" w:color="auto"/>
            </w:tcBorders>
            <w:shd w:val="clear" w:color="auto" w:fill="auto"/>
            <w:vAlign w:val="bottom"/>
          </w:tcPr>
          <w:p w14:paraId="49E29607"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Агентство по тарифам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14A263A3"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770</w:t>
            </w:r>
          </w:p>
        </w:tc>
        <w:tc>
          <w:tcPr>
            <w:tcW w:w="1276" w:type="dxa"/>
            <w:tcBorders>
              <w:top w:val="nil"/>
              <w:left w:val="nil"/>
              <w:bottom w:val="single" w:sz="4" w:space="0" w:color="auto"/>
              <w:right w:val="single" w:sz="4" w:space="0" w:color="auto"/>
            </w:tcBorders>
            <w:shd w:val="clear" w:color="auto" w:fill="auto"/>
            <w:vAlign w:val="bottom"/>
          </w:tcPr>
          <w:p w14:paraId="34D5169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102,96</w:t>
            </w:r>
          </w:p>
        </w:tc>
        <w:tc>
          <w:tcPr>
            <w:tcW w:w="850" w:type="dxa"/>
            <w:tcBorders>
              <w:top w:val="nil"/>
              <w:left w:val="nil"/>
              <w:bottom w:val="single" w:sz="4" w:space="0" w:color="auto"/>
              <w:right w:val="single" w:sz="4" w:space="0" w:color="auto"/>
            </w:tcBorders>
            <w:shd w:val="clear" w:color="auto" w:fill="auto"/>
            <w:vAlign w:val="bottom"/>
          </w:tcPr>
          <w:p w14:paraId="6DCF94E9"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0,04</w:t>
            </w:r>
          </w:p>
        </w:tc>
        <w:tc>
          <w:tcPr>
            <w:tcW w:w="1307" w:type="dxa"/>
            <w:tcBorders>
              <w:top w:val="nil"/>
              <w:left w:val="nil"/>
              <w:bottom w:val="single" w:sz="4" w:space="0" w:color="auto"/>
              <w:right w:val="single" w:sz="4" w:space="0" w:color="auto"/>
            </w:tcBorders>
            <w:shd w:val="clear" w:color="auto" w:fill="auto"/>
            <w:vAlign w:val="bottom"/>
          </w:tcPr>
          <w:p w14:paraId="4F909F7C"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102,49</w:t>
            </w:r>
          </w:p>
        </w:tc>
        <w:tc>
          <w:tcPr>
            <w:tcW w:w="832" w:type="dxa"/>
            <w:tcBorders>
              <w:top w:val="nil"/>
              <w:left w:val="nil"/>
              <w:bottom w:val="single" w:sz="4" w:space="0" w:color="auto"/>
              <w:right w:val="single" w:sz="4" w:space="0" w:color="auto"/>
            </w:tcBorders>
            <w:shd w:val="clear" w:color="auto" w:fill="auto"/>
            <w:noWrap/>
            <w:vAlign w:val="bottom"/>
          </w:tcPr>
          <w:p w14:paraId="7A43472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99,55</w:t>
            </w:r>
          </w:p>
        </w:tc>
        <w:tc>
          <w:tcPr>
            <w:tcW w:w="960" w:type="dxa"/>
            <w:tcBorders>
              <w:top w:val="nil"/>
              <w:left w:val="nil"/>
              <w:bottom w:val="single" w:sz="4" w:space="0" w:color="auto"/>
              <w:right w:val="single" w:sz="4" w:space="0" w:color="auto"/>
            </w:tcBorders>
            <w:shd w:val="clear" w:color="auto" w:fill="auto"/>
            <w:noWrap/>
            <w:vAlign w:val="bottom"/>
          </w:tcPr>
          <w:p w14:paraId="020DFE6A"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0,04</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6DE5C83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0,46</w:t>
            </w:r>
          </w:p>
        </w:tc>
      </w:tr>
      <w:tr w:rsidR="00E47AA9" w:rsidRPr="00E47AA9" w14:paraId="5079792E" w14:textId="77777777" w:rsidTr="00353702">
        <w:trPr>
          <w:trHeight w:val="383"/>
        </w:trPr>
        <w:tc>
          <w:tcPr>
            <w:tcW w:w="567" w:type="dxa"/>
            <w:tcBorders>
              <w:top w:val="nil"/>
              <w:left w:val="single" w:sz="4" w:space="0" w:color="auto"/>
              <w:bottom w:val="single" w:sz="4" w:space="0" w:color="auto"/>
              <w:right w:val="single" w:sz="4" w:space="0" w:color="auto"/>
            </w:tcBorders>
            <w:shd w:val="clear" w:color="auto" w:fill="auto"/>
            <w:vAlign w:val="bottom"/>
          </w:tcPr>
          <w:p w14:paraId="271E35AE"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18</w:t>
            </w:r>
          </w:p>
        </w:tc>
        <w:tc>
          <w:tcPr>
            <w:tcW w:w="2410" w:type="dxa"/>
            <w:tcBorders>
              <w:top w:val="nil"/>
              <w:left w:val="nil"/>
              <w:bottom w:val="single" w:sz="4" w:space="0" w:color="auto"/>
              <w:right w:val="single" w:sz="4" w:space="0" w:color="auto"/>
            </w:tcBorders>
            <w:shd w:val="clear" w:color="auto" w:fill="auto"/>
            <w:vAlign w:val="bottom"/>
          </w:tcPr>
          <w:p w14:paraId="4CFE0A29"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Департамент информационной политики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48D89857"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771</w:t>
            </w:r>
          </w:p>
        </w:tc>
        <w:tc>
          <w:tcPr>
            <w:tcW w:w="1276" w:type="dxa"/>
            <w:tcBorders>
              <w:top w:val="nil"/>
              <w:left w:val="nil"/>
              <w:bottom w:val="single" w:sz="4" w:space="0" w:color="auto"/>
              <w:right w:val="single" w:sz="4" w:space="0" w:color="auto"/>
            </w:tcBorders>
            <w:shd w:val="clear" w:color="auto" w:fill="auto"/>
            <w:vAlign w:val="bottom"/>
          </w:tcPr>
          <w:p w14:paraId="38592C7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587,47</w:t>
            </w:r>
          </w:p>
        </w:tc>
        <w:tc>
          <w:tcPr>
            <w:tcW w:w="850" w:type="dxa"/>
            <w:tcBorders>
              <w:top w:val="nil"/>
              <w:left w:val="nil"/>
              <w:bottom w:val="single" w:sz="4" w:space="0" w:color="auto"/>
              <w:right w:val="single" w:sz="4" w:space="0" w:color="auto"/>
            </w:tcBorders>
            <w:shd w:val="clear" w:color="auto" w:fill="auto"/>
            <w:vAlign w:val="bottom"/>
          </w:tcPr>
          <w:p w14:paraId="500B38BA"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0,24</w:t>
            </w:r>
          </w:p>
        </w:tc>
        <w:tc>
          <w:tcPr>
            <w:tcW w:w="1307" w:type="dxa"/>
            <w:tcBorders>
              <w:top w:val="nil"/>
              <w:left w:val="nil"/>
              <w:bottom w:val="single" w:sz="4" w:space="0" w:color="auto"/>
              <w:right w:val="single" w:sz="4" w:space="0" w:color="auto"/>
            </w:tcBorders>
            <w:shd w:val="clear" w:color="auto" w:fill="auto"/>
            <w:vAlign w:val="bottom"/>
          </w:tcPr>
          <w:p w14:paraId="598C2890"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586,03</w:t>
            </w:r>
          </w:p>
        </w:tc>
        <w:tc>
          <w:tcPr>
            <w:tcW w:w="832" w:type="dxa"/>
            <w:tcBorders>
              <w:top w:val="nil"/>
              <w:left w:val="nil"/>
              <w:bottom w:val="single" w:sz="4" w:space="0" w:color="auto"/>
              <w:right w:val="single" w:sz="4" w:space="0" w:color="auto"/>
            </w:tcBorders>
            <w:shd w:val="clear" w:color="auto" w:fill="auto"/>
            <w:noWrap/>
            <w:vAlign w:val="bottom"/>
          </w:tcPr>
          <w:p w14:paraId="70FCF2D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99,76</w:t>
            </w:r>
          </w:p>
        </w:tc>
        <w:tc>
          <w:tcPr>
            <w:tcW w:w="960" w:type="dxa"/>
            <w:tcBorders>
              <w:top w:val="nil"/>
              <w:left w:val="nil"/>
              <w:bottom w:val="single" w:sz="4" w:space="0" w:color="auto"/>
              <w:right w:val="single" w:sz="4" w:space="0" w:color="auto"/>
            </w:tcBorders>
            <w:shd w:val="clear" w:color="auto" w:fill="auto"/>
            <w:noWrap/>
            <w:vAlign w:val="bottom"/>
          </w:tcPr>
          <w:p w14:paraId="32FD8D88"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0,25</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442B697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1,44</w:t>
            </w:r>
          </w:p>
        </w:tc>
      </w:tr>
      <w:tr w:rsidR="00E47AA9" w:rsidRPr="00E47AA9" w14:paraId="0D4B9FC6" w14:textId="77777777" w:rsidTr="00353702">
        <w:trPr>
          <w:trHeight w:val="297"/>
        </w:trPr>
        <w:tc>
          <w:tcPr>
            <w:tcW w:w="567" w:type="dxa"/>
            <w:tcBorders>
              <w:top w:val="nil"/>
              <w:left w:val="single" w:sz="4" w:space="0" w:color="auto"/>
              <w:bottom w:val="single" w:sz="4" w:space="0" w:color="auto"/>
              <w:right w:val="single" w:sz="4" w:space="0" w:color="auto"/>
            </w:tcBorders>
            <w:shd w:val="clear" w:color="auto" w:fill="auto"/>
            <w:vAlign w:val="bottom"/>
          </w:tcPr>
          <w:p w14:paraId="5F2AC515"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19</w:t>
            </w:r>
          </w:p>
        </w:tc>
        <w:tc>
          <w:tcPr>
            <w:tcW w:w="2410" w:type="dxa"/>
            <w:tcBorders>
              <w:top w:val="nil"/>
              <w:left w:val="nil"/>
              <w:bottom w:val="single" w:sz="4" w:space="0" w:color="auto"/>
              <w:right w:val="single" w:sz="4" w:space="0" w:color="auto"/>
            </w:tcBorders>
            <w:shd w:val="clear" w:color="auto" w:fill="auto"/>
            <w:vAlign w:val="bottom"/>
          </w:tcPr>
          <w:p w14:paraId="06D79BA3"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Инспекция регионального строительного надзора и контроля в области долевого строительства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187A6A00"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772</w:t>
            </w:r>
          </w:p>
        </w:tc>
        <w:tc>
          <w:tcPr>
            <w:tcW w:w="1276" w:type="dxa"/>
            <w:tcBorders>
              <w:top w:val="nil"/>
              <w:left w:val="nil"/>
              <w:bottom w:val="single" w:sz="4" w:space="0" w:color="auto"/>
              <w:right w:val="single" w:sz="4" w:space="0" w:color="auto"/>
            </w:tcBorders>
            <w:shd w:val="clear" w:color="auto" w:fill="auto"/>
            <w:vAlign w:val="bottom"/>
          </w:tcPr>
          <w:p w14:paraId="2B4134CE"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83,63</w:t>
            </w:r>
          </w:p>
        </w:tc>
        <w:tc>
          <w:tcPr>
            <w:tcW w:w="850" w:type="dxa"/>
            <w:tcBorders>
              <w:top w:val="nil"/>
              <w:left w:val="nil"/>
              <w:bottom w:val="single" w:sz="4" w:space="0" w:color="auto"/>
              <w:right w:val="single" w:sz="4" w:space="0" w:color="auto"/>
            </w:tcBorders>
            <w:shd w:val="clear" w:color="auto" w:fill="auto"/>
            <w:vAlign w:val="bottom"/>
          </w:tcPr>
          <w:p w14:paraId="7F937C27"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0,03</w:t>
            </w:r>
          </w:p>
        </w:tc>
        <w:tc>
          <w:tcPr>
            <w:tcW w:w="1307" w:type="dxa"/>
            <w:tcBorders>
              <w:top w:val="nil"/>
              <w:left w:val="nil"/>
              <w:bottom w:val="single" w:sz="4" w:space="0" w:color="auto"/>
              <w:right w:val="single" w:sz="4" w:space="0" w:color="auto"/>
            </w:tcBorders>
            <w:shd w:val="clear" w:color="auto" w:fill="auto"/>
            <w:vAlign w:val="bottom"/>
          </w:tcPr>
          <w:p w14:paraId="580EE2A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83,19</w:t>
            </w:r>
          </w:p>
        </w:tc>
        <w:tc>
          <w:tcPr>
            <w:tcW w:w="832" w:type="dxa"/>
            <w:tcBorders>
              <w:top w:val="nil"/>
              <w:left w:val="nil"/>
              <w:bottom w:val="single" w:sz="4" w:space="0" w:color="auto"/>
              <w:right w:val="single" w:sz="4" w:space="0" w:color="auto"/>
            </w:tcBorders>
            <w:shd w:val="clear" w:color="auto" w:fill="auto"/>
            <w:noWrap/>
            <w:vAlign w:val="bottom"/>
          </w:tcPr>
          <w:p w14:paraId="4E19C52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99,48</w:t>
            </w:r>
          </w:p>
        </w:tc>
        <w:tc>
          <w:tcPr>
            <w:tcW w:w="960" w:type="dxa"/>
            <w:tcBorders>
              <w:top w:val="nil"/>
              <w:left w:val="nil"/>
              <w:bottom w:val="single" w:sz="4" w:space="0" w:color="auto"/>
              <w:right w:val="single" w:sz="4" w:space="0" w:color="auto"/>
            </w:tcBorders>
            <w:shd w:val="clear" w:color="auto" w:fill="auto"/>
            <w:noWrap/>
            <w:vAlign w:val="bottom"/>
          </w:tcPr>
          <w:p w14:paraId="4DAD7AFA"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0,04</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1353B4CC"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0,44</w:t>
            </w:r>
          </w:p>
        </w:tc>
      </w:tr>
      <w:tr w:rsidR="00E47AA9" w:rsidRPr="00E47AA9" w14:paraId="7E6EAF8D" w14:textId="77777777" w:rsidTr="00353702">
        <w:trPr>
          <w:trHeight w:val="600"/>
        </w:trPr>
        <w:tc>
          <w:tcPr>
            <w:tcW w:w="567" w:type="dxa"/>
            <w:tcBorders>
              <w:top w:val="nil"/>
              <w:left w:val="single" w:sz="4" w:space="0" w:color="auto"/>
              <w:bottom w:val="single" w:sz="4" w:space="0" w:color="auto"/>
              <w:right w:val="single" w:sz="4" w:space="0" w:color="auto"/>
            </w:tcBorders>
            <w:shd w:val="clear" w:color="auto" w:fill="auto"/>
            <w:vAlign w:val="bottom"/>
          </w:tcPr>
          <w:p w14:paraId="293D221C"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20</w:t>
            </w:r>
          </w:p>
        </w:tc>
        <w:tc>
          <w:tcPr>
            <w:tcW w:w="2410" w:type="dxa"/>
            <w:tcBorders>
              <w:top w:val="nil"/>
              <w:left w:val="nil"/>
              <w:bottom w:val="single" w:sz="4" w:space="0" w:color="auto"/>
              <w:right w:val="single" w:sz="4" w:space="0" w:color="auto"/>
            </w:tcBorders>
            <w:shd w:val="clear" w:color="auto" w:fill="auto"/>
            <w:vAlign w:val="bottom"/>
          </w:tcPr>
          <w:p w14:paraId="295241F9"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Агентство по делам молодежи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53B9B0F7"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774</w:t>
            </w:r>
          </w:p>
        </w:tc>
        <w:tc>
          <w:tcPr>
            <w:tcW w:w="1276" w:type="dxa"/>
            <w:tcBorders>
              <w:top w:val="nil"/>
              <w:left w:val="nil"/>
              <w:bottom w:val="single" w:sz="4" w:space="0" w:color="auto"/>
              <w:right w:val="single" w:sz="4" w:space="0" w:color="auto"/>
            </w:tcBorders>
            <w:shd w:val="clear" w:color="auto" w:fill="auto"/>
            <w:vAlign w:val="bottom"/>
          </w:tcPr>
          <w:p w14:paraId="15C6E6D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773,24</w:t>
            </w:r>
          </w:p>
        </w:tc>
        <w:tc>
          <w:tcPr>
            <w:tcW w:w="850" w:type="dxa"/>
            <w:tcBorders>
              <w:top w:val="nil"/>
              <w:left w:val="nil"/>
              <w:bottom w:val="single" w:sz="4" w:space="0" w:color="auto"/>
              <w:right w:val="single" w:sz="4" w:space="0" w:color="auto"/>
            </w:tcBorders>
            <w:shd w:val="clear" w:color="auto" w:fill="auto"/>
            <w:vAlign w:val="bottom"/>
          </w:tcPr>
          <w:p w14:paraId="0A91E022"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0,31</w:t>
            </w:r>
          </w:p>
        </w:tc>
        <w:tc>
          <w:tcPr>
            <w:tcW w:w="1307" w:type="dxa"/>
            <w:tcBorders>
              <w:top w:val="nil"/>
              <w:left w:val="nil"/>
              <w:bottom w:val="single" w:sz="4" w:space="0" w:color="auto"/>
              <w:right w:val="single" w:sz="4" w:space="0" w:color="auto"/>
            </w:tcBorders>
            <w:shd w:val="clear" w:color="auto" w:fill="auto"/>
            <w:vAlign w:val="bottom"/>
          </w:tcPr>
          <w:p w14:paraId="195023A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767,79</w:t>
            </w:r>
          </w:p>
        </w:tc>
        <w:tc>
          <w:tcPr>
            <w:tcW w:w="832" w:type="dxa"/>
            <w:tcBorders>
              <w:top w:val="nil"/>
              <w:left w:val="nil"/>
              <w:bottom w:val="single" w:sz="4" w:space="0" w:color="auto"/>
              <w:right w:val="single" w:sz="4" w:space="0" w:color="auto"/>
            </w:tcBorders>
            <w:shd w:val="clear" w:color="auto" w:fill="auto"/>
            <w:noWrap/>
            <w:vAlign w:val="bottom"/>
          </w:tcPr>
          <w:p w14:paraId="3274E3C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99,30</w:t>
            </w:r>
          </w:p>
        </w:tc>
        <w:tc>
          <w:tcPr>
            <w:tcW w:w="960" w:type="dxa"/>
            <w:tcBorders>
              <w:top w:val="nil"/>
              <w:left w:val="nil"/>
              <w:bottom w:val="single" w:sz="4" w:space="0" w:color="auto"/>
              <w:right w:val="single" w:sz="4" w:space="0" w:color="auto"/>
            </w:tcBorders>
            <w:shd w:val="clear" w:color="auto" w:fill="auto"/>
            <w:noWrap/>
            <w:vAlign w:val="bottom"/>
          </w:tcPr>
          <w:p w14:paraId="4953643F"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0,32</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1F3990A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5,45</w:t>
            </w:r>
          </w:p>
        </w:tc>
      </w:tr>
      <w:tr w:rsidR="00E47AA9" w:rsidRPr="00E47AA9" w14:paraId="6055A4AD" w14:textId="77777777" w:rsidTr="00353702">
        <w:trPr>
          <w:trHeight w:val="600"/>
        </w:trPr>
        <w:tc>
          <w:tcPr>
            <w:tcW w:w="567" w:type="dxa"/>
            <w:tcBorders>
              <w:top w:val="nil"/>
              <w:left w:val="single" w:sz="4" w:space="0" w:color="auto"/>
              <w:bottom w:val="single" w:sz="4" w:space="0" w:color="auto"/>
              <w:right w:val="single" w:sz="4" w:space="0" w:color="auto"/>
            </w:tcBorders>
            <w:shd w:val="clear" w:color="auto" w:fill="auto"/>
            <w:vAlign w:val="bottom"/>
          </w:tcPr>
          <w:p w14:paraId="7751BB77"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21</w:t>
            </w:r>
          </w:p>
        </w:tc>
        <w:tc>
          <w:tcPr>
            <w:tcW w:w="2410" w:type="dxa"/>
            <w:tcBorders>
              <w:top w:val="nil"/>
              <w:left w:val="nil"/>
              <w:bottom w:val="single" w:sz="4" w:space="0" w:color="auto"/>
              <w:right w:val="single" w:sz="4" w:space="0" w:color="auto"/>
            </w:tcBorders>
            <w:shd w:val="clear" w:color="auto" w:fill="auto"/>
            <w:vAlign w:val="bottom"/>
          </w:tcPr>
          <w:p w14:paraId="1591BF31"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строительства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13607120"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775</w:t>
            </w:r>
          </w:p>
        </w:tc>
        <w:tc>
          <w:tcPr>
            <w:tcW w:w="1276" w:type="dxa"/>
            <w:tcBorders>
              <w:top w:val="nil"/>
              <w:left w:val="nil"/>
              <w:bottom w:val="single" w:sz="4" w:space="0" w:color="auto"/>
              <w:right w:val="single" w:sz="4" w:space="0" w:color="auto"/>
            </w:tcBorders>
            <w:shd w:val="clear" w:color="auto" w:fill="auto"/>
            <w:vAlign w:val="bottom"/>
          </w:tcPr>
          <w:p w14:paraId="75E0A68C"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18 210,46</w:t>
            </w:r>
          </w:p>
        </w:tc>
        <w:tc>
          <w:tcPr>
            <w:tcW w:w="850" w:type="dxa"/>
            <w:tcBorders>
              <w:top w:val="nil"/>
              <w:left w:val="nil"/>
              <w:bottom w:val="single" w:sz="4" w:space="0" w:color="auto"/>
              <w:right w:val="single" w:sz="4" w:space="0" w:color="auto"/>
            </w:tcBorders>
            <w:shd w:val="clear" w:color="auto" w:fill="auto"/>
            <w:vAlign w:val="bottom"/>
          </w:tcPr>
          <w:p w14:paraId="46624577"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7,41</w:t>
            </w:r>
          </w:p>
        </w:tc>
        <w:tc>
          <w:tcPr>
            <w:tcW w:w="1307" w:type="dxa"/>
            <w:tcBorders>
              <w:top w:val="nil"/>
              <w:left w:val="nil"/>
              <w:bottom w:val="single" w:sz="4" w:space="0" w:color="auto"/>
              <w:right w:val="single" w:sz="4" w:space="0" w:color="auto"/>
            </w:tcBorders>
            <w:shd w:val="clear" w:color="auto" w:fill="auto"/>
            <w:vAlign w:val="bottom"/>
          </w:tcPr>
          <w:p w14:paraId="430FC2C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14 427,74</w:t>
            </w:r>
          </w:p>
        </w:tc>
        <w:tc>
          <w:tcPr>
            <w:tcW w:w="832" w:type="dxa"/>
            <w:tcBorders>
              <w:top w:val="nil"/>
              <w:left w:val="nil"/>
              <w:bottom w:val="single" w:sz="4" w:space="0" w:color="auto"/>
              <w:right w:val="single" w:sz="4" w:space="0" w:color="auto"/>
            </w:tcBorders>
            <w:shd w:val="clear" w:color="auto" w:fill="auto"/>
            <w:noWrap/>
            <w:vAlign w:val="bottom"/>
          </w:tcPr>
          <w:p w14:paraId="4EAFBF8E"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79,23</w:t>
            </w:r>
          </w:p>
        </w:tc>
        <w:tc>
          <w:tcPr>
            <w:tcW w:w="960" w:type="dxa"/>
            <w:tcBorders>
              <w:top w:val="nil"/>
              <w:left w:val="nil"/>
              <w:bottom w:val="single" w:sz="4" w:space="0" w:color="auto"/>
              <w:right w:val="single" w:sz="4" w:space="0" w:color="auto"/>
            </w:tcBorders>
            <w:shd w:val="clear" w:color="auto" w:fill="auto"/>
            <w:noWrap/>
            <w:vAlign w:val="bottom"/>
          </w:tcPr>
          <w:p w14:paraId="47548912"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6,09</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111B534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3 782,71</w:t>
            </w:r>
          </w:p>
        </w:tc>
      </w:tr>
      <w:tr w:rsidR="00E47AA9" w:rsidRPr="00E47AA9" w14:paraId="1776EA4E" w14:textId="77777777" w:rsidTr="00353702">
        <w:trPr>
          <w:trHeight w:val="245"/>
        </w:trPr>
        <w:tc>
          <w:tcPr>
            <w:tcW w:w="567" w:type="dxa"/>
            <w:tcBorders>
              <w:top w:val="nil"/>
              <w:left w:val="single" w:sz="4" w:space="0" w:color="auto"/>
              <w:bottom w:val="single" w:sz="4" w:space="0" w:color="auto"/>
              <w:right w:val="single" w:sz="4" w:space="0" w:color="auto"/>
            </w:tcBorders>
            <w:shd w:val="clear" w:color="auto" w:fill="auto"/>
            <w:vAlign w:val="bottom"/>
          </w:tcPr>
          <w:p w14:paraId="509B664D"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22</w:t>
            </w:r>
          </w:p>
        </w:tc>
        <w:tc>
          <w:tcPr>
            <w:tcW w:w="2410" w:type="dxa"/>
            <w:tcBorders>
              <w:top w:val="nil"/>
              <w:left w:val="nil"/>
              <w:bottom w:val="single" w:sz="4" w:space="0" w:color="auto"/>
              <w:right w:val="single" w:sz="4" w:space="0" w:color="auto"/>
            </w:tcBorders>
            <w:shd w:val="clear" w:color="auto" w:fill="auto"/>
            <w:vAlign w:val="bottom"/>
          </w:tcPr>
          <w:p w14:paraId="74B06F90"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Государственная ветеринарная инспекция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2FB4CE1E"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776</w:t>
            </w:r>
          </w:p>
        </w:tc>
        <w:tc>
          <w:tcPr>
            <w:tcW w:w="1276" w:type="dxa"/>
            <w:tcBorders>
              <w:top w:val="nil"/>
              <w:left w:val="nil"/>
              <w:bottom w:val="single" w:sz="4" w:space="0" w:color="auto"/>
              <w:right w:val="single" w:sz="4" w:space="0" w:color="auto"/>
            </w:tcBorders>
            <w:shd w:val="clear" w:color="auto" w:fill="auto"/>
            <w:vAlign w:val="bottom"/>
          </w:tcPr>
          <w:p w14:paraId="46541077"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1 199,67</w:t>
            </w:r>
          </w:p>
        </w:tc>
        <w:tc>
          <w:tcPr>
            <w:tcW w:w="850" w:type="dxa"/>
            <w:tcBorders>
              <w:top w:val="nil"/>
              <w:left w:val="nil"/>
              <w:bottom w:val="single" w:sz="4" w:space="0" w:color="auto"/>
              <w:right w:val="single" w:sz="4" w:space="0" w:color="auto"/>
            </w:tcBorders>
            <w:shd w:val="clear" w:color="auto" w:fill="auto"/>
            <w:vAlign w:val="bottom"/>
          </w:tcPr>
          <w:p w14:paraId="22088E95"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0,49</w:t>
            </w:r>
          </w:p>
        </w:tc>
        <w:tc>
          <w:tcPr>
            <w:tcW w:w="1307" w:type="dxa"/>
            <w:tcBorders>
              <w:top w:val="nil"/>
              <w:left w:val="nil"/>
              <w:bottom w:val="single" w:sz="4" w:space="0" w:color="auto"/>
              <w:right w:val="single" w:sz="4" w:space="0" w:color="auto"/>
            </w:tcBorders>
            <w:shd w:val="clear" w:color="auto" w:fill="auto"/>
            <w:vAlign w:val="bottom"/>
          </w:tcPr>
          <w:p w14:paraId="3D52AC7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1 163,80</w:t>
            </w:r>
          </w:p>
        </w:tc>
        <w:tc>
          <w:tcPr>
            <w:tcW w:w="832" w:type="dxa"/>
            <w:tcBorders>
              <w:top w:val="nil"/>
              <w:left w:val="nil"/>
              <w:bottom w:val="single" w:sz="4" w:space="0" w:color="auto"/>
              <w:right w:val="single" w:sz="4" w:space="0" w:color="auto"/>
            </w:tcBorders>
            <w:shd w:val="clear" w:color="auto" w:fill="auto"/>
            <w:noWrap/>
            <w:vAlign w:val="bottom"/>
          </w:tcPr>
          <w:p w14:paraId="27AE3B60"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97,01</w:t>
            </w:r>
          </w:p>
        </w:tc>
        <w:tc>
          <w:tcPr>
            <w:tcW w:w="960" w:type="dxa"/>
            <w:tcBorders>
              <w:top w:val="nil"/>
              <w:left w:val="nil"/>
              <w:bottom w:val="single" w:sz="4" w:space="0" w:color="auto"/>
              <w:right w:val="single" w:sz="4" w:space="0" w:color="auto"/>
            </w:tcBorders>
            <w:shd w:val="clear" w:color="auto" w:fill="auto"/>
            <w:noWrap/>
            <w:vAlign w:val="bottom"/>
          </w:tcPr>
          <w:p w14:paraId="6228A0EC"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0,49</w:t>
            </w:r>
          </w:p>
        </w:tc>
        <w:tc>
          <w:tcPr>
            <w:tcW w:w="1322" w:type="dxa"/>
            <w:tcBorders>
              <w:top w:val="nil"/>
              <w:left w:val="single" w:sz="4" w:space="0" w:color="auto"/>
              <w:bottom w:val="single" w:sz="4" w:space="0" w:color="auto"/>
              <w:right w:val="single" w:sz="4" w:space="0" w:color="auto"/>
            </w:tcBorders>
            <w:shd w:val="clear" w:color="auto" w:fill="auto"/>
            <w:noWrap/>
            <w:vAlign w:val="bottom"/>
          </w:tcPr>
          <w:p w14:paraId="4BB26FC6"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35,87</w:t>
            </w:r>
          </w:p>
        </w:tc>
      </w:tr>
      <w:tr w:rsidR="00E47AA9" w:rsidRPr="00E47AA9" w14:paraId="290F6E06" w14:textId="77777777" w:rsidTr="00353702">
        <w:trPr>
          <w:trHeight w:val="600"/>
        </w:trPr>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480770FA"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23</w:t>
            </w:r>
          </w:p>
        </w:tc>
        <w:tc>
          <w:tcPr>
            <w:tcW w:w="2410" w:type="dxa"/>
            <w:tcBorders>
              <w:top w:val="single" w:sz="4" w:space="0" w:color="auto"/>
              <w:left w:val="nil"/>
              <w:bottom w:val="single" w:sz="4" w:space="0" w:color="auto"/>
              <w:right w:val="single" w:sz="4" w:space="0" w:color="auto"/>
            </w:tcBorders>
            <w:shd w:val="clear" w:color="auto" w:fill="auto"/>
            <w:vAlign w:val="bottom"/>
          </w:tcPr>
          <w:p w14:paraId="6085FAF7"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имущественных и земельных отношений Приморского края</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0EF9AEE6"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779</w:t>
            </w:r>
          </w:p>
        </w:tc>
        <w:tc>
          <w:tcPr>
            <w:tcW w:w="1276" w:type="dxa"/>
            <w:tcBorders>
              <w:top w:val="single" w:sz="4" w:space="0" w:color="auto"/>
              <w:left w:val="nil"/>
              <w:bottom w:val="single" w:sz="4" w:space="0" w:color="auto"/>
              <w:right w:val="single" w:sz="4" w:space="0" w:color="auto"/>
            </w:tcBorders>
            <w:shd w:val="clear" w:color="auto" w:fill="auto"/>
            <w:vAlign w:val="bottom"/>
          </w:tcPr>
          <w:p w14:paraId="1BB766E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2 445,36</w:t>
            </w:r>
          </w:p>
        </w:tc>
        <w:tc>
          <w:tcPr>
            <w:tcW w:w="850" w:type="dxa"/>
            <w:tcBorders>
              <w:top w:val="single" w:sz="4" w:space="0" w:color="auto"/>
              <w:left w:val="nil"/>
              <w:bottom w:val="single" w:sz="4" w:space="0" w:color="auto"/>
              <w:right w:val="single" w:sz="4" w:space="0" w:color="auto"/>
            </w:tcBorders>
            <w:shd w:val="clear" w:color="auto" w:fill="auto"/>
            <w:vAlign w:val="bottom"/>
          </w:tcPr>
          <w:p w14:paraId="65F2777D"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1,00</w:t>
            </w:r>
          </w:p>
        </w:tc>
        <w:tc>
          <w:tcPr>
            <w:tcW w:w="1307" w:type="dxa"/>
            <w:tcBorders>
              <w:top w:val="single" w:sz="4" w:space="0" w:color="auto"/>
              <w:left w:val="nil"/>
              <w:bottom w:val="single" w:sz="4" w:space="0" w:color="auto"/>
              <w:right w:val="single" w:sz="4" w:space="0" w:color="auto"/>
            </w:tcBorders>
            <w:shd w:val="clear" w:color="auto" w:fill="auto"/>
            <w:vAlign w:val="bottom"/>
          </w:tcPr>
          <w:p w14:paraId="21DEE7A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2 433,28</w:t>
            </w:r>
          </w:p>
        </w:tc>
        <w:tc>
          <w:tcPr>
            <w:tcW w:w="832" w:type="dxa"/>
            <w:tcBorders>
              <w:top w:val="single" w:sz="4" w:space="0" w:color="auto"/>
              <w:left w:val="nil"/>
              <w:bottom w:val="single" w:sz="4" w:space="0" w:color="auto"/>
              <w:right w:val="single" w:sz="4" w:space="0" w:color="auto"/>
            </w:tcBorders>
            <w:shd w:val="clear" w:color="auto" w:fill="auto"/>
            <w:noWrap/>
            <w:vAlign w:val="bottom"/>
          </w:tcPr>
          <w:p w14:paraId="7F68D09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99,51</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73165D02"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1,03</w:t>
            </w:r>
          </w:p>
        </w:tc>
        <w:tc>
          <w:tcPr>
            <w:tcW w:w="1322" w:type="dxa"/>
            <w:tcBorders>
              <w:top w:val="single" w:sz="4" w:space="0" w:color="auto"/>
              <w:left w:val="nil"/>
              <w:bottom w:val="single" w:sz="4" w:space="0" w:color="auto"/>
              <w:right w:val="single" w:sz="4" w:space="0" w:color="auto"/>
            </w:tcBorders>
            <w:shd w:val="clear" w:color="auto" w:fill="auto"/>
            <w:noWrap/>
            <w:vAlign w:val="bottom"/>
          </w:tcPr>
          <w:p w14:paraId="3BFB0C30"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12,08</w:t>
            </w:r>
          </w:p>
        </w:tc>
      </w:tr>
      <w:tr w:rsidR="00E47AA9" w:rsidRPr="00E47AA9" w14:paraId="2E325683" w14:textId="77777777" w:rsidTr="00353702">
        <w:trPr>
          <w:trHeight w:val="483"/>
        </w:trPr>
        <w:tc>
          <w:tcPr>
            <w:tcW w:w="567" w:type="dxa"/>
            <w:tcBorders>
              <w:top w:val="nil"/>
              <w:left w:val="single" w:sz="4" w:space="0" w:color="auto"/>
              <w:bottom w:val="single" w:sz="4" w:space="0" w:color="auto"/>
              <w:right w:val="single" w:sz="4" w:space="0" w:color="auto"/>
            </w:tcBorders>
            <w:shd w:val="clear" w:color="auto" w:fill="auto"/>
            <w:vAlign w:val="bottom"/>
          </w:tcPr>
          <w:p w14:paraId="4FFC94D3"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24</w:t>
            </w:r>
          </w:p>
        </w:tc>
        <w:tc>
          <w:tcPr>
            <w:tcW w:w="2410" w:type="dxa"/>
            <w:tcBorders>
              <w:top w:val="nil"/>
              <w:left w:val="nil"/>
              <w:bottom w:val="single" w:sz="4" w:space="0" w:color="auto"/>
              <w:right w:val="single" w:sz="4" w:space="0" w:color="auto"/>
            </w:tcBorders>
            <w:shd w:val="clear" w:color="auto" w:fill="auto"/>
            <w:vAlign w:val="bottom"/>
          </w:tcPr>
          <w:p w14:paraId="27E648C8"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туризма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4882EA3C"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780</w:t>
            </w:r>
          </w:p>
        </w:tc>
        <w:tc>
          <w:tcPr>
            <w:tcW w:w="1276" w:type="dxa"/>
            <w:tcBorders>
              <w:top w:val="nil"/>
              <w:left w:val="nil"/>
              <w:bottom w:val="single" w:sz="4" w:space="0" w:color="auto"/>
              <w:right w:val="single" w:sz="4" w:space="0" w:color="auto"/>
            </w:tcBorders>
            <w:shd w:val="clear" w:color="auto" w:fill="auto"/>
            <w:vAlign w:val="bottom"/>
          </w:tcPr>
          <w:p w14:paraId="6160E7D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1 010,62</w:t>
            </w:r>
          </w:p>
        </w:tc>
        <w:tc>
          <w:tcPr>
            <w:tcW w:w="850" w:type="dxa"/>
            <w:tcBorders>
              <w:top w:val="nil"/>
              <w:left w:val="nil"/>
              <w:bottom w:val="single" w:sz="4" w:space="0" w:color="auto"/>
              <w:right w:val="single" w:sz="4" w:space="0" w:color="auto"/>
            </w:tcBorders>
            <w:shd w:val="clear" w:color="auto" w:fill="auto"/>
            <w:vAlign w:val="bottom"/>
          </w:tcPr>
          <w:p w14:paraId="5DAC3B50"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0,41</w:t>
            </w:r>
          </w:p>
        </w:tc>
        <w:tc>
          <w:tcPr>
            <w:tcW w:w="1307" w:type="dxa"/>
            <w:tcBorders>
              <w:top w:val="nil"/>
              <w:left w:val="nil"/>
              <w:bottom w:val="single" w:sz="4" w:space="0" w:color="auto"/>
              <w:right w:val="single" w:sz="4" w:space="0" w:color="auto"/>
            </w:tcBorders>
            <w:shd w:val="clear" w:color="auto" w:fill="auto"/>
            <w:vAlign w:val="bottom"/>
          </w:tcPr>
          <w:p w14:paraId="336C5C1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991,79</w:t>
            </w:r>
          </w:p>
        </w:tc>
        <w:tc>
          <w:tcPr>
            <w:tcW w:w="832" w:type="dxa"/>
            <w:tcBorders>
              <w:top w:val="nil"/>
              <w:left w:val="nil"/>
              <w:bottom w:val="single" w:sz="4" w:space="0" w:color="auto"/>
              <w:right w:val="single" w:sz="4" w:space="0" w:color="auto"/>
            </w:tcBorders>
            <w:shd w:val="clear" w:color="auto" w:fill="auto"/>
            <w:noWrap/>
            <w:vAlign w:val="bottom"/>
          </w:tcPr>
          <w:p w14:paraId="5F155A4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98,14</w:t>
            </w:r>
          </w:p>
        </w:tc>
        <w:tc>
          <w:tcPr>
            <w:tcW w:w="960" w:type="dxa"/>
            <w:tcBorders>
              <w:top w:val="nil"/>
              <w:left w:val="nil"/>
              <w:bottom w:val="single" w:sz="4" w:space="0" w:color="auto"/>
              <w:right w:val="single" w:sz="4" w:space="0" w:color="auto"/>
            </w:tcBorders>
            <w:shd w:val="clear" w:color="auto" w:fill="auto"/>
            <w:noWrap/>
            <w:vAlign w:val="bottom"/>
          </w:tcPr>
          <w:p w14:paraId="513669E1"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0,42</w:t>
            </w:r>
          </w:p>
        </w:tc>
        <w:tc>
          <w:tcPr>
            <w:tcW w:w="1322" w:type="dxa"/>
            <w:tcBorders>
              <w:top w:val="nil"/>
              <w:left w:val="nil"/>
              <w:bottom w:val="single" w:sz="4" w:space="0" w:color="auto"/>
              <w:right w:val="single" w:sz="4" w:space="0" w:color="auto"/>
            </w:tcBorders>
            <w:shd w:val="clear" w:color="auto" w:fill="auto"/>
            <w:noWrap/>
            <w:vAlign w:val="bottom"/>
          </w:tcPr>
          <w:p w14:paraId="2F88CD2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18,83</w:t>
            </w:r>
          </w:p>
        </w:tc>
      </w:tr>
      <w:tr w:rsidR="00E47AA9" w:rsidRPr="00E47AA9" w14:paraId="13CCCF64" w14:textId="77777777" w:rsidTr="00353702">
        <w:trPr>
          <w:trHeight w:val="419"/>
        </w:trPr>
        <w:tc>
          <w:tcPr>
            <w:tcW w:w="567" w:type="dxa"/>
            <w:tcBorders>
              <w:top w:val="nil"/>
              <w:left w:val="single" w:sz="4" w:space="0" w:color="auto"/>
              <w:bottom w:val="single" w:sz="4" w:space="0" w:color="auto"/>
              <w:right w:val="single" w:sz="4" w:space="0" w:color="auto"/>
            </w:tcBorders>
            <w:shd w:val="clear" w:color="auto" w:fill="auto"/>
            <w:vAlign w:val="bottom"/>
          </w:tcPr>
          <w:p w14:paraId="5C2DAC2A"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25</w:t>
            </w:r>
          </w:p>
        </w:tc>
        <w:tc>
          <w:tcPr>
            <w:tcW w:w="2410" w:type="dxa"/>
            <w:tcBorders>
              <w:top w:val="nil"/>
              <w:left w:val="nil"/>
              <w:bottom w:val="single" w:sz="4" w:space="0" w:color="auto"/>
              <w:right w:val="single" w:sz="4" w:space="0" w:color="auto"/>
            </w:tcBorders>
            <w:shd w:val="clear" w:color="auto" w:fill="auto"/>
            <w:vAlign w:val="bottom"/>
          </w:tcPr>
          <w:p w14:paraId="5F32B986"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экономического развития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38042398"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784</w:t>
            </w:r>
          </w:p>
        </w:tc>
        <w:tc>
          <w:tcPr>
            <w:tcW w:w="1276" w:type="dxa"/>
            <w:tcBorders>
              <w:top w:val="nil"/>
              <w:left w:val="nil"/>
              <w:bottom w:val="single" w:sz="4" w:space="0" w:color="auto"/>
              <w:right w:val="single" w:sz="4" w:space="0" w:color="auto"/>
            </w:tcBorders>
            <w:shd w:val="clear" w:color="auto" w:fill="auto"/>
            <w:vAlign w:val="bottom"/>
          </w:tcPr>
          <w:p w14:paraId="11D656DD"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1 482,80</w:t>
            </w:r>
          </w:p>
        </w:tc>
        <w:tc>
          <w:tcPr>
            <w:tcW w:w="850" w:type="dxa"/>
            <w:tcBorders>
              <w:top w:val="nil"/>
              <w:left w:val="nil"/>
              <w:bottom w:val="single" w:sz="4" w:space="0" w:color="auto"/>
              <w:right w:val="single" w:sz="4" w:space="0" w:color="auto"/>
            </w:tcBorders>
            <w:shd w:val="clear" w:color="auto" w:fill="auto"/>
            <w:vAlign w:val="bottom"/>
          </w:tcPr>
          <w:p w14:paraId="66CF0B30"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0,60</w:t>
            </w:r>
          </w:p>
        </w:tc>
        <w:tc>
          <w:tcPr>
            <w:tcW w:w="1307" w:type="dxa"/>
            <w:tcBorders>
              <w:top w:val="nil"/>
              <w:left w:val="nil"/>
              <w:bottom w:val="single" w:sz="4" w:space="0" w:color="auto"/>
              <w:right w:val="single" w:sz="4" w:space="0" w:color="auto"/>
            </w:tcBorders>
            <w:shd w:val="clear" w:color="auto" w:fill="auto"/>
            <w:vAlign w:val="bottom"/>
          </w:tcPr>
          <w:p w14:paraId="2FED2567"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1 478,59</w:t>
            </w:r>
          </w:p>
        </w:tc>
        <w:tc>
          <w:tcPr>
            <w:tcW w:w="832" w:type="dxa"/>
            <w:tcBorders>
              <w:top w:val="nil"/>
              <w:left w:val="nil"/>
              <w:bottom w:val="single" w:sz="4" w:space="0" w:color="auto"/>
              <w:right w:val="single" w:sz="4" w:space="0" w:color="auto"/>
            </w:tcBorders>
            <w:shd w:val="clear" w:color="auto" w:fill="auto"/>
            <w:noWrap/>
            <w:vAlign w:val="bottom"/>
          </w:tcPr>
          <w:p w14:paraId="37C0A8A6"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99,72</w:t>
            </w:r>
          </w:p>
        </w:tc>
        <w:tc>
          <w:tcPr>
            <w:tcW w:w="960" w:type="dxa"/>
            <w:tcBorders>
              <w:top w:val="nil"/>
              <w:left w:val="nil"/>
              <w:bottom w:val="single" w:sz="4" w:space="0" w:color="auto"/>
              <w:right w:val="single" w:sz="4" w:space="0" w:color="auto"/>
            </w:tcBorders>
            <w:shd w:val="clear" w:color="auto" w:fill="auto"/>
            <w:noWrap/>
            <w:vAlign w:val="bottom"/>
          </w:tcPr>
          <w:p w14:paraId="7512C609"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0,62</w:t>
            </w:r>
          </w:p>
        </w:tc>
        <w:tc>
          <w:tcPr>
            <w:tcW w:w="1322" w:type="dxa"/>
            <w:tcBorders>
              <w:top w:val="nil"/>
              <w:left w:val="nil"/>
              <w:bottom w:val="single" w:sz="4" w:space="0" w:color="auto"/>
              <w:right w:val="single" w:sz="4" w:space="0" w:color="auto"/>
            </w:tcBorders>
            <w:shd w:val="clear" w:color="auto" w:fill="auto"/>
            <w:noWrap/>
            <w:vAlign w:val="bottom"/>
          </w:tcPr>
          <w:p w14:paraId="6C44506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4,21</w:t>
            </w:r>
          </w:p>
        </w:tc>
      </w:tr>
      <w:tr w:rsidR="00E47AA9" w:rsidRPr="00E47AA9" w14:paraId="77929E14" w14:textId="77777777" w:rsidTr="00353702">
        <w:trPr>
          <w:trHeight w:val="251"/>
        </w:trPr>
        <w:tc>
          <w:tcPr>
            <w:tcW w:w="567" w:type="dxa"/>
            <w:tcBorders>
              <w:top w:val="nil"/>
              <w:left w:val="single" w:sz="4" w:space="0" w:color="auto"/>
              <w:bottom w:val="single" w:sz="4" w:space="0" w:color="auto"/>
              <w:right w:val="single" w:sz="4" w:space="0" w:color="auto"/>
            </w:tcBorders>
            <w:shd w:val="clear" w:color="auto" w:fill="auto"/>
            <w:vAlign w:val="bottom"/>
          </w:tcPr>
          <w:p w14:paraId="333CF8AF"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26</w:t>
            </w:r>
          </w:p>
        </w:tc>
        <w:tc>
          <w:tcPr>
            <w:tcW w:w="2410" w:type="dxa"/>
            <w:tcBorders>
              <w:top w:val="nil"/>
              <w:left w:val="nil"/>
              <w:bottom w:val="single" w:sz="4" w:space="0" w:color="auto"/>
              <w:right w:val="single" w:sz="4" w:space="0" w:color="auto"/>
            </w:tcBorders>
            <w:shd w:val="clear" w:color="auto" w:fill="auto"/>
            <w:vAlign w:val="bottom"/>
          </w:tcPr>
          <w:p w14:paraId="451D24BF"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 xml:space="preserve">Департамент по координации правоохранительной </w:t>
            </w:r>
            <w:r w:rsidRPr="00E47AA9">
              <w:rPr>
                <w:rFonts w:ascii="Times New Roman" w:hAnsi="Times New Roman" w:cs="Times New Roman"/>
              </w:rPr>
              <w:lastRenderedPageBreak/>
              <w:t>деятельности, исполнения административного законодательства и обеспечения деятельности мировых судей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0A177EB1"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lastRenderedPageBreak/>
              <w:t>785</w:t>
            </w:r>
          </w:p>
        </w:tc>
        <w:tc>
          <w:tcPr>
            <w:tcW w:w="1276" w:type="dxa"/>
            <w:tcBorders>
              <w:top w:val="nil"/>
              <w:left w:val="nil"/>
              <w:bottom w:val="single" w:sz="4" w:space="0" w:color="auto"/>
              <w:right w:val="single" w:sz="4" w:space="0" w:color="auto"/>
            </w:tcBorders>
            <w:shd w:val="clear" w:color="auto" w:fill="auto"/>
            <w:vAlign w:val="bottom"/>
          </w:tcPr>
          <w:p w14:paraId="426414D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1 306,16</w:t>
            </w:r>
          </w:p>
        </w:tc>
        <w:tc>
          <w:tcPr>
            <w:tcW w:w="850" w:type="dxa"/>
            <w:tcBorders>
              <w:top w:val="nil"/>
              <w:left w:val="nil"/>
              <w:bottom w:val="single" w:sz="4" w:space="0" w:color="auto"/>
              <w:right w:val="single" w:sz="4" w:space="0" w:color="auto"/>
            </w:tcBorders>
            <w:shd w:val="clear" w:color="auto" w:fill="auto"/>
            <w:vAlign w:val="bottom"/>
          </w:tcPr>
          <w:p w14:paraId="148002A1"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0,53</w:t>
            </w:r>
          </w:p>
        </w:tc>
        <w:tc>
          <w:tcPr>
            <w:tcW w:w="1307" w:type="dxa"/>
            <w:tcBorders>
              <w:top w:val="nil"/>
              <w:left w:val="nil"/>
              <w:bottom w:val="single" w:sz="4" w:space="0" w:color="auto"/>
              <w:right w:val="single" w:sz="4" w:space="0" w:color="auto"/>
            </w:tcBorders>
            <w:shd w:val="clear" w:color="auto" w:fill="auto"/>
            <w:vAlign w:val="bottom"/>
          </w:tcPr>
          <w:p w14:paraId="0DF18666"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1 298,66</w:t>
            </w:r>
          </w:p>
        </w:tc>
        <w:tc>
          <w:tcPr>
            <w:tcW w:w="832" w:type="dxa"/>
            <w:tcBorders>
              <w:top w:val="nil"/>
              <w:left w:val="nil"/>
              <w:bottom w:val="single" w:sz="4" w:space="0" w:color="auto"/>
              <w:right w:val="single" w:sz="4" w:space="0" w:color="auto"/>
            </w:tcBorders>
            <w:shd w:val="clear" w:color="auto" w:fill="auto"/>
            <w:noWrap/>
            <w:vAlign w:val="bottom"/>
          </w:tcPr>
          <w:p w14:paraId="05BDBB7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99,43</w:t>
            </w:r>
          </w:p>
        </w:tc>
        <w:tc>
          <w:tcPr>
            <w:tcW w:w="960" w:type="dxa"/>
            <w:tcBorders>
              <w:top w:val="nil"/>
              <w:left w:val="nil"/>
              <w:bottom w:val="single" w:sz="4" w:space="0" w:color="auto"/>
              <w:right w:val="single" w:sz="4" w:space="0" w:color="auto"/>
            </w:tcBorders>
            <w:shd w:val="clear" w:color="auto" w:fill="auto"/>
            <w:noWrap/>
            <w:vAlign w:val="bottom"/>
          </w:tcPr>
          <w:p w14:paraId="5ACD97D9"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0,55</w:t>
            </w:r>
          </w:p>
        </w:tc>
        <w:tc>
          <w:tcPr>
            <w:tcW w:w="1322" w:type="dxa"/>
            <w:tcBorders>
              <w:top w:val="nil"/>
              <w:left w:val="nil"/>
              <w:bottom w:val="single" w:sz="4" w:space="0" w:color="auto"/>
              <w:right w:val="single" w:sz="4" w:space="0" w:color="auto"/>
            </w:tcBorders>
            <w:shd w:val="clear" w:color="auto" w:fill="auto"/>
            <w:noWrap/>
            <w:vAlign w:val="bottom"/>
          </w:tcPr>
          <w:p w14:paraId="1C4754F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7,50</w:t>
            </w:r>
          </w:p>
        </w:tc>
      </w:tr>
      <w:tr w:rsidR="00E47AA9" w:rsidRPr="00E47AA9" w14:paraId="78D8F566" w14:textId="77777777" w:rsidTr="00353702">
        <w:trPr>
          <w:trHeight w:val="637"/>
        </w:trPr>
        <w:tc>
          <w:tcPr>
            <w:tcW w:w="567" w:type="dxa"/>
            <w:tcBorders>
              <w:top w:val="nil"/>
              <w:left w:val="single" w:sz="4" w:space="0" w:color="auto"/>
              <w:bottom w:val="single" w:sz="4" w:space="0" w:color="auto"/>
              <w:right w:val="single" w:sz="4" w:space="0" w:color="auto"/>
            </w:tcBorders>
            <w:shd w:val="clear" w:color="auto" w:fill="auto"/>
            <w:vAlign w:val="bottom"/>
          </w:tcPr>
          <w:p w14:paraId="4EC7611F"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27</w:t>
            </w:r>
          </w:p>
        </w:tc>
        <w:tc>
          <w:tcPr>
            <w:tcW w:w="2410" w:type="dxa"/>
            <w:tcBorders>
              <w:top w:val="nil"/>
              <w:left w:val="nil"/>
              <w:bottom w:val="single" w:sz="4" w:space="0" w:color="auto"/>
              <w:right w:val="single" w:sz="4" w:space="0" w:color="auto"/>
            </w:tcBorders>
            <w:shd w:val="clear" w:color="auto" w:fill="auto"/>
            <w:vAlign w:val="bottom"/>
          </w:tcPr>
          <w:p w14:paraId="51E5C5D7"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Уполномоченный по защите прав предпринимателей в Приморском крае</w:t>
            </w:r>
          </w:p>
        </w:tc>
        <w:tc>
          <w:tcPr>
            <w:tcW w:w="709" w:type="dxa"/>
            <w:tcBorders>
              <w:top w:val="nil"/>
              <w:left w:val="nil"/>
              <w:bottom w:val="single" w:sz="4" w:space="0" w:color="auto"/>
              <w:right w:val="single" w:sz="4" w:space="0" w:color="auto"/>
            </w:tcBorders>
            <w:shd w:val="clear" w:color="auto" w:fill="auto"/>
            <w:noWrap/>
            <w:vAlign w:val="bottom"/>
          </w:tcPr>
          <w:p w14:paraId="76E3B24D"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786</w:t>
            </w:r>
          </w:p>
        </w:tc>
        <w:tc>
          <w:tcPr>
            <w:tcW w:w="1276" w:type="dxa"/>
            <w:tcBorders>
              <w:top w:val="nil"/>
              <w:left w:val="nil"/>
              <w:bottom w:val="single" w:sz="4" w:space="0" w:color="auto"/>
              <w:right w:val="single" w:sz="4" w:space="0" w:color="auto"/>
            </w:tcBorders>
            <w:shd w:val="clear" w:color="auto" w:fill="auto"/>
            <w:vAlign w:val="bottom"/>
          </w:tcPr>
          <w:p w14:paraId="183C351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23,03</w:t>
            </w:r>
          </w:p>
        </w:tc>
        <w:tc>
          <w:tcPr>
            <w:tcW w:w="850" w:type="dxa"/>
            <w:tcBorders>
              <w:top w:val="nil"/>
              <w:left w:val="nil"/>
              <w:bottom w:val="single" w:sz="4" w:space="0" w:color="auto"/>
              <w:right w:val="single" w:sz="4" w:space="0" w:color="auto"/>
            </w:tcBorders>
            <w:shd w:val="clear" w:color="auto" w:fill="auto"/>
            <w:vAlign w:val="bottom"/>
          </w:tcPr>
          <w:p w14:paraId="58CCF28B"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0,01</w:t>
            </w:r>
          </w:p>
        </w:tc>
        <w:tc>
          <w:tcPr>
            <w:tcW w:w="1307" w:type="dxa"/>
            <w:tcBorders>
              <w:top w:val="nil"/>
              <w:left w:val="nil"/>
              <w:bottom w:val="single" w:sz="4" w:space="0" w:color="auto"/>
              <w:right w:val="single" w:sz="4" w:space="0" w:color="auto"/>
            </w:tcBorders>
            <w:shd w:val="clear" w:color="auto" w:fill="auto"/>
            <w:vAlign w:val="bottom"/>
          </w:tcPr>
          <w:p w14:paraId="498193C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22,76</w:t>
            </w:r>
          </w:p>
        </w:tc>
        <w:tc>
          <w:tcPr>
            <w:tcW w:w="832" w:type="dxa"/>
            <w:tcBorders>
              <w:top w:val="nil"/>
              <w:left w:val="nil"/>
              <w:bottom w:val="single" w:sz="4" w:space="0" w:color="auto"/>
              <w:right w:val="single" w:sz="4" w:space="0" w:color="auto"/>
            </w:tcBorders>
            <w:shd w:val="clear" w:color="auto" w:fill="auto"/>
            <w:noWrap/>
            <w:vAlign w:val="bottom"/>
          </w:tcPr>
          <w:p w14:paraId="0B0E94CE"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98,81</w:t>
            </w:r>
          </w:p>
        </w:tc>
        <w:tc>
          <w:tcPr>
            <w:tcW w:w="960" w:type="dxa"/>
            <w:tcBorders>
              <w:top w:val="nil"/>
              <w:left w:val="nil"/>
              <w:bottom w:val="single" w:sz="4" w:space="0" w:color="auto"/>
              <w:right w:val="single" w:sz="4" w:space="0" w:color="auto"/>
            </w:tcBorders>
            <w:shd w:val="clear" w:color="auto" w:fill="auto"/>
            <w:noWrap/>
            <w:vAlign w:val="bottom"/>
          </w:tcPr>
          <w:p w14:paraId="496F6B11"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0,01</w:t>
            </w:r>
          </w:p>
        </w:tc>
        <w:tc>
          <w:tcPr>
            <w:tcW w:w="1322" w:type="dxa"/>
            <w:tcBorders>
              <w:top w:val="nil"/>
              <w:left w:val="nil"/>
              <w:bottom w:val="single" w:sz="4" w:space="0" w:color="auto"/>
              <w:right w:val="single" w:sz="4" w:space="0" w:color="auto"/>
            </w:tcBorders>
            <w:shd w:val="clear" w:color="auto" w:fill="auto"/>
            <w:noWrap/>
            <w:vAlign w:val="bottom"/>
          </w:tcPr>
          <w:p w14:paraId="526B48E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0,27</w:t>
            </w:r>
          </w:p>
        </w:tc>
      </w:tr>
      <w:tr w:rsidR="00E47AA9" w:rsidRPr="00E47AA9" w14:paraId="793FC55B" w14:textId="77777777" w:rsidTr="00353702">
        <w:trPr>
          <w:trHeight w:val="242"/>
        </w:trPr>
        <w:tc>
          <w:tcPr>
            <w:tcW w:w="567" w:type="dxa"/>
            <w:tcBorders>
              <w:top w:val="nil"/>
              <w:left w:val="single" w:sz="4" w:space="0" w:color="auto"/>
              <w:bottom w:val="single" w:sz="4" w:space="0" w:color="auto"/>
              <w:right w:val="single" w:sz="4" w:space="0" w:color="auto"/>
            </w:tcBorders>
            <w:shd w:val="clear" w:color="auto" w:fill="auto"/>
            <w:vAlign w:val="bottom"/>
          </w:tcPr>
          <w:p w14:paraId="364B3354"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28</w:t>
            </w:r>
          </w:p>
        </w:tc>
        <w:tc>
          <w:tcPr>
            <w:tcW w:w="2410" w:type="dxa"/>
            <w:tcBorders>
              <w:top w:val="nil"/>
              <w:left w:val="nil"/>
              <w:bottom w:val="single" w:sz="4" w:space="0" w:color="auto"/>
              <w:right w:val="single" w:sz="4" w:space="0" w:color="auto"/>
            </w:tcBorders>
            <w:shd w:val="clear" w:color="auto" w:fill="auto"/>
            <w:vAlign w:val="bottom"/>
          </w:tcPr>
          <w:p w14:paraId="7DFCFF4B"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энергетики и газоснабжения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6DDAE205"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787</w:t>
            </w:r>
          </w:p>
        </w:tc>
        <w:tc>
          <w:tcPr>
            <w:tcW w:w="1276" w:type="dxa"/>
            <w:tcBorders>
              <w:top w:val="nil"/>
              <w:left w:val="nil"/>
              <w:bottom w:val="single" w:sz="4" w:space="0" w:color="auto"/>
              <w:right w:val="single" w:sz="4" w:space="0" w:color="auto"/>
            </w:tcBorders>
            <w:shd w:val="clear" w:color="auto" w:fill="auto"/>
            <w:vAlign w:val="bottom"/>
          </w:tcPr>
          <w:p w14:paraId="011DCABD"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1 250,77</w:t>
            </w:r>
          </w:p>
        </w:tc>
        <w:tc>
          <w:tcPr>
            <w:tcW w:w="850" w:type="dxa"/>
            <w:tcBorders>
              <w:top w:val="nil"/>
              <w:left w:val="nil"/>
              <w:bottom w:val="single" w:sz="4" w:space="0" w:color="auto"/>
              <w:right w:val="single" w:sz="4" w:space="0" w:color="auto"/>
            </w:tcBorders>
            <w:shd w:val="clear" w:color="auto" w:fill="auto"/>
            <w:vAlign w:val="bottom"/>
          </w:tcPr>
          <w:p w14:paraId="6EF75DF1"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0,51</w:t>
            </w:r>
          </w:p>
        </w:tc>
        <w:tc>
          <w:tcPr>
            <w:tcW w:w="1307" w:type="dxa"/>
            <w:tcBorders>
              <w:top w:val="nil"/>
              <w:left w:val="nil"/>
              <w:bottom w:val="single" w:sz="4" w:space="0" w:color="auto"/>
              <w:right w:val="single" w:sz="4" w:space="0" w:color="auto"/>
            </w:tcBorders>
            <w:shd w:val="clear" w:color="auto" w:fill="auto"/>
            <w:vAlign w:val="bottom"/>
          </w:tcPr>
          <w:p w14:paraId="22DBE9F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1 141,28</w:t>
            </w:r>
          </w:p>
        </w:tc>
        <w:tc>
          <w:tcPr>
            <w:tcW w:w="832" w:type="dxa"/>
            <w:tcBorders>
              <w:top w:val="nil"/>
              <w:left w:val="nil"/>
              <w:bottom w:val="single" w:sz="4" w:space="0" w:color="auto"/>
              <w:right w:val="single" w:sz="4" w:space="0" w:color="auto"/>
            </w:tcBorders>
            <w:shd w:val="clear" w:color="auto" w:fill="auto"/>
            <w:noWrap/>
            <w:vAlign w:val="bottom"/>
          </w:tcPr>
          <w:p w14:paraId="69ABF1C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91,25</w:t>
            </w:r>
          </w:p>
        </w:tc>
        <w:tc>
          <w:tcPr>
            <w:tcW w:w="960" w:type="dxa"/>
            <w:tcBorders>
              <w:top w:val="nil"/>
              <w:left w:val="nil"/>
              <w:bottom w:val="single" w:sz="4" w:space="0" w:color="auto"/>
              <w:right w:val="single" w:sz="4" w:space="0" w:color="auto"/>
            </w:tcBorders>
            <w:shd w:val="clear" w:color="auto" w:fill="auto"/>
            <w:noWrap/>
            <w:vAlign w:val="bottom"/>
          </w:tcPr>
          <w:p w14:paraId="0466ACCC"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0,48</w:t>
            </w:r>
          </w:p>
        </w:tc>
        <w:tc>
          <w:tcPr>
            <w:tcW w:w="1322" w:type="dxa"/>
            <w:tcBorders>
              <w:top w:val="nil"/>
              <w:left w:val="nil"/>
              <w:bottom w:val="single" w:sz="4" w:space="0" w:color="auto"/>
              <w:right w:val="single" w:sz="4" w:space="0" w:color="auto"/>
            </w:tcBorders>
            <w:shd w:val="clear" w:color="auto" w:fill="auto"/>
            <w:noWrap/>
            <w:vAlign w:val="bottom"/>
          </w:tcPr>
          <w:p w14:paraId="71FFB13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109,48</w:t>
            </w:r>
          </w:p>
        </w:tc>
      </w:tr>
      <w:tr w:rsidR="00E47AA9" w:rsidRPr="00E47AA9" w14:paraId="4D93FCF2" w14:textId="77777777" w:rsidTr="00353702">
        <w:trPr>
          <w:trHeight w:val="155"/>
        </w:trPr>
        <w:tc>
          <w:tcPr>
            <w:tcW w:w="567" w:type="dxa"/>
            <w:tcBorders>
              <w:top w:val="nil"/>
              <w:left w:val="single" w:sz="4" w:space="0" w:color="auto"/>
              <w:bottom w:val="single" w:sz="4" w:space="0" w:color="auto"/>
              <w:right w:val="single" w:sz="4" w:space="0" w:color="auto"/>
            </w:tcBorders>
            <w:shd w:val="clear" w:color="auto" w:fill="auto"/>
            <w:vAlign w:val="bottom"/>
          </w:tcPr>
          <w:p w14:paraId="1E831D7C"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29</w:t>
            </w:r>
          </w:p>
        </w:tc>
        <w:tc>
          <w:tcPr>
            <w:tcW w:w="2410" w:type="dxa"/>
            <w:tcBorders>
              <w:top w:val="nil"/>
              <w:left w:val="nil"/>
              <w:bottom w:val="single" w:sz="4" w:space="0" w:color="auto"/>
              <w:right w:val="single" w:sz="4" w:space="0" w:color="auto"/>
            </w:tcBorders>
            <w:shd w:val="clear" w:color="auto" w:fill="auto"/>
            <w:vAlign w:val="bottom"/>
          </w:tcPr>
          <w:p w14:paraId="270EE767"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Департамент внутренней политики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01D02D98"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789</w:t>
            </w:r>
          </w:p>
        </w:tc>
        <w:tc>
          <w:tcPr>
            <w:tcW w:w="1276" w:type="dxa"/>
            <w:tcBorders>
              <w:top w:val="nil"/>
              <w:left w:val="nil"/>
              <w:bottom w:val="single" w:sz="4" w:space="0" w:color="auto"/>
              <w:right w:val="single" w:sz="4" w:space="0" w:color="auto"/>
            </w:tcBorders>
            <w:shd w:val="clear" w:color="auto" w:fill="auto"/>
            <w:vAlign w:val="bottom"/>
          </w:tcPr>
          <w:p w14:paraId="2A71C52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764,84</w:t>
            </w:r>
          </w:p>
        </w:tc>
        <w:tc>
          <w:tcPr>
            <w:tcW w:w="850" w:type="dxa"/>
            <w:tcBorders>
              <w:top w:val="nil"/>
              <w:left w:val="nil"/>
              <w:bottom w:val="single" w:sz="4" w:space="0" w:color="auto"/>
              <w:right w:val="single" w:sz="4" w:space="0" w:color="auto"/>
            </w:tcBorders>
            <w:shd w:val="clear" w:color="auto" w:fill="auto"/>
            <w:vAlign w:val="bottom"/>
          </w:tcPr>
          <w:p w14:paraId="69A57E6D"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0,31</w:t>
            </w:r>
          </w:p>
        </w:tc>
        <w:tc>
          <w:tcPr>
            <w:tcW w:w="1307" w:type="dxa"/>
            <w:tcBorders>
              <w:top w:val="nil"/>
              <w:left w:val="nil"/>
              <w:bottom w:val="single" w:sz="4" w:space="0" w:color="auto"/>
              <w:right w:val="single" w:sz="4" w:space="0" w:color="auto"/>
            </w:tcBorders>
            <w:shd w:val="clear" w:color="auto" w:fill="auto"/>
            <w:vAlign w:val="bottom"/>
          </w:tcPr>
          <w:p w14:paraId="0CF005D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758,00</w:t>
            </w:r>
          </w:p>
        </w:tc>
        <w:tc>
          <w:tcPr>
            <w:tcW w:w="832" w:type="dxa"/>
            <w:tcBorders>
              <w:top w:val="nil"/>
              <w:left w:val="nil"/>
              <w:bottom w:val="single" w:sz="4" w:space="0" w:color="auto"/>
              <w:right w:val="single" w:sz="4" w:space="0" w:color="auto"/>
            </w:tcBorders>
            <w:shd w:val="clear" w:color="auto" w:fill="auto"/>
            <w:noWrap/>
            <w:vAlign w:val="bottom"/>
          </w:tcPr>
          <w:p w14:paraId="6F1D1F0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99,11</w:t>
            </w:r>
          </w:p>
        </w:tc>
        <w:tc>
          <w:tcPr>
            <w:tcW w:w="960" w:type="dxa"/>
            <w:tcBorders>
              <w:top w:val="nil"/>
              <w:left w:val="nil"/>
              <w:bottom w:val="single" w:sz="4" w:space="0" w:color="auto"/>
              <w:right w:val="single" w:sz="4" w:space="0" w:color="auto"/>
            </w:tcBorders>
            <w:shd w:val="clear" w:color="auto" w:fill="auto"/>
            <w:noWrap/>
            <w:vAlign w:val="bottom"/>
          </w:tcPr>
          <w:p w14:paraId="4B3C87DE"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0,32</w:t>
            </w:r>
          </w:p>
        </w:tc>
        <w:tc>
          <w:tcPr>
            <w:tcW w:w="1322" w:type="dxa"/>
            <w:tcBorders>
              <w:top w:val="nil"/>
              <w:left w:val="nil"/>
              <w:bottom w:val="single" w:sz="4" w:space="0" w:color="auto"/>
              <w:right w:val="single" w:sz="4" w:space="0" w:color="auto"/>
            </w:tcBorders>
            <w:shd w:val="clear" w:color="auto" w:fill="auto"/>
            <w:noWrap/>
            <w:vAlign w:val="bottom"/>
          </w:tcPr>
          <w:p w14:paraId="6C35233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6,84</w:t>
            </w:r>
          </w:p>
        </w:tc>
      </w:tr>
      <w:tr w:rsidR="00E47AA9" w:rsidRPr="00E47AA9" w14:paraId="33A8F3DF" w14:textId="77777777" w:rsidTr="00353702">
        <w:trPr>
          <w:trHeight w:val="241"/>
        </w:trPr>
        <w:tc>
          <w:tcPr>
            <w:tcW w:w="567" w:type="dxa"/>
            <w:tcBorders>
              <w:top w:val="nil"/>
              <w:left w:val="single" w:sz="4" w:space="0" w:color="auto"/>
              <w:bottom w:val="single" w:sz="4" w:space="0" w:color="auto"/>
              <w:right w:val="single" w:sz="4" w:space="0" w:color="auto"/>
            </w:tcBorders>
            <w:shd w:val="clear" w:color="auto" w:fill="auto"/>
            <w:vAlign w:val="bottom"/>
          </w:tcPr>
          <w:p w14:paraId="415BAA5A"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30</w:t>
            </w:r>
          </w:p>
        </w:tc>
        <w:tc>
          <w:tcPr>
            <w:tcW w:w="2410" w:type="dxa"/>
            <w:tcBorders>
              <w:top w:val="nil"/>
              <w:left w:val="nil"/>
              <w:bottom w:val="single" w:sz="4" w:space="0" w:color="auto"/>
              <w:right w:val="single" w:sz="4" w:space="0" w:color="auto"/>
            </w:tcBorders>
            <w:shd w:val="clear" w:color="auto" w:fill="auto"/>
            <w:vAlign w:val="bottom"/>
          </w:tcPr>
          <w:p w14:paraId="74A321BF"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Агентство международного сотрудничества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3152A189"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793</w:t>
            </w:r>
          </w:p>
        </w:tc>
        <w:tc>
          <w:tcPr>
            <w:tcW w:w="1276" w:type="dxa"/>
            <w:tcBorders>
              <w:top w:val="nil"/>
              <w:left w:val="nil"/>
              <w:bottom w:val="single" w:sz="4" w:space="0" w:color="auto"/>
              <w:right w:val="single" w:sz="4" w:space="0" w:color="auto"/>
            </w:tcBorders>
            <w:shd w:val="clear" w:color="auto" w:fill="auto"/>
            <w:vAlign w:val="bottom"/>
          </w:tcPr>
          <w:p w14:paraId="4A0BD61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46,74</w:t>
            </w:r>
          </w:p>
        </w:tc>
        <w:tc>
          <w:tcPr>
            <w:tcW w:w="850" w:type="dxa"/>
            <w:tcBorders>
              <w:top w:val="nil"/>
              <w:left w:val="nil"/>
              <w:bottom w:val="single" w:sz="4" w:space="0" w:color="auto"/>
              <w:right w:val="single" w:sz="4" w:space="0" w:color="auto"/>
            </w:tcBorders>
            <w:shd w:val="clear" w:color="auto" w:fill="auto"/>
            <w:vAlign w:val="bottom"/>
          </w:tcPr>
          <w:p w14:paraId="43202716"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0,02</w:t>
            </w:r>
          </w:p>
        </w:tc>
        <w:tc>
          <w:tcPr>
            <w:tcW w:w="1307" w:type="dxa"/>
            <w:tcBorders>
              <w:top w:val="nil"/>
              <w:left w:val="nil"/>
              <w:bottom w:val="single" w:sz="4" w:space="0" w:color="auto"/>
              <w:right w:val="single" w:sz="4" w:space="0" w:color="auto"/>
            </w:tcBorders>
            <w:shd w:val="clear" w:color="auto" w:fill="auto"/>
            <w:vAlign w:val="bottom"/>
          </w:tcPr>
          <w:p w14:paraId="438859D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46,46</w:t>
            </w:r>
          </w:p>
        </w:tc>
        <w:tc>
          <w:tcPr>
            <w:tcW w:w="832" w:type="dxa"/>
            <w:tcBorders>
              <w:top w:val="nil"/>
              <w:left w:val="nil"/>
              <w:bottom w:val="single" w:sz="4" w:space="0" w:color="auto"/>
              <w:right w:val="single" w:sz="4" w:space="0" w:color="auto"/>
            </w:tcBorders>
            <w:shd w:val="clear" w:color="auto" w:fill="auto"/>
            <w:noWrap/>
            <w:vAlign w:val="bottom"/>
          </w:tcPr>
          <w:p w14:paraId="60EABD8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99,40</w:t>
            </w:r>
          </w:p>
        </w:tc>
        <w:tc>
          <w:tcPr>
            <w:tcW w:w="960" w:type="dxa"/>
            <w:tcBorders>
              <w:top w:val="nil"/>
              <w:left w:val="nil"/>
              <w:bottom w:val="single" w:sz="4" w:space="0" w:color="auto"/>
              <w:right w:val="single" w:sz="4" w:space="0" w:color="auto"/>
            </w:tcBorders>
            <w:shd w:val="clear" w:color="auto" w:fill="auto"/>
            <w:noWrap/>
            <w:vAlign w:val="bottom"/>
          </w:tcPr>
          <w:p w14:paraId="2875E7FE"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0,02</w:t>
            </w:r>
          </w:p>
        </w:tc>
        <w:tc>
          <w:tcPr>
            <w:tcW w:w="1322" w:type="dxa"/>
            <w:tcBorders>
              <w:top w:val="nil"/>
              <w:left w:val="nil"/>
              <w:bottom w:val="single" w:sz="4" w:space="0" w:color="auto"/>
              <w:right w:val="single" w:sz="4" w:space="0" w:color="auto"/>
            </w:tcBorders>
            <w:shd w:val="clear" w:color="auto" w:fill="auto"/>
            <w:noWrap/>
            <w:vAlign w:val="bottom"/>
          </w:tcPr>
          <w:p w14:paraId="4E51D017"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0,28</w:t>
            </w:r>
          </w:p>
        </w:tc>
      </w:tr>
      <w:tr w:rsidR="00E47AA9" w:rsidRPr="00E47AA9" w14:paraId="7B223C3B" w14:textId="77777777" w:rsidTr="00353702">
        <w:trPr>
          <w:trHeight w:val="399"/>
        </w:trPr>
        <w:tc>
          <w:tcPr>
            <w:tcW w:w="567" w:type="dxa"/>
            <w:tcBorders>
              <w:top w:val="nil"/>
              <w:left w:val="single" w:sz="4" w:space="0" w:color="auto"/>
              <w:bottom w:val="single" w:sz="4" w:space="0" w:color="auto"/>
              <w:right w:val="single" w:sz="4" w:space="0" w:color="auto"/>
            </w:tcBorders>
            <w:shd w:val="clear" w:color="auto" w:fill="auto"/>
            <w:vAlign w:val="bottom"/>
          </w:tcPr>
          <w:p w14:paraId="73A092F7"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31</w:t>
            </w:r>
          </w:p>
        </w:tc>
        <w:tc>
          <w:tcPr>
            <w:tcW w:w="2410" w:type="dxa"/>
            <w:tcBorders>
              <w:top w:val="nil"/>
              <w:left w:val="nil"/>
              <w:bottom w:val="single" w:sz="4" w:space="0" w:color="auto"/>
              <w:right w:val="single" w:sz="4" w:space="0" w:color="auto"/>
            </w:tcBorders>
            <w:shd w:val="clear" w:color="auto" w:fill="auto"/>
            <w:vAlign w:val="bottom"/>
          </w:tcPr>
          <w:p w14:paraId="72330F94"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Государственная жилищная инспекция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2BE998BA"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795</w:t>
            </w:r>
          </w:p>
        </w:tc>
        <w:tc>
          <w:tcPr>
            <w:tcW w:w="1276" w:type="dxa"/>
            <w:tcBorders>
              <w:top w:val="nil"/>
              <w:left w:val="nil"/>
              <w:bottom w:val="single" w:sz="4" w:space="0" w:color="auto"/>
              <w:right w:val="single" w:sz="4" w:space="0" w:color="auto"/>
            </w:tcBorders>
            <w:shd w:val="clear" w:color="auto" w:fill="auto"/>
            <w:vAlign w:val="bottom"/>
          </w:tcPr>
          <w:p w14:paraId="3B94EA1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93,83</w:t>
            </w:r>
          </w:p>
        </w:tc>
        <w:tc>
          <w:tcPr>
            <w:tcW w:w="850" w:type="dxa"/>
            <w:tcBorders>
              <w:top w:val="nil"/>
              <w:left w:val="nil"/>
              <w:bottom w:val="single" w:sz="4" w:space="0" w:color="auto"/>
              <w:right w:val="single" w:sz="4" w:space="0" w:color="auto"/>
            </w:tcBorders>
            <w:shd w:val="clear" w:color="auto" w:fill="auto"/>
            <w:vAlign w:val="bottom"/>
          </w:tcPr>
          <w:p w14:paraId="5AE4677D"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0,04</w:t>
            </w:r>
          </w:p>
        </w:tc>
        <w:tc>
          <w:tcPr>
            <w:tcW w:w="1307" w:type="dxa"/>
            <w:tcBorders>
              <w:top w:val="nil"/>
              <w:left w:val="nil"/>
              <w:bottom w:val="single" w:sz="4" w:space="0" w:color="auto"/>
              <w:right w:val="single" w:sz="4" w:space="0" w:color="auto"/>
            </w:tcBorders>
            <w:shd w:val="clear" w:color="auto" w:fill="auto"/>
            <w:vAlign w:val="bottom"/>
          </w:tcPr>
          <w:p w14:paraId="0763140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90,28</w:t>
            </w:r>
          </w:p>
        </w:tc>
        <w:tc>
          <w:tcPr>
            <w:tcW w:w="832" w:type="dxa"/>
            <w:tcBorders>
              <w:top w:val="nil"/>
              <w:left w:val="nil"/>
              <w:bottom w:val="single" w:sz="4" w:space="0" w:color="auto"/>
              <w:right w:val="single" w:sz="4" w:space="0" w:color="auto"/>
            </w:tcBorders>
            <w:shd w:val="clear" w:color="auto" w:fill="auto"/>
            <w:noWrap/>
            <w:vAlign w:val="bottom"/>
          </w:tcPr>
          <w:p w14:paraId="7F0446C7"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96,22</w:t>
            </w:r>
          </w:p>
        </w:tc>
        <w:tc>
          <w:tcPr>
            <w:tcW w:w="960" w:type="dxa"/>
            <w:tcBorders>
              <w:top w:val="nil"/>
              <w:left w:val="nil"/>
              <w:bottom w:val="single" w:sz="4" w:space="0" w:color="auto"/>
              <w:right w:val="single" w:sz="4" w:space="0" w:color="auto"/>
            </w:tcBorders>
            <w:shd w:val="clear" w:color="auto" w:fill="auto"/>
            <w:noWrap/>
            <w:vAlign w:val="bottom"/>
          </w:tcPr>
          <w:p w14:paraId="621C3242"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0,04</w:t>
            </w:r>
          </w:p>
        </w:tc>
        <w:tc>
          <w:tcPr>
            <w:tcW w:w="1322" w:type="dxa"/>
            <w:tcBorders>
              <w:top w:val="nil"/>
              <w:left w:val="nil"/>
              <w:bottom w:val="single" w:sz="4" w:space="0" w:color="auto"/>
              <w:right w:val="single" w:sz="4" w:space="0" w:color="auto"/>
            </w:tcBorders>
            <w:shd w:val="clear" w:color="auto" w:fill="auto"/>
            <w:noWrap/>
            <w:vAlign w:val="bottom"/>
          </w:tcPr>
          <w:p w14:paraId="6EC0F27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3,55</w:t>
            </w:r>
          </w:p>
        </w:tc>
      </w:tr>
      <w:tr w:rsidR="00E47AA9" w:rsidRPr="00E47AA9" w14:paraId="1FB8F555" w14:textId="77777777" w:rsidTr="00353702">
        <w:trPr>
          <w:trHeight w:val="245"/>
        </w:trPr>
        <w:tc>
          <w:tcPr>
            <w:tcW w:w="567" w:type="dxa"/>
            <w:tcBorders>
              <w:top w:val="nil"/>
              <w:left w:val="single" w:sz="4" w:space="0" w:color="auto"/>
              <w:bottom w:val="single" w:sz="4" w:space="0" w:color="auto"/>
              <w:right w:val="single" w:sz="4" w:space="0" w:color="auto"/>
            </w:tcBorders>
            <w:shd w:val="clear" w:color="auto" w:fill="auto"/>
            <w:vAlign w:val="bottom"/>
          </w:tcPr>
          <w:p w14:paraId="6B6D9971"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32</w:t>
            </w:r>
          </w:p>
        </w:tc>
        <w:tc>
          <w:tcPr>
            <w:tcW w:w="2410" w:type="dxa"/>
            <w:tcBorders>
              <w:top w:val="nil"/>
              <w:left w:val="nil"/>
              <w:bottom w:val="single" w:sz="4" w:space="0" w:color="auto"/>
              <w:right w:val="single" w:sz="4" w:space="0" w:color="auto"/>
            </w:tcBorders>
            <w:shd w:val="clear" w:color="auto" w:fill="auto"/>
            <w:vAlign w:val="bottom"/>
          </w:tcPr>
          <w:p w14:paraId="66A4878C"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по регулированию контрактной системы в сфере закупок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50F0FDAB"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796</w:t>
            </w:r>
          </w:p>
        </w:tc>
        <w:tc>
          <w:tcPr>
            <w:tcW w:w="1276" w:type="dxa"/>
            <w:tcBorders>
              <w:top w:val="nil"/>
              <w:left w:val="nil"/>
              <w:bottom w:val="single" w:sz="4" w:space="0" w:color="auto"/>
              <w:right w:val="single" w:sz="4" w:space="0" w:color="auto"/>
            </w:tcBorders>
            <w:shd w:val="clear" w:color="auto" w:fill="auto"/>
            <w:vAlign w:val="bottom"/>
          </w:tcPr>
          <w:p w14:paraId="484073F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154,59</w:t>
            </w:r>
          </w:p>
        </w:tc>
        <w:tc>
          <w:tcPr>
            <w:tcW w:w="850" w:type="dxa"/>
            <w:tcBorders>
              <w:top w:val="nil"/>
              <w:left w:val="nil"/>
              <w:bottom w:val="single" w:sz="4" w:space="0" w:color="auto"/>
              <w:right w:val="single" w:sz="4" w:space="0" w:color="auto"/>
            </w:tcBorders>
            <w:shd w:val="clear" w:color="auto" w:fill="auto"/>
            <w:vAlign w:val="bottom"/>
          </w:tcPr>
          <w:p w14:paraId="6BADCBAE"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0,06</w:t>
            </w:r>
          </w:p>
        </w:tc>
        <w:tc>
          <w:tcPr>
            <w:tcW w:w="1307" w:type="dxa"/>
            <w:tcBorders>
              <w:top w:val="nil"/>
              <w:left w:val="nil"/>
              <w:bottom w:val="single" w:sz="4" w:space="0" w:color="auto"/>
              <w:right w:val="single" w:sz="4" w:space="0" w:color="auto"/>
            </w:tcBorders>
            <w:shd w:val="clear" w:color="auto" w:fill="auto"/>
            <w:vAlign w:val="bottom"/>
          </w:tcPr>
          <w:p w14:paraId="056BC33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153,77</w:t>
            </w:r>
          </w:p>
        </w:tc>
        <w:tc>
          <w:tcPr>
            <w:tcW w:w="832" w:type="dxa"/>
            <w:tcBorders>
              <w:top w:val="nil"/>
              <w:left w:val="nil"/>
              <w:bottom w:val="single" w:sz="4" w:space="0" w:color="auto"/>
              <w:right w:val="single" w:sz="4" w:space="0" w:color="auto"/>
            </w:tcBorders>
            <w:shd w:val="clear" w:color="auto" w:fill="auto"/>
            <w:noWrap/>
            <w:vAlign w:val="bottom"/>
          </w:tcPr>
          <w:p w14:paraId="122C7870"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99,47</w:t>
            </w:r>
          </w:p>
        </w:tc>
        <w:tc>
          <w:tcPr>
            <w:tcW w:w="960" w:type="dxa"/>
            <w:tcBorders>
              <w:top w:val="nil"/>
              <w:left w:val="nil"/>
              <w:bottom w:val="single" w:sz="4" w:space="0" w:color="auto"/>
              <w:right w:val="single" w:sz="4" w:space="0" w:color="auto"/>
            </w:tcBorders>
            <w:shd w:val="clear" w:color="auto" w:fill="auto"/>
            <w:noWrap/>
            <w:vAlign w:val="bottom"/>
          </w:tcPr>
          <w:p w14:paraId="4F150C4C"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0,06</w:t>
            </w:r>
          </w:p>
        </w:tc>
        <w:tc>
          <w:tcPr>
            <w:tcW w:w="1322" w:type="dxa"/>
            <w:tcBorders>
              <w:top w:val="nil"/>
              <w:left w:val="nil"/>
              <w:bottom w:val="single" w:sz="4" w:space="0" w:color="auto"/>
              <w:right w:val="single" w:sz="4" w:space="0" w:color="auto"/>
            </w:tcBorders>
            <w:shd w:val="clear" w:color="auto" w:fill="auto"/>
            <w:noWrap/>
            <w:vAlign w:val="bottom"/>
          </w:tcPr>
          <w:p w14:paraId="75858E8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0,82</w:t>
            </w:r>
          </w:p>
        </w:tc>
      </w:tr>
      <w:tr w:rsidR="00E47AA9" w:rsidRPr="00E47AA9" w14:paraId="71D3ED74" w14:textId="77777777" w:rsidTr="00353702">
        <w:trPr>
          <w:trHeight w:val="245"/>
        </w:trPr>
        <w:tc>
          <w:tcPr>
            <w:tcW w:w="567" w:type="dxa"/>
            <w:tcBorders>
              <w:top w:val="nil"/>
              <w:left w:val="single" w:sz="4" w:space="0" w:color="auto"/>
              <w:bottom w:val="single" w:sz="4" w:space="0" w:color="auto"/>
              <w:right w:val="single" w:sz="4" w:space="0" w:color="auto"/>
            </w:tcBorders>
            <w:shd w:val="clear" w:color="auto" w:fill="auto"/>
            <w:vAlign w:val="bottom"/>
          </w:tcPr>
          <w:p w14:paraId="15A88B22"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33</w:t>
            </w:r>
          </w:p>
        </w:tc>
        <w:tc>
          <w:tcPr>
            <w:tcW w:w="2410" w:type="dxa"/>
            <w:tcBorders>
              <w:top w:val="nil"/>
              <w:left w:val="nil"/>
              <w:bottom w:val="single" w:sz="4" w:space="0" w:color="auto"/>
              <w:right w:val="single" w:sz="4" w:space="0" w:color="auto"/>
            </w:tcBorders>
            <w:shd w:val="clear" w:color="auto" w:fill="auto"/>
            <w:vAlign w:val="bottom"/>
          </w:tcPr>
          <w:p w14:paraId="7DEE553D"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Департамент по защите государственной тайны, информационной безопасности и мобилизационной подготовки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3B4906B6"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797</w:t>
            </w:r>
          </w:p>
        </w:tc>
        <w:tc>
          <w:tcPr>
            <w:tcW w:w="1276" w:type="dxa"/>
            <w:tcBorders>
              <w:top w:val="nil"/>
              <w:left w:val="nil"/>
              <w:bottom w:val="single" w:sz="4" w:space="0" w:color="auto"/>
              <w:right w:val="single" w:sz="4" w:space="0" w:color="auto"/>
            </w:tcBorders>
            <w:shd w:val="clear" w:color="auto" w:fill="auto"/>
            <w:vAlign w:val="bottom"/>
          </w:tcPr>
          <w:p w14:paraId="7B93503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63,71</w:t>
            </w:r>
          </w:p>
        </w:tc>
        <w:tc>
          <w:tcPr>
            <w:tcW w:w="850" w:type="dxa"/>
            <w:tcBorders>
              <w:top w:val="nil"/>
              <w:left w:val="nil"/>
              <w:bottom w:val="single" w:sz="4" w:space="0" w:color="auto"/>
              <w:right w:val="single" w:sz="4" w:space="0" w:color="auto"/>
            </w:tcBorders>
            <w:shd w:val="clear" w:color="auto" w:fill="auto"/>
            <w:vAlign w:val="bottom"/>
          </w:tcPr>
          <w:p w14:paraId="5D78BDCB"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0,03</w:t>
            </w:r>
          </w:p>
        </w:tc>
        <w:tc>
          <w:tcPr>
            <w:tcW w:w="1307" w:type="dxa"/>
            <w:tcBorders>
              <w:top w:val="nil"/>
              <w:left w:val="nil"/>
              <w:bottom w:val="single" w:sz="4" w:space="0" w:color="auto"/>
              <w:right w:val="single" w:sz="4" w:space="0" w:color="auto"/>
            </w:tcBorders>
            <w:shd w:val="clear" w:color="auto" w:fill="auto"/>
            <w:vAlign w:val="bottom"/>
          </w:tcPr>
          <w:p w14:paraId="7C160BF4"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63,71</w:t>
            </w:r>
          </w:p>
        </w:tc>
        <w:tc>
          <w:tcPr>
            <w:tcW w:w="832" w:type="dxa"/>
            <w:tcBorders>
              <w:top w:val="nil"/>
              <w:left w:val="nil"/>
              <w:bottom w:val="single" w:sz="4" w:space="0" w:color="auto"/>
              <w:right w:val="single" w:sz="4" w:space="0" w:color="auto"/>
            </w:tcBorders>
            <w:shd w:val="clear" w:color="auto" w:fill="auto"/>
            <w:noWrap/>
            <w:vAlign w:val="bottom"/>
          </w:tcPr>
          <w:p w14:paraId="74D58F77"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100,00</w:t>
            </w:r>
          </w:p>
        </w:tc>
        <w:tc>
          <w:tcPr>
            <w:tcW w:w="960" w:type="dxa"/>
            <w:tcBorders>
              <w:top w:val="nil"/>
              <w:left w:val="nil"/>
              <w:bottom w:val="single" w:sz="4" w:space="0" w:color="auto"/>
              <w:right w:val="single" w:sz="4" w:space="0" w:color="auto"/>
            </w:tcBorders>
            <w:shd w:val="clear" w:color="auto" w:fill="auto"/>
            <w:noWrap/>
            <w:vAlign w:val="bottom"/>
          </w:tcPr>
          <w:p w14:paraId="3FEDC3F0"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0,03</w:t>
            </w:r>
          </w:p>
        </w:tc>
        <w:tc>
          <w:tcPr>
            <w:tcW w:w="1322" w:type="dxa"/>
            <w:tcBorders>
              <w:top w:val="nil"/>
              <w:left w:val="nil"/>
              <w:bottom w:val="single" w:sz="4" w:space="0" w:color="auto"/>
              <w:right w:val="single" w:sz="4" w:space="0" w:color="auto"/>
            </w:tcBorders>
            <w:shd w:val="clear" w:color="auto" w:fill="auto"/>
            <w:noWrap/>
            <w:vAlign w:val="bottom"/>
          </w:tcPr>
          <w:p w14:paraId="1F82A3D5"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7C184D64" w14:textId="77777777" w:rsidTr="00353702">
        <w:trPr>
          <w:trHeight w:val="651"/>
        </w:trPr>
        <w:tc>
          <w:tcPr>
            <w:tcW w:w="567" w:type="dxa"/>
            <w:tcBorders>
              <w:top w:val="nil"/>
              <w:left w:val="single" w:sz="4" w:space="0" w:color="auto"/>
              <w:bottom w:val="single" w:sz="4" w:space="0" w:color="auto"/>
              <w:right w:val="single" w:sz="4" w:space="0" w:color="auto"/>
            </w:tcBorders>
            <w:shd w:val="clear" w:color="auto" w:fill="auto"/>
            <w:vAlign w:val="bottom"/>
          </w:tcPr>
          <w:p w14:paraId="6A497B7E"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34</w:t>
            </w:r>
          </w:p>
        </w:tc>
        <w:tc>
          <w:tcPr>
            <w:tcW w:w="2410" w:type="dxa"/>
            <w:tcBorders>
              <w:top w:val="nil"/>
              <w:left w:val="nil"/>
              <w:bottom w:val="single" w:sz="4" w:space="0" w:color="auto"/>
              <w:right w:val="single" w:sz="4" w:space="0" w:color="auto"/>
            </w:tcBorders>
            <w:shd w:val="clear" w:color="auto" w:fill="auto"/>
            <w:vAlign w:val="bottom"/>
          </w:tcPr>
          <w:p w14:paraId="20137076"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Агентство проектного управления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24CE109F"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798</w:t>
            </w:r>
          </w:p>
        </w:tc>
        <w:tc>
          <w:tcPr>
            <w:tcW w:w="1276" w:type="dxa"/>
            <w:tcBorders>
              <w:top w:val="nil"/>
              <w:left w:val="nil"/>
              <w:bottom w:val="single" w:sz="4" w:space="0" w:color="auto"/>
              <w:right w:val="single" w:sz="4" w:space="0" w:color="auto"/>
            </w:tcBorders>
            <w:shd w:val="clear" w:color="auto" w:fill="auto"/>
            <w:vAlign w:val="bottom"/>
          </w:tcPr>
          <w:p w14:paraId="10606E9E"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258,93</w:t>
            </w:r>
          </w:p>
        </w:tc>
        <w:tc>
          <w:tcPr>
            <w:tcW w:w="850" w:type="dxa"/>
            <w:tcBorders>
              <w:top w:val="nil"/>
              <w:left w:val="nil"/>
              <w:bottom w:val="single" w:sz="4" w:space="0" w:color="auto"/>
              <w:right w:val="single" w:sz="4" w:space="0" w:color="auto"/>
            </w:tcBorders>
            <w:shd w:val="clear" w:color="auto" w:fill="auto"/>
            <w:vAlign w:val="bottom"/>
          </w:tcPr>
          <w:p w14:paraId="5E80687B"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0,11</w:t>
            </w:r>
          </w:p>
        </w:tc>
        <w:tc>
          <w:tcPr>
            <w:tcW w:w="1307" w:type="dxa"/>
            <w:tcBorders>
              <w:top w:val="nil"/>
              <w:left w:val="nil"/>
              <w:bottom w:val="single" w:sz="4" w:space="0" w:color="auto"/>
              <w:right w:val="single" w:sz="4" w:space="0" w:color="auto"/>
            </w:tcBorders>
            <w:shd w:val="clear" w:color="auto" w:fill="auto"/>
            <w:vAlign w:val="bottom"/>
          </w:tcPr>
          <w:p w14:paraId="7F3522A7"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257,39</w:t>
            </w:r>
          </w:p>
        </w:tc>
        <w:tc>
          <w:tcPr>
            <w:tcW w:w="832" w:type="dxa"/>
            <w:tcBorders>
              <w:top w:val="nil"/>
              <w:left w:val="nil"/>
              <w:bottom w:val="single" w:sz="4" w:space="0" w:color="auto"/>
              <w:right w:val="single" w:sz="4" w:space="0" w:color="auto"/>
            </w:tcBorders>
            <w:shd w:val="clear" w:color="auto" w:fill="auto"/>
            <w:noWrap/>
            <w:vAlign w:val="bottom"/>
          </w:tcPr>
          <w:p w14:paraId="347F570E"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99,41</w:t>
            </w:r>
          </w:p>
        </w:tc>
        <w:tc>
          <w:tcPr>
            <w:tcW w:w="960" w:type="dxa"/>
            <w:tcBorders>
              <w:top w:val="nil"/>
              <w:left w:val="nil"/>
              <w:bottom w:val="single" w:sz="4" w:space="0" w:color="auto"/>
              <w:right w:val="single" w:sz="4" w:space="0" w:color="auto"/>
            </w:tcBorders>
            <w:shd w:val="clear" w:color="auto" w:fill="auto"/>
            <w:noWrap/>
            <w:vAlign w:val="bottom"/>
          </w:tcPr>
          <w:p w14:paraId="143B8DA1"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0,11</w:t>
            </w:r>
          </w:p>
        </w:tc>
        <w:tc>
          <w:tcPr>
            <w:tcW w:w="1322" w:type="dxa"/>
            <w:tcBorders>
              <w:top w:val="nil"/>
              <w:left w:val="nil"/>
              <w:bottom w:val="single" w:sz="4" w:space="0" w:color="auto"/>
              <w:right w:val="single" w:sz="4" w:space="0" w:color="auto"/>
            </w:tcBorders>
            <w:shd w:val="clear" w:color="auto" w:fill="auto"/>
            <w:noWrap/>
            <w:vAlign w:val="bottom"/>
          </w:tcPr>
          <w:p w14:paraId="4BB50F4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1,54</w:t>
            </w:r>
          </w:p>
        </w:tc>
      </w:tr>
      <w:tr w:rsidR="00E47AA9" w:rsidRPr="00E47AA9" w14:paraId="3288B132" w14:textId="77777777" w:rsidTr="00353702">
        <w:trPr>
          <w:trHeight w:val="147"/>
        </w:trPr>
        <w:tc>
          <w:tcPr>
            <w:tcW w:w="567" w:type="dxa"/>
            <w:tcBorders>
              <w:top w:val="nil"/>
              <w:left w:val="single" w:sz="4" w:space="0" w:color="auto"/>
              <w:bottom w:val="single" w:sz="4" w:space="0" w:color="auto"/>
              <w:right w:val="single" w:sz="4" w:space="0" w:color="auto"/>
            </w:tcBorders>
            <w:shd w:val="clear" w:color="auto" w:fill="auto"/>
            <w:vAlign w:val="bottom"/>
          </w:tcPr>
          <w:p w14:paraId="4B5DE86B"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35</w:t>
            </w:r>
          </w:p>
        </w:tc>
        <w:tc>
          <w:tcPr>
            <w:tcW w:w="2410" w:type="dxa"/>
            <w:tcBorders>
              <w:top w:val="nil"/>
              <w:left w:val="nil"/>
              <w:bottom w:val="single" w:sz="4" w:space="0" w:color="auto"/>
              <w:right w:val="single" w:sz="4" w:space="0" w:color="auto"/>
            </w:tcBorders>
            <w:shd w:val="clear" w:color="auto" w:fill="auto"/>
            <w:vAlign w:val="bottom"/>
          </w:tcPr>
          <w:p w14:paraId="6CAA2AB5"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Инспекция по охране объектов культурного наследия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573559CA"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799</w:t>
            </w:r>
          </w:p>
        </w:tc>
        <w:tc>
          <w:tcPr>
            <w:tcW w:w="1276" w:type="dxa"/>
            <w:tcBorders>
              <w:top w:val="nil"/>
              <w:left w:val="nil"/>
              <w:bottom w:val="single" w:sz="4" w:space="0" w:color="auto"/>
              <w:right w:val="single" w:sz="4" w:space="0" w:color="auto"/>
            </w:tcBorders>
            <w:shd w:val="clear" w:color="auto" w:fill="auto"/>
            <w:vAlign w:val="bottom"/>
          </w:tcPr>
          <w:p w14:paraId="34C273EC"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94,10</w:t>
            </w:r>
          </w:p>
        </w:tc>
        <w:tc>
          <w:tcPr>
            <w:tcW w:w="850" w:type="dxa"/>
            <w:tcBorders>
              <w:top w:val="nil"/>
              <w:left w:val="nil"/>
              <w:bottom w:val="single" w:sz="4" w:space="0" w:color="auto"/>
              <w:right w:val="single" w:sz="4" w:space="0" w:color="auto"/>
            </w:tcBorders>
            <w:shd w:val="clear" w:color="auto" w:fill="auto"/>
            <w:vAlign w:val="bottom"/>
          </w:tcPr>
          <w:p w14:paraId="22E600E6"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0,04</w:t>
            </w:r>
          </w:p>
        </w:tc>
        <w:tc>
          <w:tcPr>
            <w:tcW w:w="1307" w:type="dxa"/>
            <w:tcBorders>
              <w:top w:val="nil"/>
              <w:left w:val="nil"/>
              <w:bottom w:val="single" w:sz="4" w:space="0" w:color="auto"/>
              <w:right w:val="single" w:sz="4" w:space="0" w:color="auto"/>
            </w:tcBorders>
            <w:shd w:val="clear" w:color="auto" w:fill="auto"/>
            <w:vAlign w:val="bottom"/>
          </w:tcPr>
          <w:p w14:paraId="6CBD3B10"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94,10</w:t>
            </w:r>
          </w:p>
        </w:tc>
        <w:tc>
          <w:tcPr>
            <w:tcW w:w="832" w:type="dxa"/>
            <w:tcBorders>
              <w:top w:val="nil"/>
              <w:left w:val="nil"/>
              <w:bottom w:val="single" w:sz="4" w:space="0" w:color="auto"/>
              <w:right w:val="single" w:sz="4" w:space="0" w:color="auto"/>
            </w:tcBorders>
            <w:shd w:val="clear" w:color="auto" w:fill="auto"/>
            <w:noWrap/>
            <w:vAlign w:val="bottom"/>
          </w:tcPr>
          <w:p w14:paraId="328FC7E7"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100,00</w:t>
            </w:r>
          </w:p>
        </w:tc>
        <w:tc>
          <w:tcPr>
            <w:tcW w:w="960" w:type="dxa"/>
            <w:tcBorders>
              <w:top w:val="nil"/>
              <w:left w:val="nil"/>
              <w:bottom w:val="single" w:sz="4" w:space="0" w:color="auto"/>
              <w:right w:val="single" w:sz="4" w:space="0" w:color="auto"/>
            </w:tcBorders>
            <w:shd w:val="clear" w:color="auto" w:fill="auto"/>
            <w:noWrap/>
            <w:vAlign w:val="bottom"/>
          </w:tcPr>
          <w:p w14:paraId="50F4C2C2"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0,04</w:t>
            </w:r>
          </w:p>
        </w:tc>
        <w:tc>
          <w:tcPr>
            <w:tcW w:w="1322" w:type="dxa"/>
            <w:tcBorders>
              <w:top w:val="nil"/>
              <w:left w:val="nil"/>
              <w:bottom w:val="single" w:sz="4" w:space="0" w:color="auto"/>
              <w:right w:val="single" w:sz="4" w:space="0" w:color="auto"/>
            </w:tcBorders>
            <w:shd w:val="clear" w:color="auto" w:fill="auto"/>
            <w:noWrap/>
            <w:vAlign w:val="bottom"/>
          </w:tcPr>
          <w:p w14:paraId="58E05E26"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5C6400AD" w14:textId="77777777" w:rsidTr="00353702">
        <w:trPr>
          <w:trHeight w:val="383"/>
        </w:trPr>
        <w:tc>
          <w:tcPr>
            <w:tcW w:w="567" w:type="dxa"/>
            <w:tcBorders>
              <w:top w:val="nil"/>
              <w:left w:val="single" w:sz="4" w:space="0" w:color="auto"/>
              <w:bottom w:val="single" w:sz="4" w:space="0" w:color="auto"/>
              <w:right w:val="single" w:sz="4" w:space="0" w:color="auto"/>
            </w:tcBorders>
            <w:shd w:val="clear" w:color="auto" w:fill="auto"/>
            <w:vAlign w:val="bottom"/>
          </w:tcPr>
          <w:p w14:paraId="41029964"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lastRenderedPageBreak/>
              <w:t>36</w:t>
            </w:r>
          </w:p>
        </w:tc>
        <w:tc>
          <w:tcPr>
            <w:tcW w:w="2410" w:type="dxa"/>
            <w:tcBorders>
              <w:top w:val="nil"/>
              <w:left w:val="nil"/>
              <w:bottom w:val="single" w:sz="4" w:space="0" w:color="auto"/>
              <w:right w:val="single" w:sz="4" w:space="0" w:color="auto"/>
            </w:tcBorders>
            <w:shd w:val="clear" w:color="auto" w:fill="auto"/>
            <w:vAlign w:val="bottom"/>
          </w:tcPr>
          <w:p w14:paraId="1BC35D15"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Уполномоченный по правам ребенка в Приморском крае</w:t>
            </w:r>
          </w:p>
        </w:tc>
        <w:tc>
          <w:tcPr>
            <w:tcW w:w="709" w:type="dxa"/>
            <w:tcBorders>
              <w:top w:val="nil"/>
              <w:left w:val="nil"/>
              <w:bottom w:val="single" w:sz="4" w:space="0" w:color="auto"/>
              <w:right w:val="single" w:sz="4" w:space="0" w:color="auto"/>
            </w:tcBorders>
            <w:shd w:val="clear" w:color="auto" w:fill="auto"/>
            <w:noWrap/>
            <w:vAlign w:val="bottom"/>
          </w:tcPr>
          <w:p w14:paraId="30D6BA9C"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805</w:t>
            </w:r>
          </w:p>
        </w:tc>
        <w:tc>
          <w:tcPr>
            <w:tcW w:w="1276" w:type="dxa"/>
            <w:tcBorders>
              <w:top w:val="nil"/>
              <w:left w:val="nil"/>
              <w:bottom w:val="single" w:sz="4" w:space="0" w:color="auto"/>
              <w:right w:val="single" w:sz="4" w:space="0" w:color="auto"/>
            </w:tcBorders>
            <w:shd w:val="clear" w:color="auto" w:fill="auto"/>
            <w:vAlign w:val="bottom"/>
          </w:tcPr>
          <w:p w14:paraId="38C1AD3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11,25</w:t>
            </w:r>
          </w:p>
        </w:tc>
        <w:tc>
          <w:tcPr>
            <w:tcW w:w="850" w:type="dxa"/>
            <w:tcBorders>
              <w:top w:val="nil"/>
              <w:left w:val="nil"/>
              <w:bottom w:val="single" w:sz="4" w:space="0" w:color="auto"/>
              <w:right w:val="single" w:sz="4" w:space="0" w:color="auto"/>
            </w:tcBorders>
            <w:shd w:val="clear" w:color="auto" w:fill="auto"/>
            <w:vAlign w:val="bottom"/>
          </w:tcPr>
          <w:p w14:paraId="791E0551"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0,00</w:t>
            </w:r>
          </w:p>
        </w:tc>
        <w:tc>
          <w:tcPr>
            <w:tcW w:w="1307" w:type="dxa"/>
            <w:tcBorders>
              <w:top w:val="nil"/>
              <w:left w:val="nil"/>
              <w:bottom w:val="single" w:sz="4" w:space="0" w:color="auto"/>
              <w:right w:val="single" w:sz="4" w:space="0" w:color="auto"/>
            </w:tcBorders>
            <w:shd w:val="clear" w:color="auto" w:fill="auto"/>
            <w:vAlign w:val="bottom"/>
          </w:tcPr>
          <w:p w14:paraId="0FBEF06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11,24</w:t>
            </w:r>
          </w:p>
        </w:tc>
        <w:tc>
          <w:tcPr>
            <w:tcW w:w="832" w:type="dxa"/>
            <w:tcBorders>
              <w:top w:val="nil"/>
              <w:left w:val="nil"/>
              <w:bottom w:val="single" w:sz="4" w:space="0" w:color="auto"/>
              <w:right w:val="single" w:sz="4" w:space="0" w:color="auto"/>
            </w:tcBorders>
            <w:shd w:val="clear" w:color="auto" w:fill="auto"/>
            <w:noWrap/>
            <w:vAlign w:val="bottom"/>
          </w:tcPr>
          <w:p w14:paraId="2B1A9D7B"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99,93</w:t>
            </w:r>
          </w:p>
        </w:tc>
        <w:tc>
          <w:tcPr>
            <w:tcW w:w="960" w:type="dxa"/>
            <w:tcBorders>
              <w:top w:val="nil"/>
              <w:left w:val="nil"/>
              <w:bottom w:val="single" w:sz="4" w:space="0" w:color="auto"/>
              <w:right w:val="single" w:sz="4" w:space="0" w:color="auto"/>
            </w:tcBorders>
            <w:shd w:val="clear" w:color="auto" w:fill="auto"/>
            <w:noWrap/>
            <w:vAlign w:val="bottom"/>
          </w:tcPr>
          <w:p w14:paraId="37183247"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0,00</w:t>
            </w:r>
          </w:p>
        </w:tc>
        <w:tc>
          <w:tcPr>
            <w:tcW w:w="1322" w:type="dxa"/>
            <w:tcBorders>
              <w:top w:val="nil"/>
              <w:left w:val="nil"/>
              <w:bottom w:val="single" w:sz="4" w:space="0" w:color="auto"/>
              <w:right w:val="single" w:sz="4" w:space="0" w:color="auto"/>
            </w:tcBorders>
            <w:shd w:val="clear" w:color="auto" w:fill="auto"/>
            <w:noWrap/>
            <w:vAlign w:val="bottom"/>
          </w:tcPr>
          <w:p w14:paraId="364DA94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0,01</w:t>
            </w:r>
          </w:p>
        </w:tc>
      </w:tr>
      <w:tr w:rsidR="00E47AA9" w:rsidRPr="00E47AA9" w14:paraId="3A871BE5" w14:textId="77777777" w:rsidTr="00353702">
        <w:trPr>
          <w:trHeight w:val="651"/>
        </w:trPr>
        <w:tc>
          <w:tcPr>
            <w:tcW w:w="567" w:type="dxa"/>
            <w:tcBorders>
              <w:top w:val="nil"/>
              <w:left w:val="single" w:sz="4" w:space="0" w:color="auto"/>
              <w:bottom w:val="single" w:sz="4" w:space="0" w:color="auto"/>
              <w:right w:val="single" w:sz="4" w:space="0" w:color="auto"/>
            </w:tcBorders>
            <w:shd w:val="clear" w:color="auto" w:fill="auto"/>
            <w:vAlign w:val="bottom"/>
          </w:tcPr>
          <w:p w14:paraId="037ADEAB"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37</w:t>
            </w:r>
          </w:p>
        </w:tc>
        <w:tc>
          <w:tcPr>
            <w:tcW w:w="2410" w:type="dxa"/>
            <w:tcBorders>
              <w:top w:val="nil"/>
              <w:left w:val="nil"/>
              <w:bottom w:val="single" w:sz="4" w:space="0" w:color="auto"/>
              <w:right w:val="single" w:sz="4" w:space="0" w:color="auto"/>
            </w:tcBorders>
            <w:shd w:val="clear" w:color="auto" w:fill="auto"/>
            <w:vAlign w:val="bottom"/>
          </w:tcPr>
          <w:p w14:paraId="1BBCF63A"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культуры и архивного дела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3B3EDA13"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806</w:t>
            </w:r>
          </w:p>
        </w:tc>
        <w:tc>
          <w:tcPr>
            <w:tcW w:w="1276" w:type="dxa"/>
            <w:tcBorders>
              <w:top w:val="nil"/>
              <w:left w:val="nil"/>
              <w:bottom w:val="single" w:sz="4" w:space="0" w:color="auto"/>
              <w:right w:val="single" w:sz="4" w:space="0" w:color="auto"/>
            </w:tcBorders>
            <w:shd w:val="clear" w:color="auto" w:fill="auto"/>
            <w:vAlign w:val="bottom"/>
          </w:tcPr>
          <w:p w14:paraId="7540DDEC"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3 501,53</w:t>
            </w:r>
          </w:p>
        </w:tc>
        <w:tc>
          <w:tcPr>
            <w:tcW w:w="850" w:type="dxa"/>
            <w:tcBorders>
              <w:top w:val="nil"/>
              <w:left w:val="nil"/>
              <w:bottom w:val="single" w:sz="4" w:space="0" w:color="auto"/>
              <w:right w:val="single" w:sz="4" w:space="0" w:color="auto"/>
            </w:tcBorders>
            <w:shd w:val="clear" w:color="auto" w:fill="auto"/>
            <w:vAlign w:val="bottom"/>
          </w:tcPr>
          <w:p w14:paraId="548E8A77"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1,43</w:t>
            </w:r>
          </w:p>
        </w:tc>
        <w:tc>
          <w:tcPr>
            <w:tcW w:w="1307" w:type="dxa"/>
            <w:tcBorders>
              <w:top w:val="nil"/>
              <w:left w:val="nil"/>
              <w:bottom w:val="single" w:sz="4" w:space="0" w:color="auto"/>
              <w:right w:val="single" w:sz="4" w:space="0" w:color="auto"/>
            </w:tcBorders>
            <w:shd w:val="clear" w:color="auto" w:fill="auto"/>
            <w:vAlign w:val="bottom"/>
          </w:tcPr>
          <w:p w14:paraId="7B62C81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3 492,02</w:t>
            </w:r>
          </w:p>
        </w:tc>
        <w:tc>
          <w:tcPr>
            <w:tcW w:w="832" w:type="dxa"/>
            <w:tcBorders>
              <w:top w:val="nil"/>
              <w:left w:val="nil"/>
              <w:bottom w:val="single" w:sz="4" w:space="0" w:color="auto"/>
              <w:right w:val="single" w:sz="4" w:space="0" w:color="auto"/>
            </w:tcBorders>
            <w:shd w:val="clear" w:color="auto" w:fill="auto"/>
            <w:noWrap/>
            <w:vAlign w:val="bottom"/>
          </w:tcPr>
          <w:p w14:paraId="17A280BC"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99,73</w:t>
            </w:r>
          </w:p>
        </w:tc>
        <w:tc>
          <w:tcPr>
            <w:tcW w:w="960" w:type="dxa"/>
            <w:tcBorders>
              <w:top w:val="nil"/>
              <w:left w:val="nil"/>
              <w:bottom w:val="single" w:sz="4" w:space="0" w:color="auto"/>
              <w:right w:val="single" w:sz="4" w:space="0" w:color="auto"/>
            </w:tcBorders>
            <w:shd w:val="clear" w:color="auto" w:fill="auto"/>
            <w:noWrap/>
            <w:vAlign w:val="bottom"/>
          </w:tcPr>
          <w:p w14:paraId="50315B47"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1,47</w:t>
            </w:r>
          </w:p>
        </w:tc>
        <w:tc>
          <w:tcPr>
            <w:tcW w:w="1322" w:type="dxa"/>
            <w:tcBorders>
              <w:top w:val="nil"/>
              <w:left w:val="nil"/>
              <w:bottom w:val="single" w:sz="4" w:space="0" w:color="auto"/>
              <w:right w:val="single" w:sz="4" w:space="0" w:color="auto"/>
            </w:tcBorders>
            <w:shd w:val="clear" w:color="auto" w:fill="auto"/>
            <w:noWrap/>
            <w:vAlign w:val="bottom"/>
          </w:tcPr>
          <w:p w14:paraId="1087885D"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9,50</w:t>
            </w:r>
          </w:p>
        </w:tc>
      </w:tr>
      <w:tr w:rsidR="00E47AA9" w:rsidRPr="00E47AA9" w14:paraId="6C165E9A" w14:textId="77777777" w:rsidTr="00353702">
        <w:trPr>
          <w:trHeight w:val="580"/>
        </w:trPr>
        <w:tc>
          <w:tcPr>
            <w:tcW w:w="567" w:type="dxa"/>
            <w:tcBorders>
              <w:top w:val="nil"/>
              <w:left w:val="single" w:sz="4" w:space="0" w:color="auto"/>
              <w:bottom w:val="single" w:sz="4" w:space="0" w:color="auto"/>
              <w:right w:val="single" w:sz="4" w:space="0" w:color="auto"/>
            </w:tcBorders>
            <w:shd w:val="clear" w:color="auto" w:fill="auto"/>
            <w:vAlign w:val="bottom"/>
          </w:tcPr>
          <w:p w14:paraId="6C45FE4D"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38</w:t>
            </w:r>
          </w:p>
        </w:tc>
        <w:tc>
          <w:tcPr>
            <w:tcW w:w="2410" w:type="dxa"/>
            <w:tcBorders>
              <w:top w:val="nil"/>
              <w:left w:val="nil"/>
              <w:bottom w:val="single" w:sz="4" w:space="0" w:color="auto"/>
              <w:right w:val="single" w:sz="4" w:space="0" w:color="auto"/>
            </w:tcBorders>
            <w:shd w:val="clear" w:color="auto" w:fill="auto"/>
            <w:vAlign w:val="bottom"/>
          </w:tcPr>
          <w:p w14:paraId="5439AF35"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лесного хозяйства, охраны окружающей среды, животного мира и природных ресурсов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440358FF"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807</w:t>
            </w:r>
          </w:p>
        </w:tc>
        <w:tc>
          <w:tcPr>
            <w:tcW w:w="1276" w:type="dxa"/>
            <w:tcBorders>
              <w:top w:val="nil"/>
              <w:left w:val="nil"/>
              <w:bottom w:val="single" w:sz="4" w:space="0" w:color="auto"/>
              <w:right w:val="single" w:sz="4" w:space="0" w:color="auto"/>
            </w:tcBorders>
            <w:shd w:val="clear" w:color="auto" w:fill="auto"/>
            <w:vAlign w:val="bottom"/>
          </w:tcPr>
          <w:p w14:paraId="4F7A192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2 714,91</w:t>
            </w:r>
          </w:p>
        </w:tc>
        <w:tc>
          <w:tcPr>
            <w:tcW w:w="850" w:type="dxa"/>
            <w:tcBorders>
              <w:top w:val="nil"/>
              <w:left w:val="nil"/>
              <w:bottom w:val="single" w:sz="4" w:space="0" w:color="auto"/>
              <w:right w:val="single" w:sz="4" w:space="0" w:color="auto"/>
            </w:tcBorders>
            <w:shd w:val="clear" w:color="auto" w:fill="auto"/>
            <w:vAlign w:val="bottom"/>
          </w:tcPr>
          <w:p w14:paraId="1A250528"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1,11</w:t>
            </w:r>
          </w:p>
        </w:tc>
        <w:tc>
          <w:tcPr>
            <w:tcW w:w="1307" w:type="dxa"/>
            <w:tcBorders>
              <w:top w:val="nil"/>
              <w:left w:val="nil"/>
              <w:bottom w:val="single" w:sz="4" w:space="0" w:color="auto"/>
              <w:right w:val="single" w:sz="4" w:space="0" w:color="auto"/>
            </w:tcBorders>
            <w:shd w:val="clear" w:color="auto" w:fill="auto"/>
            <w:vAlign w:val="bottom"/>
          </w:tcPr>
          <w:p w14:paraId="1943844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2 673,65</w:t>
            </w:r>
          </w:p>
        </w:tc>
        <w:tc>
          <w:tcPr>
            <w:tcW w:w="832" w:type="dxa"/>
            <w:tcBorders>
              <w:top w:val="nil"/>
              <w:left w:val="nil"/>
              <w:bottom w:val="single" w:sz="4" w:space="0" w:color="auto"/>
              <w:right w:val="single" w:sz="4" w:space="0" w:color="auto"/>
            </w:tcBorders>
            <w:shd w:val="clear" w:color="auto" w:fill="auto"/>
            <w:noWrap/>
            <w:vAlign w:val="bottom"/>
          </w:tcPr>
          <w:p w14:paraId="4E36933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98,48</w:t>
            </w:r>
          </w:p>
        </w:tc>
        <w:tc>
          <w:tcPr>
            <w:tcW w:w="960" w:type="dxa"/>
            <w:tcBorders>
              <w:top w:val="nil"/>
              <w:left w:val="nil"/>
              <w:bottom w:val="single" w:sz="4" w:space="0" w:color="auto"/>
              <w:right w:val="single" w:sz="4" w:space="0" w:color="auto"/>
            </w:tcBorders>
            <w:shd w:val="clear" w:color="auto" w:fill="auto"/>
            <w:noWrap/>
            <w:vAlign w:val="bottom"/>
          </w:tcPr>
          <w:p w14:paraId="1EB9EB96"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1,13</w:t>
            </w:r>
          </w:p>
        </w:tc>
        <w:tc>
          <w:tcPr>
            <w:tcW w:w="1322" w:type="dxa"/>
            <w:tcBorders>
              <w:top w:val="nil"/>
              <w:left w:val="nil"/>
              <w:bottom w:val="single" w:sz="4" w:space="0" w:color="auto"/>
              <w:right w:val="single" w:sz="4" w:space="0" w:color="auto"/>
            </w:tcBorders>
            <w:shd w:val="clear" w:color="auto" w:fill="auto"/>
            <w:noWrap/>
            <w:vAlign w:val="bottom"/>
          </w:tcPr>
          <w:p w14:paraId="5D8FAE16"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41,26</w:t>
            </w:r>
          </w:p>
        </w:tc>
      </w:tr>
      <w:tr w:rsidR="00E47AA9" w:rsidRPr="00E47AA9" w14:paraId="773AE739" w14:textId="77777777" w:rsidTr="00353702">
        <w:trPr>
          <w:trHeight w:val="294"/>
        </w:trPr>
        <w:tc>
          <w:tcPr>
            <w:tcW w:w="567" w:type="dxa"/>
            <w:tcBorders>
              <w:top w:val="nil"/>
              <w:left w:val="single" w:sz="4" w:space="0" w:color="auto"/>
              <w:bottom w:val="single" w:sz="4" w:space="0" w:color="auto"/>
              <w:right w:val="single" w:sz="4" w:space="0" w:color="auto"/>
            </w:tcBorders>
            <w:shd w:val="clear" w:color="auto" w:fill="auto"/>
            <w:vAlign w:val="bottom"/>
          </w:tcPr>
          <w:p w14:paraId="31382744"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39</w:t>
            </w:r>
          </w:p>
        </w:tc>
        <w:tc>
          <w:tcPr>
            <w:tcW w:w="2410" w:type="dxa"/>
            <w:tcBorders>
              <w:top w:val="nil"/>
              <w:left w:val="nil"/>
              <w:bottom w:val="single" w:sz="4" w:space="0" w:color="auto"/>
              <w:right w:val="single" w:sz="4" w:space="0" w:color="auto"/>
            </w:tcBorders>
            <w:shd w:val="clear" w:color="auto" w:fill="auto"/>
            <w:vAlign w:val="bottom"/>
          </w:tcPr>
          <w:p w14:paraId="52473624"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промышленности и торговли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10F4E623"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808</w:t>
            </w:r>
          </w:p>
        </w:tc>
        <w:tc>
          <w:tcPr>
            <w:tcW w:w="1276" w:type="dxa"/>
            <w:tcBorders>
              <w:top w:val="nil"/>
              <w:left w:val="nil"/>
              <w:bottom w:val="single" w:sz="4" w:space="0" w:color="auto"/>
              <w:right w:val="single" w:sz="4" w:space="0" w:color="auto"/>
            </w:tcBorders>
            <w:shd w:val="clear" w:color="auto" w:fill="auto"/>
            <w:vAlign w:val="bottom"/>
          </w:tcPr>
          <w:p w14:paraId="1E2D8523"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1 178,88</w:t>
            </w:r>
          </w:p>
        </w:tc>
        <w:tc>
          <w:tcPr>
            <w:tcW w:w="850" w:type="dxa"/>
            <w:tcBorders>
              <w:top w:val="nil"/>
              <w:left w:val="nil"/>
              <w:bottom w:val="single" w:sz="4" w:space="0" w:color="auto"/>
              <w:right w:val="single" w:sz="4" w:space="0" w:color="auto"/>
            </w:tcBorders>
            <w:shd w:val="clear" w:color="auto" w:fill="auto"/>
            <w:vAlign w:val="bottom"/>
          </w:tcPr>
          <w:p w14:paraId="535960F0"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0,48</w:t>
            </w:r>
          </w:p>
        </w:tc>
        <w:tc>
          <w:tcPr>
            <w:tcW w:w="1307" w:type="dxa"/>
            <w:tcBorders>
              <w:top w:val="nil"/>
              <w:left w:val="nil"/>
              <w:bottom w:val="single" w:sz="4" w:space="0" w:color="auto"/>
              <w:right w:val="single" w:sz="4" w:space="0" w:color="auto"/>
            </w:tcBorders>
            <w:shd w:val="clear" w:color="auto" w:fill="auto"/>
            <w:vAlign w:val="bottom"/>
          </w:tcPr>
          <w:p w14:paraId="26E8AD22"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1 178,65</w:t>
            </w:r>
          </w:p>
        </w:tc>
        <w:tc>
          <w:tcPr>
            <w:tcW w:w="832" w:type="dxa"/>
            <w:tcBorders>
              <w:top w:val="nil"/>
              <w:left w:val="nil"/>
              <w:bottom w:val="single" w:sz="4" w:space="0" w:color="auto"/>
              <w:right w:val="single" w:sz="4" w:space="0" w:color="auto"/>
            </w:tcBorders>
            <w:shd w:val="clear" w:color="auto" w:fill="auto"/>
            <w:noWrap/>
            <w:vAlign w:val="bottom"/>
          </w:tcPr>
          <w:p w14:paraId="4746B1F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99,98</w:t>
            </w:r>
          </w:p>
        </w:tc>
        <w:tc>
          <w:tcPr>
            <w:tcW w:w="960" w:type="dxa"/>
            <w:tcBorders>
              <w:top w:val="nil"/>
              <w:left w:val="nil"/>
              <w:bottom w:val="single" w:sz="4" w:space="0" w:color="auto"/>
              <w:right w:val="single" w:sz="4" w:space="0" w:color="auto"/>
            </w:tcBorders>
            <w:shd w:val="clear" w:color="auto" w:fill="auto"/>
            <w:noWrap/>
            <w:vAlign w:val="bottom"/>
          </w:tcPr>
          <w:p w14:paraId="7E25340D"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0,50</w:t>
            </w:r>
          </w:p>
        </w:tc>
        <w:tc>
          <w:tcPr>
            <w:tcW w:w="1322" w:type="dxa"/>
            <w:tcBorders>
              <w:top w:val="nil"/>
              <w:left w:val="nil"/>
              <w:bottom w:val="single" w:sz="4" w:space="0" w:color="auto"/>
              <w:right w:val="single" w:sz="4" w:space="0" w:color="auto"/>
            </w:tcBorders>
            <w:shd w:val="clear" w:color="auto" w:fill="auto"/>
            <w:noWrap/>
            <w:vAlign w:val="bottom"/>
          </w:tcPr>
          <w:p w14:paraId="744ADE3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0,23</w:t>
            </w:r>
          </w:p>
        </w:tc>
      </w:tr>
      <w:tr w:rsidR="00E47AA9" w:rsidRPr="00E47AA9" w14:paraId="79C76CA6" w14:textId="77777777" w:rsidTr="00353702">
        <w:trPr>
          <w:trHeight w:val="528"/>
        </w:trPr>
        <w:tc>
          <w:tcPr>
            <w:tcW w:w="567" w:type="dxa"/>
            <w:tcBorders>
              <w:top w:val="nil"/>
              <w:left w:val="single" w:sz="4" w:space="0" w:color="auto"/>
              <w:bottom w:val="single" w:sz="4" w:space="0" w:color="auto"/>
              <w:right w:val="single" w:sz="4" w:space="0" w:color="auto"/>
            </w:tcBorders>
            <w:shd w:val="clear" w:color="auto" w:fill="auto"/>
            <w:vAlign w:val="bottom"/>
          </w:tcPr>
          <w:p w14:paraId="29C5656D"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40</w:t>
            </w:r>
          </w:p>
        </w:tc>
        <w:tc>
          <w:tcPr>
            <w:tcW w:w="2410" w:type="dxa"/>
            <w:tcBorders>
              <w:top w:val="nil"/>
              <w:left w:val="nil"/>
              <w:bottom w:val="single" w:sz="4" w:space="0" w:color="auto"/>
              <w:right w:val="single" w:sz="4" w:space="0" w:color="auto"/>
            </w:tcBorders>
            <w:shd w:val="clear" w:color="auto" w:fill="auto"/>
            <w:vAlign w:val="bottom"/>
          </w:tcPr>
          <w:p w14:paraId="14D0D9D9"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Государственная инспекция по надзору за техническим состоянием и эксплуатацией самоходных машин и других видов техники, аттракционов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2B4205BE"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809</w:t>
            </w:r>
          </w:p>
        </w:tc>
        <w:tc>
          <w:tcPr>
            <w:tcW w:w="1276" w:type="dxa"/>
            <w:tcBorders>
              <w:top w:val="nil"/>
              <w:left w:val="nil"/>
              <w:bottom w:val="single" w:sz="4" w:space="0" w:color="auto"/>
              <w:right w:val="single" w:sz="4" w:space="0" w:color="auto"/>
            </w:tcBorders>
            <w:shd w:val="clear" w:color="auto" w:fill="auto"/>
            <w:vAlign w:val="bottom"/>
          </w:tcPr>
          <w:p w14:paraId="1EE30E6F"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51,60</w:t>
            </w:r>
          </w:p>
        </w:tc>
        <w:tc>
          <w:tcPr>
            <w:tcW w:w="850" w:type="dxa"/>
            <w:tcBorders>
              <w:top w:val="nil"/>
              <w:left w:val="nil"/>
              <w:bottom w:val="single" w:sz="4" w:space="0" w:color="auto"/>
              <w:right w:val="single" w:sz="4" w:space="0" w:color="auto"/>
            </w:tcBorders>
            <w:shd w:val="clear" w:color="auto" w:fill="auto"/>
            <w:vAlign w:val="bottom"/>
          </w:tcPr>
          <w:p w14:paraId="07AD8BF3"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0,02</w:t>
            </w:r>
          </w:p>
        </w:tc>
        <w:tc>
          <w:tcPr>
            <w:tcW w:w="1307" w:type="dxa"/>
            <w:tcBorders>
              <w:top w:val="nil"/>
              <w:left w:val="nil"/>
              <w:bottom w:val="single" w:sz="4" w:space="0" w:color="auto"/>
              <w:right w:val="single" w:sz="4" w:space="0" w:color="auto"/>
            </w:tcBorders>
            <w:shd w:val="clear" w:color="auto" w:fill="auto"/>
            <w:vAlign w:val="bottom"/>
          </w:tcPr>
          <w:p w14:paraId="27DE91A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51,59</w:t>
            </w:r>
          </w:p>
        </w:tc>
        <w:tc>
          <w:tcPr>
            <w:tcW w:w="832" w:type="dxa"/>
            <w:tcBorders>
              <w:top w:val="nil"/>
              <w:left w:val="nil"/>
              <w:bottom w:val="single" w:sz="4" w:space="0" w:color="auto"/>
              <w:right w:val="single" w:sz="4" w:space="0" w:color="auto"/>
            </w:tcBorders>
            <w:shd w:val="clear" w:color="auto" w:fill="auto"/>
            <w:noWrap/>
            <w:vAlign w:val="bottom"/>
          </w:tcPr>
          <w:p w14:paraId="2086FCED"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99,99</w:t>
            </w:r>
          </w:p>
        </w:tc>
        <w:tc>
          <w:tcPr>
            <w:tcW w:w="960" w:type="dxa"/>
            <w:tcBorders>
              <w:top w:val="nil"/>
              <w:left w:val="nil"/>
              <w:bottom w:val="single" w:sz="4" w:space="0" w:color="auto"/>
              <w:right w:val="single" w:sz="4" w:space="0" w:color="auto"/>
            </w:tcBorders>
            <w:shd w:val="clear" w:color="auto" w:fill="auto"/>
            <w:noWrap/>
            <w:vAlign w:val="bottom"/>
          </w:tcPr>
          <w:p w14:paraId="75A1E596"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0,02</w:t>
            </w:r>
          </w:p>
        </w:tc>
        <w:tc>
          <w:tcPr>
            <w:tcW w:w="1322" w:type="dxa"/>
            <w:tcBorders>
              <w:top w:val="nil"/>
              <w:left w:val="nil"/>
              <w:bottom w:val="single" w:sz="4" w:space="0" w:color="auto"/>
              <w:right w:val="single" w:sz="4" w:space="0" w:color="auto"/>
            </w:tcBorders>
            <w:shd w:val="clear" w:color="auto" w:fill="auto"/>
            <w:noWrap/>
            <w:vAlign w:val="bottom"/>
          </w:tcPr>
          <w:p w14:paraId="5EF1B55C"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0,01</w:t>
            </w:r>
          </w:p>
        </w:tc>
      </w:tr>
      <w:tr w:rsidR="00E47AA9" w:rsidRPr="00E47AA9" w14:paraId="294043E5" w14:textId="77777777" w:rsidTr="00353702">
        <w:trPr>
          <w:trHeight w:val="103"/>
        </w:trPr>
        <w:tc>
          <w:tcPr>
            <w:tcW w:w="567" w:type="dxa"/>
            <w:tcBorders>
              <w:top w:val="nil"/>
              <w:left w:val="single" w:sz="4" w:space="0" w:color="auto"/>
              <w:bottom w:val="single" w:sz="4" w:space="0" w:color="auto"/>
              <w:right w:val="single" w:sz="4" w:space="0" w:color="auto"/>
            </w:tcBorders>
            <w:shd w:val="clear" w:color="auto" w:fill="auto"/>
            <w:vAlign w:val="bottom"/>
          </w:tcPr>
          <w:p w14:paraId="72A02186"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41</w:t>
            </w:r>
          </w:p>
        </w:tc>
        <w:tc>
          <w:tcPr>
            <w:tcW w:w="2410" w:type="dxa"/>
            <w:tcBorders>
              <w:top w:val="nil"/>
              <w:left w:val="nil"/>
              <w:bottom w:val="single" w:sz="4" w:space="0" w:color="auto"/>
              <w:right w:val="single" w:sz="4" w:space="0" w:color="auto"/>
            </w:tcBorders>
            <w:shd w:val="clear" w:color="auto" w:fill="auto"/>
            <w:vAlign w:val="bottom"/>
          </w:tcPr>
          <w:p w14:paraId="04331063"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профессионального образования и занятости населения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36085F70"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810</w:t>
            </w:r>
          </w:p>
        </w:tc>
        <w:tc>
          <w:tcPr>
            <w:tcW w:w="1276" w:type="dxa"/>
            <w:tcBorders>
              <w:top w:val="nil"/>
              <w:left w:val="nil"/>
              <w:bottom w:val="single" w:sz="4" w:space="0" w:color="auto"/>
              <w:right w:val="single" w:sz="4" w:space="0" w:color="auto"/>
            </w:tcBorders>
            <w:shd w:val="clear" w:color="auto" w:fill="auto"/>
            <w:vAlign w:val="bottom"/>
          </w:tcPr>
          <w:p w14:paraId="7A420B60"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8 577,80</w:t>
            </w:r>
          </w:p>
        </w:tc>
        <w:tc>
          <w:tcPr>
            <w:tcW w:w="850" w:type="dxa"/>
            <w:tcBorders>
              <w:top w:val="nil"/>
              <w:left w:val="nil"/>
              <w:bottom w:val="single" w:sz="4" w:space="0" w:color="auto"/>
              <w:right w:val="single" w:sz="4" w:space="0" w:color="auto"/>
            </w:tcBorders>
            <w:shd w:val="clear" w:color="auto" w:fill="auto"/>
            <w:vAlign w:val="bottom"/>
          </w:tcPr>
          <w:p w14:paraId="52BB4AD9"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3,49</w:t>
            </w:r>
          </w:p>
        </w:tc>
        <w:tc>
          <w:tcPr>
            <w:tcW w:w="1307" w:type="dxa"/>
            <w:tcBorders>
              <w:top w:val="nil"/>
              <w:left w:val="nil"/>
              <w:bottom w:val="single" w:sz="4" w:space="0" w:color="auto"/>
              <w:right w:val="single" w:sz="4" w:space="0" w:color="auto"/>
            </w:tcBorders>
            <w:shd w:val="clear" w:color="auto" w:fill="auto"/>
            <w:vAlign w:val="bottom"/>
          </w:tcPr>
          <w:p w14:paraId="7633531A"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8 460,77</w:t>
            </w:r>
          </w:p>
        </w:tc>
        <w:tc>
          <w:tcPr>
            <w:tcW w:w="832" w:type="dxa"/>
            <w:tcBorders>
              <w:top w:val="nil"/>
              <w:left w:val="nil"/>
              <w:bottom w:val="single" w:sz="4" w:space="0" w:color="auto"/>
              <w:right w:val="single" w:sz="4" w:space="0" w:color="auto"/>
            </w:tcBorders>
            <w:shd w:val="clear" w:color="auto" w:fill="auto"/>
            <w:noWrap/>
            <w:vAlign w:val="bottom"/>
          </w:tcPr>
          <w:p w14:paraId="2A07F85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98,64</w:t>
            </w:r>
          </w:p>
        </w:tc>
        <w:tc>
          <w:tcPr>
            <w:tcW w:w="960" w:type="dxa"/>
            <w:tcBorders>
              <w:top w:val="nil"/>
              <w:left w:val="nil"/>
              <w:bottom w:val="single" w:sz="4" w:space="0" w:color="auto"/>
              <w:right w:val="single" w:sz="4" w:space="0" w:color="auto"/>
            </w:tcBorders>
            <w:shd w:val="clear" w:color="auto" w:fill="auto"/>
            <w:noWrap/>
            <w:vAlign w:val="bottom"/>
          </w:tcPr>
          <w:p w14:paraId="0ECF1107"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3,57</w:t>
            </w:r>
          </w:p>
        </w:tc>
        <w:tc>
          <w:tcPr>
            <w:tcW w:w="1322" w:type="dxa"/>
            <w:tcBorders>
              <w:top w:val="nil"/>
              <w:left w:val="nil"/>
              <w:bottom w:val="single" w:sz="4" w:space="0" w:color="auto"/>
              <w:right w:val="single" w:sz="4" w:space="0" w:color="auto"/>
            </w:tcBorders>
            <w:shd w:val="clear" w:color="auto" w:fill="auto"/>
            <w:noWrap/>
            <w:vAlign w:val="bottom"/>
          </w:tcPr>
          <w:p w14:paraId="38CCF0D7"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117,03</w:t>
            </w:r>
          </w:p>
        </w:tc>
      </w:tr>
      <w:tr w:rsidR="00E47AA9" w:rsidRPr="00E47AA9" w14:paraId="6780F71F" w14:textId="77777777" w:rsidTr="00353702">
        <w:trPr>
          <w:trHeight w:val="624"/>
        </w:trPr>
        <w:tc>
          <w:tcPr>
            <w:tcW w:w="567" w:type="dxa"/>
            <w:tcBorders>
              <w:top w:val="nil"/>
              <w:left w:val="single" w:sz="4" w:space="0" w:color="auto"/>
              <w:bottom w:val="single" w:sz="4" w:space="0" w:color="auto"/>
              <w:right w:val="single" w:sz="4" w:space="0" w:color="auto"/>
            </w:tcBorders>
            <w:shd w:val="clear" w:color="auto" w:fill="auto"/>
            <w:vAlign w:val="bottom"/>
          </w:tcPr>
          <w:p w14:paraId="21796F3A"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42</w:t>
            </w:r>
          </w:p>
        </w:tc>
        <w:tc>
          <w:tcPr>
            <w:tcW w:w="2410" w:type="dxa"/>
            <w:tcBorders>
              <w:top w:val="nil"/>
              <w:left w:val="nil"/>
              <w:bottom w:val="single" w:sz="4" w:space="0" w:color="auto"/>
              <w:right w:val="single" w:sz="4" w:space="0" w:color="auto"/>
            </w:tcBorders>
            <w:shd w:val="clear" w:color="auto" w:fill="auto"/>
            <w:vAlign w:val="bottom"/>
          </w:tcPr>
          <w:p w14:paraId="4AACBF0A"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Министерство архитектуры и градостроительной политики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6029BA99"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811</w:t>
            </w:r>
          </w:p>
        </w:tc>
        <w:tc>
          <w:tcPr>
            <w:tcW w:w="1276" w:type="dxa"/>
            <w:tcBorders>
              <w:top w:val="nil"/>
              <w:left w:val="nil"/>
              <w:bottom w:val="single" w:sz="4" w:space="0" w:color="auto"/>
              <w:right w:val="single" w:sz="4" w:space="0" w:color="auto"/>
            </w:tcBorders>
            <w:shd w:val="clear" w:color="auto" w:fill="auto"/>
            <w:vAlign w:val="bottom"/>
          </w:tcPr>
          <w:p w14:paraId="3BE862DD"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299,99</w:t>
            </w:r>
          </w:p>
        </w:tc>
        <w:tc>
          <w:tcPr>
            <w:tcW w:w="850" w:type="dxa"/>
            <w:tcBorders>
              <w:top w:val="nil"/>
              <w:left w:val="nil"/>
              <w:bottom w:val="single" w:sz="4" w:space="0" w:color="auto"/>
              <w:right w:val="single" w:sz="4" w:space="0" w:color="auto"/>
            </w:tcBorders>
            <w:shd w:val="clear" w:color="auto" w:fill="auto"/>
            <w:vAlign w:val="bottom"/>
          </w:tcPr>
          <w:p w14:paraId="5D25859C"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0,12</w:t>
            </w:r>
          </w:p>
        </w:tc>
        <w:tc>
          <w:tcPr>
            <w:tcW w:w="1307" w:type="dxa"/>
            <w:tcBorders>
              <w:top w:val="nil"/>
              <w:left w:val="nil"/>
              <w:bottom w:val="single" w:sz="4" w:space="0" w:color="auto"/>
              <w:right w:val="single" w:sz="4" w:space="0" w:color="auto"/>
            </w:tcBorders>
            <w:shd w:val="clear" w:color="auto" w:fill="auto"/>
            <w:vAlign w:val="bottom"/>
          </w:tcPr>
          <w:p w14:paraId="03839CE6"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289,23</w:t>
            </w:r>
          </w:p>
        </w:tc>
        <w:tc>
          <w:tcPr>
            <w:tcW w:w="832" w:type="dxa"/>
            <w:tcBorders>
              <w:top w:val="nil"/>
              <w:left w:val="nil"/>
              <w:bottom w:val="single" w:sz="4" w:space="0" w:color="auto"/>
              <w:right w:val="single" w:sz="4" w:space="0" w:color="auto"/>
            </w:tcBorders>
            <w:shd w:val="clear" w:color="auto" w:fill="auto"/>
            <w:noWrap/>
            <w:vAlign w:val="bottom"/>
          </w:tcPr>
          <w:p w14:paraId="6B26D44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96,41</w:t>
            </w:r>
          </w:p>
        </w:tc>
        <w:tc>
          <w:tcPr>
            <w:tcW w:w="960" w:type="dxa"/>
            <w:tcBorders>
              <w:top w:val="nil"/>
              <w:left w:val="nil"/>
              <w:bottom w:val="single" w:sz="4" w:space="0" w:color="auto"/>
              <w:right w:val="single" w:sz="4" w:space="0" w:color="auto"/>
            </w:tcBorders>
            <w:shd w:val="clear" w:color="auto" w:fill="auto"/>
            <w:noWrap/>
            <w:vAlign w:val="bottom"/>
          </w:tcPr>
          <w:p w14:paraId="4BA9C45D"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0,12</w:t>
            </w:r>
          </w:p>
        </w:tc>
        <w:tc>
          <w:tcPr>
            <w:tcW w:w="1322" w:type="dxa"/>
            <w:tcBorders>
              <w:top w:val="nil"/>
              <w:left w:val="nil"/>
              <w:bottom w:val="single" w:sz="4" w:space="0" w:color="auto"/>
              <w:right w:val="single" w:sz="4" w:space="0" w:color="auto"/>
            </w:tcBorders>
            <w:shd w:val="clear" w:color="auto" w:fill="auto"/>
            <w:noWrap/>
            <w:vAlign w:val="bottom"/>
          </w:tcPr>
          <w:p w14:paraId="4ADEFC46"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10,76</w:t>
            </w:r>
          </w:p>
        </w:tc>
      </w:tr>
      <w:tr w:rsidR="00E47AA9" w:rsidRPr="00E47AA9" w14:paraId="6EA09C0A" w14:textId="77777777" w:rsidTr="00353702">
        <w:trPr>
          <w:trHeight w:val="363"/>
        </w:trPr>
        <w:tc>
          <w:tcPr>
            <w:tcW w:w="567" w:type="dxa"/>
            <w:tcBorders>
              <w:top w:val="nil"/>
              <w:left w:val="single" w:sz="4" w:space="0" w:color="auto"/>
              <w:bottom w:val="single" w:sz="4" w:space="0" w:color="auto"/>
              <w:right w:val="single" w:sz="4" w:space="0" w:color="auto"/>
            </w:tcBorders>
            <w:shd w:val="clear" w:color="auto" w:fill="auto"/>
            <w:vAlign w:val="bottom"/>
          </w:tcPr>
          <w:p w14:paraId="59955D77"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43</w:t>
            </w:r>
          </w:p>
        </w:tc>
        <w:tc>
          <w:tcPr>
            <w:tcW w:w="2410" w:type="dxa"/>
            <w:tcBorders>
              <w:top w:val="nil"/>
              <w:left w:val="nil"/>
              <w:bottom w:val="single" w:sz="4" w:space="0" w:color="auto"/>
              <w:right w:val="single" w:sz="4" w:space="0" w:color="auto"/>
            </w:tcBorders>
            <w:shd w:val="clear" w:color="auto" w:fill="auto"/>
            <w:vAlign w:val="bottom"/>
          </w:tcPr>
          <w:p w14:paraId="522F8C13"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Агентство по гидротехническим сооружениям, мелиорации и гидрологии Приморского края</w:t>
            </w:r>
          </w:p>
        </w:tc>
        <w:tc>
          <w:tcPr>
            <w:tcW w:w="709" w:type="dxa"/>
            <w:tcBorders>
              <w:top w:val="nil"/>
              <w:left w:val="nil"/>
              <w:bottom w:val="single" w:sz="4" w:space="0" w:color="auto"/>
              <w:right w:val="single" w:sz="4" w:space="0" w:color="auto"/>
            </w:tcBorders>
            <w:shd w:val="clear" w:color="auto" w:fill="auto"/>
            <w:noWrap/>
            <w:vAlign w:val="bottom"/>
          </w:tcPr>
          <w:p w14:paraId="051D99AF" w14:textId="77777777" w:rsidR="00353702" w:rsidRPr="00E47AA9" w:rsidRDefault="00353702" w:rsidP="00353702">
            <w:pPr>
              <w:spacing w:after="0" w:line="240" w:lineRule="auto"/>
              <w:jc w:val="center"/>
              <w:rPr>
                <w:rFonts w:ascii="Times New Roman" w:hAnsi="Times New Roman" w:cs="Times New Roman"/>
              </w:rPr>
            </w:pPr>
            <w:r w:rsidRPr="00E47AA9">
              <w:rPr>
                <w:rFonts w:ascii="Times New Roman" w:hAnsi="Times New Roman" w:cs="Times New Roman"/>
              </w:rPr>
              <w:t>812</w:t>
            </w:r>
          </w:p>
        </w:tc>
        <w:tc>
          <w:tcPr>
            <w:tcW w:w="1276" w:type="dxa"/>
            <w:tcBorders>
              <w:top w:val="nil"/>
              <w:left w:val="nil"/>
              <w:bottom w:val="single" w:sz="4" w:space="0" w:color="auto"/>
              <w:right w:val="single" w:sz="4" w:space="0" w:color="auto"/>
            </w:tcBorders>
            <w:shd w:val="clear" w:color="auto" w:fill="auto"/>
            <w:vAlign w:val="bottom"/>
          </w:tcPr>
          <w:p w14:paraId="5B9D8DD0"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1 154,36</w:t>
            </w:r>
          </w:p>
        </w:tc>
        <w:tc>
          <w:tcPr>
            <w:tcW w:w="850" w:type="dxa"/>
            <w:tcBorders>
              <w:top w:val="nil"/>
              <w:left w:val="nil"/>
              <w:bottom w:val="single" w:sz="4" w:space="0" w:color="auto"/>
              <w:right w:val="single" w:sz="4" w:space="0" w:color="auto"/>
            </w:tcBorders>
            <w:shd w:val="clear" w:color="auto" w:fill="auto"/>
            <w:vAlign w:val="bottom"/>
          </w:tcPr>
          <w:p w14:paraId="46564A17"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0,47</w:t>
            </w:r>
          </w:p>
        </w:tc>
        <w:tc>
          <w:tcPr>
            <w:tcW w:w="1307" w:type="dxa"/>
            <w:tcBorders>
              <w:top w:val="nil"/>
              <w:left w:val="nil"/>
              <w:bottom w:val="single" w:sz="4" w:space="0" w:color="auto"/>
              <w:right w:val="single" w:sz="4" w:space="0" w:color="auto"/>
            </w:tcBorders>
            <w:shd w:val="clear" w:color="auto" w:fill="auto"/>
            <w:vAlign w:val="bottom"/>
          </w:tcPr>
          <w:p w14:paraId="776532E9"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1 059,14</w:t>
            </w:r>
          </w:p>
        </w:tc>
        <w:tc>
          <w:tcPr>
            <w:tcW w:w="832" w:type="dxa"/>
            <w:tcBorders>
              <w:top w:val="nil"/>
              <w:left w:val="nil"/>
              <w:bottom w:val="single" w:sz="4" w:space="0" w:color="auto"/>
              <w:right w:val="single" w:sz="4" w:space="0" w:color="auto"/>
            </w:tcBorders>
            <w:shd w:val="clear" w:color="auto" w:fill="auto"/>
            <w:noWrap/>
            <w:vAlign w:val="bottom"/>
          </w:tcPr>
          <w:p w14:paraId="005F1DB1"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91,75</w:t>
            </w:r>
          </w:p>
        </w:tc>
        <w:tc>
          <w:tcPr>
            <w:tcW w:w="960" w:type="dxa"/>
            <w:tcBorders>
              <w:top w:val="nil"/>
              <w:left w:val="nil"/>
              <w:bottom w:val="single" w:sz="4" w:space="0" w:color="auto"/>
              <w:right w:val="single" w:sz="4" w:space="0" w:color="auto"/>
            </w:tcBorders>
            <w:shd w:val="clear" w:color="auto" w:fill="auto"/>
            <w:noWrap/>
            <w:vAlign w:val="bottom"/>
          </w:tcPr>
          <w:p w14:paraId="5C02CB51" w14:textId="77777777" w:rsidR="00353702" w:rsidRPr="00E47AA9" w:rsidRDefault="00353702" w:rsidP="00353702">
            <w:pPr>
              <w:spacing w:after="0" w:line="240" w:lineRule="auto"/>
              <w:jc w:val="right"/>
              <w:rPr>
                <w:rFonts w:ascii="Times New Roman" w:hAnsi="Times New Roman" w:cs="Times New Roman"/>
                <w:i/>
                <w:iCs/>
              </w:rPr>
            </w:pPr>
            <w:r w:rsidRPr="00E47AA9">
              <w:rPr>
                <w:rFonts w:ascii="Times New Roman" w:hAnsi="Times New Roman" w:cs="Times New Roman"/>
                <w:i/>
                <w:iCs/>
              </w:rPr>
              <w:t>0,45</w:t>
            </w:r>
          </w:p>
        </w:tc>
        <w:tc>
          <w:tcPr>
            <w:tcW w:w="1322" w:type="dxa"/>
            <w:tcBorders>
              <w:top w:val="nil"/>
              <w:left w:val="nil"/>
              <w:bottom w:val="single" w:sz="4" w:space="0" w:color="auto"/>
              <w:right w:val="single" w:sz="4" w:space="0" w:color="auto"/>
            </w:tcBorders>
            <w:shd w:val="clear" w:color="auto" w:fill="auto"/>
            <w:noWrap/>
            <w:vAlign w:val="bottom"/>
          </w:tcPr>
          <w:p w14:paraId="723ECF38" w14:textId="77777777" w:rsidR="00353702" w:rsidRPr="00E47AA9" w:rsidRDefault="00353702" w:rsidP="00353702">
            <w:pPr>
              <w:spacing w:after="0" w:line="240" w:lineRule="auto"/>
              <w:jc w:val="right"/>
              <w:rPr>
                <w:rFonts w:ascii="Times New Roman" w:hAnsi="Times New Roman" w:cs="Times New Roman"/>
              </w:rPr>
            </w:pPr>
            <w:r w:rsidRPr="00E47AA9">
              <w:rPr>
                <w:rFonts w:ascii="Times New Roman" w:hAnsi="Times New Roman" w:cs="Times New Roman"/>
              </w:rPr>
              <w:t>95,22</w:t>
            </w:r>
          </w:p>
        </w:tc>
      </w:tr>
      <w:tr w:rsidR="00E47AA9" w:rsidRPr="00E47AA9" w14:paraId="27BCE5E7" w14:textId="77777777" w:rsidTr="00353702">
        <w:trPr>
          <w:trHeight w:val="105"/>
        </w:trPr>
        <w:tc>
          <w:tcPr>
            <w:tcW w:w="567" w:type="dxa"/>
            <w:tcBorders>
              <w:top w:val="single" w:sz="4" w:space="0" w:color="auto"/>
              <w:left w:val="single" w:sz="4" w:space="0" w:color="auto"/>
              <w:bottom w:val="single" w:sz="4" w:space="0" w:color="auto"/>
              <w:right w:val="nil"/>
            </w:tcBorders>
            <w:shd w:val="clear" w:color="auto" w:fill="auto"/>
            <w:vAlign w:val="bottom"/>
            <w:hideMark/>
          </w:tcPr>
          <w:p w14:paraId="228F1FD9" w14:textId="77777777" w:rsidR="00353702" w:rsidRPr="00E47AA9" w:rsidRDefault="00353702" w:rsidP="00353702">
            <w:pPr>
              <w:spacing w:after="0" w:line="240" w:lineRule="auto"/>
              <w:jc w:val="center"/>
              <w:rPr>
                <w:rFonts w:ascii="Times New Roman" w:hAnsi="Times New Roman" w:cs="Times New Roman"/>
                <w:b/>
                <w:bCs/>
              </w:rPr>
            </w:pPr>
            <w:r w:rsidRPr="00E47AA9">
              <w:rPr>
                <w:rFonts w:ascii="Times New Roman" w:hAnsi="Times New Roman" w:cs="Times New Roman"/>
                <w:b/>
                <w:bCs/>
              </w:rPr>
              <w:t> </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7C5972E" w14:textId="77777777" w:rsidR="00353702" w:rsidRPr="00E47AA9" w:rsidRDefault="00353702" w:rsidP="00353702">
            <w:pPr>
              <w:spacing w:after="0" w:line="240" w:lineRule="auto"/>
              <w:rPr>
                <w:rFonts w:ascii="Times New Roman" w:hAnsi="Times New Roman" w:cs="Times New Roman"/>
                <w:b/>
              </w:rPr>
            </w:pPr>
            <w:r w:rsidRPr="00E47AA9">
              <w:rPr>
                <w:rFonts w:ascii="Times New Roman" w:hAnsi="Times New Roman" w:cs="Times New Roman"/>
                <w:b/>
              </w:rPr>
              <w:t>Всего расходов</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45A744" w14:textId="77777777" w:rsidR="00353702" w:rsidRPr="00E47AA9" w:rsidRDefault="00353702" w:rsidP="00353702">
            <w:pPr>
              <w:spacing w:after="0" w:line="240" w:lineRule="auto"/>
              <w:rPr>
                <w:rFonts w:ascii="Times New Roman" w:hAnsi="Times New Roman" w:cs="Times New Roman"/>
              </w:rPr>
            </w:pPr>
            <w:r w:rsidRPr="00E47AA9">
              <w:rPr>
                <w:rFonts w:ascii="Times New Roman" w:hAnsi="Times New Roman" w:cs="Times New Roman"/>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2E903A" w14:textId="77777777" w:rsidR="00353702" w:rsidRPr="00E47AA9" w:rsidRDefault="00353702" w:rsidP="00353702">
            <w:pPr>
              <w:spacing w:after="0" w:line="240" w:lineRule="auto"/>
              <w:jc w:val="right"/>
              <w:rPr>
                <w:rFonts w:ascii="Times New Roman" w:hAnsi="Times New Roman" w:cs="Times New Roman"/>
                <w:b/>
                <w:bCs/>
              </w:rPr>
            </w:pPr>
            <w:r w:rsidRPr="00E47AA9">
              <w:rPr>
                <w:rFonts w:ascii="Times New Roman" w:hAnsi="Times New Roman" w:cs="Times New Roman"/>
                <w:b/>
                <w:bCs/>
              </w:rPr>
              <w:t>245 684,26</w:t>
            </w:r>
          </w:p>
        </w:tc>
        <w:tc>
          <w:tcPr>
            <w:tcW w:w="850" w:type="dxa"/>
            <w:tcBorders>
              <w:top w:val="single" w:sz="4" w:space="0" w:color="auto"/>
              <w:left w:val="nil"/>
              <w:bottom w:val="single" w:sz="4" w:space="0" w:color="auto"/>
              <w:right w:val="single" w:sz="4" w:space="0" w:color="auto"/>
            </w:tcBorders>
            <w:shd w:val="clear" w:color="auto" w:fill="auto"/>
            <w:vAlign w:val="bottom"/>
          </w:tcPr>
          <w:p w14:paraId="465FE792" w14:textId="77777777" w:rsidR="00353702" w:rsidRPr="00E47AA9" w:rsidRDefault="00353702" w:rsidP="00353702">
            <w:pPr>
              <w:spacing w:after="0" w:line="240" w:lineRule="auto"/>
              <w:jc w:val="right"/>
              <w:rPr>
                <w:rFonts w:ascii="Times New Roman" w:hAnsi="Times New Roman" w:cs="Times New Roman"/>
                <w:b/>
                <w:bCs/>
                <w:i/>
                <w:iCs/>
              </w:rPr>
            </w:pPr>
            <w:r w:rsidRPr="00E47AA9">
              <w:rPr>
                <w:rFonts w:ascii="Times New Roman" w:hAnsi="Times New Roman" w:cs="Times New Roman"/>
                <w:b/>
                <w:bCs/>
                <w:i/>
                <w:iCs/>
              </w:rPr>
              <w:t>100,00</w:t>
            </w:r>
          </w:p>
        </w:tc>
        <w:tc>
          <w:tcPr>
            <w:tcW w:w="1307" w:type="dxa"/>
            <w:tcBorders>
              <w:top w:val="single" w:sz="4" w:space="0" w:color="auto"/>
              <w:left w:val="nil"/>
              <w:bottom w:val="single" w:sz="4" w:space="0" w:color="auto"/>
              <w:right w:val="single" w:sz="4" w:space="0" w:color="auto"/>
            </w:tcBorders>
            <w:shd w:val="clear" w:color="auto" w:fill="auto"/>
            <w:noWrap/>
            <w:vAlign w:val="bottom"/>
          </w:tcPr>
          <w:p w14:paraId="6843B875" w14:textId="77777777" w:rsidR="00353702" w:rsidRPr="00E47AA9" w:rsidRDefault="00353702" w:rsidP="00353702">
            <w:pPr>
              <w:spacing w:after="0" w:line="240" w:lineRule="auto"/>
              <w:jc w:val="right"/>
              <w:rPr>
                <w:rFonts w:ascii="Times New Roman" w:hAnsi="Times New Roman" w:cs="Times New Roman"/>
                <w:b/>
                <w:bCs/>
              </w:rPr>
            </w:pPr>
            <w:r w:rsidRPr="00E47AA9">
              <w:rPr>
                <w:rFonts w:ascii="Times New Roman" w:hAnsi="Times New Roman" w:cs="Times New Roman"/>
                <w:b/>
                <w:bCs/>
              </w:rPr>
              <w:t>236 994,68</w:t>
            </w:r>
          </w:p>
        </w:tc>
        <w:tc>
          <w:tcPr>
            <w:tcW w:w="832" w:type="dxa"/>
            <w:tcBorders>
              <w:top w:val="single" w:sz="4" w:space="0" w:color="auto"/>
              <w:left w:val="nil"/>
              <w:bottom w:val="single" w:sz="4" w:space="0" w:color="auto"/>
              <w:right w:val="single" w:sz="4" w:space="0" w:color="auto"/>
            </w:tcBorders>
            <w:shd w:val="clear" w:color="auto" w:fill="auto"/>
            <w:noWrap/>
            <w:vAlign w:val="bottom"/>
          </w:tcPr>
          <w:p w14:paraId="09085A57" w14:textId="77777777" w:rsidR="00353702" w:rsidRPr="00E47AA9" w:rsidRDefault="00353702" w:rsidP="00353702">
            <w:pPr>
              <w:spacing w:after="0" w:line="240" w:lineRule="auto"/>
              <w:jc w:val="right"/>
              <w:rPr>
                <w:rFonts w:ascii="Times New Roman" w:hAnsi="Times New Roman" w:cs="Times New Roman"/>
                <w:b/>
                <w:bCs/>
              </w:rPr>
            </w:pPr>
            <w:r w:rsidRPr="00E47AA9">
              <w:rPr>
                <w:rFonts w:ascii="Times New Roman" w:hAnsi="Times New Roman" w:cs="Times New Roman"/>
                <w:b/>
                <w:bCs/>
              </w:rPr>
              <w:t>96,46</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07E7C6C" w14:textId="77777777" w:rsidR="00353702" w:rsidRPr="00E47AA9" w:rsidRDefault="00353702" w:rsidP="00353702">
            <w:pPr>
              <w:spacing w:after="0" w:line="240" w:lineRule="auto"/>
              <w:jc w:val="right"/>
              <w:rPr>
                <w:rFonts w:ascii="Times New Roman" w:hAnsi="Times New Roman" w:cs="Times New Roman"/>
                <w:b/>
                <w:bCs/>
                <w:i/>
                <w:iCs/>
              </w:rPr>
            </w:pPr>
            <w:r w:rsidRPr="00E47AA9">
              <w:rPr>
                <w:rFonts w:ascii="Times New Roman" w:hAnsi="Times New Roman" w:cs="Times New Roman"/>
                <w:b/>
                <w:bCs/>
                <w:i/>
                <w:iCs/>
              </w:rPr>
              <w:t>100,00</w:t>
            </w:r>
          </w:p>
        </w:tc>
        <w:tc>
          <w:tcPr>
            <w:tcW w:w="1322" w:type="dxa"/>
            <w:tcBorders>
              <w:top w:val="single" w:sz="4" w:space="0" w:color="auto"/>
              <w:left w:val="nil"/>
              <w:bottom w:val="single" w:sz="4" w:space="0" w:color="auto"/>
              <w:right w:val="single" w:sz="4" w:space="0" w:color="auto"/>
            </w:tcBorders>
            <w:shd w:val="clear" w:color="auto" w:fill="auto"/>
            <w:noWrap/>
            <w:vAlign w:val="bottom"/>
          </w:tcPr>
          <w:p w14:paraId="2F77F348" w14:textId="77777777" w:rsidR="00353702" w:rsidRPr="00E47AA9" w:rsidRDefault="00353702" w:rsidP="00353702">
            <w:pPr>
              <w:spacing w:after="0" w:line="240" w:lineRule="auto"/>
              <w:jc w:val="right"/>
              <w:rPr>
                <w:rFonts w:ascii="Times New Roman" w:hAnsi="Times New Roman" w:cs="Times New Roman"/>
                <w:b/>
                <w:bCs/>
              </w:rPr>
            </w:pPr>
            <w:r w:rsidRPr="00E47AA9">
              <w:rPr>
                <w:rFonts w:ascii="Times New Roman" w:hAnsi="Times New Roman" w:cs="Times New Roman"/>
                <w:b/>
                <w:bCs/>
              </w:rPr>
              <w:t>8 689,58</w:t>
            </w:r>
          </w:p>
        </w:tc>
      </w:tr>
    </w:tbl>
    <w:p w14:paraId="14CC931B" w14:textId="77777777" w:rsidR="00353702" w:rsidRPr="00E47AA9" w:rsidRDefault="00353702" w:rsidP="00353702">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14:paraId="07343187" w14:textId="77777777" w:rsidR="00353702" w:rsidRPr="00E47AA9" w:rsidRDefault="00353702" w:rsidP="00353702">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3.</w:t>
      </w:r>
      <w:r w:rsidRPr="00E47AA9">
        <w:rPr>
          <w:rFonts w:ascii="Times New Roman" w:eastAsia="Times New Roman" w:hAnsi="Times New Roman" w:cs="Times New Roman"/>
          <w:sz w:val="28"/>
          <w:szCs w:val="28"/>
          <w:lang w:eastAsia="ru-RU"/>
        </w:rPr>
        <w:t> Поквартальный анализ кассового исполнения ра</w:t>
      </w:r>
      <w:r w:rsidR="009957BA" w:rsidRPr="00E47AA9">
        <w:rPr>
          <w:rFonts w:ascii="Times New Roman" w:eastAsia="Times New Roman" w:hAnsi="Times New Roman" w:cs="Times New Roman"/>
          <w:sz w:val="28"/>
          <w:szCs w:val="28"/>
          <w:lang w:eastAsia="ru-RU"/>
        </w:rPr>
        <w:t xml:space="preserve">сходов краевого бюджета за 2022 – </w:t>
      </w:r>
      <w:r w:rsidRPr="00E47AA9">
        <w:rPr>
          <w:rFonts w:ascii="Times New Roman" w:eastAsia="Times New Roman" w:hAnsi="Times New Roman" w:cs="Times New Roman"/>
          <w:sz w:val="28"/>
          <w:szCs w:val="28"/>
          <w:lang w:eastAsia="ru-RU"/>
        </w:rPr>
        <w:t xml:space="preserve">2024 годы показывает, что в 2024 году имеется тенденция к более равномерному распределению по кварталам по сравнению с </w:t>
      </w:r>
      <w:r w:rsidRPr="00E47AA9">
        <w:rPr>
          <w:rFonts w:ascii="Times New Roman" w:eastAsia="Times New Roman" w:hAnsi="Times New Roman" w:cs="Times New Roman"/>
          <w:sz w:val="28"/>
          <w:szCs w:val="28"/>
          <w:lang w:eastAsia="ru-RU"/>
        </w:rPr>
        <w:lastRenderedPageBreak/>
        <w:t xml:space="preserve">предыдущими годами, где 4 квартал доминировал. </w:t>
      </w:r>
      <w:r w:rsidR="009957BA" w:rsidRPr="00E47AA9">
        <w:rPr>
          <w:rFonts w:ascii="Times New Roman" w:eastAsia="Times New Roman" w:hAnsi="Times New Roman" w:cs="Times New Roman"/>
          <w:sz w:val="28"/>
          <w:szCs w:val="28"/>
          <w:lang w:eastAsia="ru-RU"/>
        </w:rPr>
        <w:t>Это</w:t>
      </w:r>
      <w:r w:rsidRPr="00E47AA9">
        <w:rPr>
          <w:rFonts w:ascii="Times New Roman" w:eastAsia="Times New Roman" w:hAnsi="Times New Roman" w:cs="Times New Roman"/>
          <w:sz w:val="28"/>
          <w:szCs w:val="28"/>
          <w:lang w:eastAsia="ru-RU"/>
        </w:rPr>
        <w:t xml:space="preserve"> указывает на улучшение бюджетного планирования и управления расходами ГРБС.</w:t>
      </w:r>
    </w:p>
    <w:p w14:paraId="785CBCCA" w14:textId="77777777" w:rsidR="00353702" w:rsidRPr="00E47AA9" w:rsidRDefault="00353702" w:rsidP="00353702">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Данные в процентах от общего объема исполнения расходов краевого бюджета за год представлены в таблице.</w:t>
      </w:r>
    </w:p>
    <w:p w14:paraId="18C38CCB" w14:textId="77777777" w:rsidR="00353702" w:rsidRPr="00E47AA9" w:rsidRDefault="00353702" w:rsidP="00353702">
      <w:pPr>
        <w:autoSpaceDE w:val="0"/>
        <w:autoSpaceDN w:val="0"/>
        <w:adjustRightInd w:val="0"/>
        <w:spacing w:after="0" w:line="240" w:lineRule="auto"/>
        <w:ind w:firstLine="709"/>
        <w:jc w:val="both"/>
        <w:rPr>
          <w:rFonts w:ascii="Times New Roman" w:eastAsia="Times New Roman" w:hAnsi="Times New Roman" w:cs="Times New Roman"/>
          <w:sz w:val="20"/>
          <w:szCs w:val="20"/>
          <w:lang w:eastAsia="ru-RU"/>
        </w:rPr>
      </w:pP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955"/>
        <w:gridCol w:w="1543"/>
        <w:gridCol w:w="1384"/>
        <w:gridCol w:w="1515"/>
        <w:gridCol w:w="1966"/>
      </w:tblGrid>
      <w:tr w:rsidR="00E47AA9" w:rsidRPr="00E47AA9" w14:paraId="4414CDA8" w14:textId="77777777" w:rsidTr="00353702">
        <w:trPr>
          <w:tblHeader/>
        </w:trPr>
        <w:tc>
          <w:tcPr>
            <w:tcW w:w="1813" w:type="dxa"/>
            <w:tcMar>
              <w:top w:w="103" w:type="dxa"/>
              <w:left w:w="0" w:type="dxa"/>
              <w:bottom w:w="103" w:type="dxa"/>
              <w:right w:w="206" w:type="dxa"/>
            </w:tcMar>
            <w:vAlign w:val="center"/>
            <w:hideMark/>
          </w:tcPr>
          <w:p w14:paraId="20FD0185" w14:textId="77777777" w:rsidR="00353702" w:rsidRPr="00E47AA9" w:rsidRDefault="00353702" w:rsidP="00353702">
            <w:pPr>
              <w:spacing w:after="0" w:line="240" w:lineRule="auto"/>
              <w:ind w:firstLine="142"/>
              <w:jc w:val="center"/>
              <w:rPr>
                <w:rFonts w:ascii="Times New Roman" w:eastAsia="Times New Roman" w:hAnsi="Times New Roman" w:cs="Times New Roman"/>
                <w:b/>
                <w:bCs/>
                <w:sz w:val="24"/>
                <w:szCs w:val="24"/>
                <w:lang w:eastAsia="ru-RU"/>
              </w:rPr>
            </w:pPr>
            <w:r w:rsidRPr="00E47AA9">
              <w:rPr>
                <w:rFonts w:ascii="Times New Roman" w:eastAsia="Times New Roman" w:hAnsi="Times New Roman" w:cs="Times New Roman"/>
                <w:b/>
                <w:bCs/>
                <w:sz w:val="24"/>
                <w:szCs w:val="24"/>
                <w:lang w:eastAsia="ru-RU"/>
              </w:rPr>
              <w:t>Наименование периода</w:t>
            </w:r>
          </w:p>
        </w:tc>
        <w:tc>
          <w:tcPr>
            <w:tcW w:w="1589" w:type="dxa"/>
            <w:tcMar>
              <w:top w:w="103" w:type="dxa"/>
              <w:left w:w="206" w:type="dxa"/>
              <w:bottom w:w="103" w:type="dxa"/>
              <w:right w:w="206" w:type="dxa"/>
            </w:tcMar>
            <w:vAlign w:val="center"/>
            <w:hideMark/>
          </w:tcPr>
          <w:p w14:paraId="25300084" w14:textId="77777777" w:rsidR="00353702" w:rsidRPr="00E47AA9" w:rsidRDefault="00353702" w:rsidP="00353702">
            <w:pPr>
              <w:spacing w:after="0" w:line="240" w:lineRule="auto"/>
              <w:jc w:val="center"/>
              <w:rPr>
                <w:rFonts w:ascii="Times New Roman" w:eastAsia="Times New Roman" w:hAnsi="Times New Roman" w:cs="Times New Roman"/>
                <w:b/>
                <w:bCs/>
                <w:sz w:val="24"/>
                <w:szCs w:val="24"/>
                <w:lang w:eastAsia="ru-RU"/>
              </w:rPr>
            </w:pPr>
            <w:r w:rsidRPr="00E47AA9">
              <w:rPr>
                <w:rFonts w:ascii="Times New Roman" w:eastAsia="Times New Roman" w:hAnsi="Times New Roman" w:cs="Times New Roman"/>
                <w:b/>
                <w:bCs/>
                <w:sz w:val="24"/>
                <w:szCs w:val="24"/>
                <w:lang w:eastAsia="ru-RU"/>
              </w:rPr>
              <w:t>2022 год</w:t>
            </w:r>
          </w:p>
        </w:tc>
        <w:tc>
          <w:tcPr>
            <w:tcW w:w="1418" w:type="dxa"/>
            <w:tcMar>
              <w:top w:w="103" w:type="dxa"/>
              <w:left w:w="206" w:type="dxa"/>
              <w:bottom w:w="103" w:type="dxa"/>
              <w:right w:w="206" w:type="dxa"/>
            </w:tcMar>
            <w:vAlign w:val="center"/>
            <w:hideMark/>
          </w:tcPr>
          <w:p w14:paraId="3D90A072" w14:textId="77777777" w:rsidR="00353702" w:rsidRPr="00E47AA9" w:rsidRDefault="00353702" w:rsidP="00353702">
            <w:pPr>
              <w:spacing w:after="0" w:line="240" w:lineRule="auto"/>
              <w:jc w:val="center"/>
              <w:rPr>
                <w:rFonts w:ascii="Times New Roman" w:eastAsia="Times New Roman" w:hAnsi="Times New Roman" w:cs="Times New Roman"/>
                <w:b/>
                <w:bCs/>
                <w:sz w:val="24"/>
                <w:szCs w:val="24"/>
                <w:lang w:eastAsia="ru-RU"/>
              </w:rPr>
            </w:pPr>
            <w:r w:rsidRPr="00E47AA9">
              <w:rPr>
                <w:rFonts w:ascii="Times New Roman" w:eastAsia="Times New Roman" w:hAnsi="Times New Roman" w:cs="Times New Roman"/>
                <w:b/>
                <w:bCs/>
                <w:sz w:val="24"/>
                <w:szCs w:val="24"/>
                <w:lang w:eastAsia="ru-RU"/>
              </w:rPr>
              <w:t>2023 год</w:t>
            </w:r>
          </w:p>
        </w:tc>
        <w:tc>
          <w:tcPr>
            <w:tcW w:w="1559" w:type="dxa"/>
            <w:tcMar>
              <w:top w:w="103" w:type="dxa"/>
              <w:left w:w="206" w:type="dxa"/>
              <w:bottom w:w="103" w:type="dxa"/>
              <w:right w:w="206" w:type="dxa"/>
            </w:tcMar>
            <w:vAlign w:val="center"/>
            <w:hideMark/>
          </w:tcPr>
          <w:p w14:paraId="7067FCBE" w14:textId="77777777" w:rsidR="00353702" w:rsidRPr="00E47AA9" w:rsidRDefault="00353702" w:rsidP="00353702">
            <w:pPr>
              <w:spacing w:after="0" w:line="240" w:lineRule="auto"/>
              <w:jc w:val="center"/>
              <w:rPr>
                <w:rFonts w:ascii="Times New Roman" w:eastAsia="Times New Roman" w:hAnsi="Times New Roman" w:cs="Times New Roman"/>
                <w:b/>
                <w:bCs/>
                <w:sz w:val="24"/>
                <w:szCs w:val="24"/>
                <w:lang w:eastAsia="ru-RU"/>
              </w:rPr>
            </w:pPr>
            <w:r w:rsidRPr="00E47AA9">
              <w:rPr>
                <w:rFonts w:ascii="Times New Roman" w:eastAsia="Times New Roman" w:hAnsi="Times New Roman" w:cs="Times New Roman"/>
                <w:b/>
                <w:bCs/>
                <w:sz w:val="24"/>
                <w:szCs w:val="24"/>
                <w:lang w:eastAsia="ru-RU"/>
              </w:rPr>
              <w:t>2024 год</w:t>
            </w:r>
          </w:p>
        </w:tc>
        <w:tc>
          <w:tcPr>
            <w:tcW w:w="1984" w:type="dxa"/>
            <w:tcMar>
              <w:top w:w="103" w:type="dxa"/>
              <w:left w:w="206" w:type="dxa"/>
              <w:bottom w:w="103" w:type="dxa"/>
              <w:right w:w="206" w:type="dxa"/>
            </w:tcMar>
            <w:vAlign w:val="center"/>
            <w:hideMark/>
          </w:tcPr>
          <w:p w14:paraId="6058023A" w14:textId="77777777" w:rsidR="00353702" w:rsidRPr="00E47AA9" w:rsidRDefault="00353702" w:rsidP="00353702">
            <w:pPr>
              <w:spacing w:after="0" w:line="240" w:lineRule="auto"/>
              <w:jc w:val="center"/>
              <w:rPr>
                <w:rFonts w:ascii="Times New Roman" w:eastAsia="Times New Roman" w:hAnsi="Times New Roman" w:cs="Times New Roman"/>
                <w:b/>
                <w:bCs/>
                <w:sz w:val="24"/>
                <w:szCs w:val="24"/>
                <w:lang w:eastAsia="ru-RU"/>
              </w:rPr>
            </w:pPr>
            <w:r w:rsidRPr="00E47AA9">
              <w:rPr>
                <w:rFonts w:ascii="Times New Roman" w:eastAsia="Times New Roman" w:hAnsi="Times New Roman" w:cs="Times New Roman"/>
                <w:b/>
                <w:bCs/>
                <w:sz w:val="24"/>
                <w:szCs w:val="24"/>
                <w:lang w:eastAsia="ru-RU"/>
              </w:rPr>
              <w:t xml:space="preserve">Отклонение </w:t>
            </w:r>
          </w:p>
          <w:p w14:paraId="2B5A58FE" w14:textId="77777777" w:rsidR="00353702" w:rsidRPr="00E47AA9" w:rsidRDefault="00353702" w:rsidP="00353702">
            <w:pPr>
              <w:spacing w:after="0" w:line="240" w:lineRule="auto"/>
              <w:jc w:val="center"/>
              <w:rPr>
                <w:rFonts w:ascii="Times New Roman" w:eastAsia="Times New Roman" w:hAnsi="Times New Roman" w:cs="Times New Roman"/>
                <w:b/>
                <w:bCs/>
                <w:sz w:val="24"/>
                <w:szCs w:val="24"/>
                <w:lang w:eastAsia="ru-RU"/>
              </w:rPr>
            </w:pPr>
            <w:r w:rsidRPr="00E47AA9">
              <w:rPr>
                <w:rFonts w:ascii="Times New Roman" w:eastAsia="Times New Roman" w:hAnsi="Times New Roman" w:cs="Times New Roman"/>
                <w:b/>
                <w:bCs/>
                <w:sz w:val="24"/>
                <w:szCs w:val="24"/>
                <w:lang w:eastAsia="ru-RU"/>
              </w:rPr>
              <w:t>(2024 к 2023)</w:t>
            </w:r>
          </w:p>
        </w:tc>
      </w:tr>
      <w:tr w:rsidR="00E47AA9" w:rsidRPr="00E47AA9" w14:paraId="1D84C2EA" w14:textId="77777777" w:rsidTr="00353702">
        <w:tc>
          <w:tcPr>
            <w:tcW w:w="1813" w:type="dxa"/>
            <w:tcMar>
              <w:top w:w="103" w:type="dxa"/>
              <w:left w:w="0" w:type="dxa"/>
              <w:bottom w:w="103" w:type="dxa"/>
              <w:right w:w="206" w:type="dxa"/>
            </w:tcMar>
            <w:vAlign w:val="center"/>
            <w:hideMark/>
          </w:tcPr>
          <w:p w14:paraId="6D228783" w14:textId="77777777" w:rsidR="00353702" w:rsidRPr="00E47AA9" w:rsidRDefault="00353702" w:rsidP="00353702">
            <w:pPr>
              <w:spacing w:after="0" w:line="240" w:lineRule="auto"/>
              <w:ind w:firstLine="142"/>
              <w:rPr>
                <w:rFonts w:ascii="Times New Roman" w:eastAsia="Times New Roman" w:hAnsi="Times New Roman" w:cs="Times New Roman"/>
                <w:sz w:val="24"/>
                <w:szCs w:val="24"/>
                <w:lang w:eastAsia="ru-RU"/>
              </w:rPr>
            </w:pPr>
            <w:r w:rsidRPr="00E47AA9">
              <w:rPr>
                <w:rFonts w:ascii="Times New Roman" w:eastAsia="Times New Roman" w:hAnsi="Times New Roman" w:cs="Times New Roman"/>
                <w:b/>
                <w:bCs/>
                <w:sz w:val="24"/>
                <w:szCs w:val="24"/>
                <w:lang w:eastAsia="ru-RU"/>
              </w:rPr>
              <w:t>1 квартал</w:t>
            </w:r>
          </w:p>
        </w:tc>
        <w:tc>
          <w:tcPr>
            <w:tcW w:w="1589" w:type="dxa"/>
            <w:tcMar>
              <w:top w:w="103" w:type="dxa"/>
              <w:left w:w="206" w:type="dxa"/>
              <w:bottom w:w="103" w:type="dxa"/>
              <w:right w:w="206" w:type="dxa"/>
            </w:tcMar>
            <w:vAlign w:val="center"/>
            <w:hideMark/>
          </w:tcPr>
          <w:p w14:paraId="60B5927E" w14:textId="77777777" w:rsidR="00353702" w:rsidRPr="00E47AA9" w:rsidRDefault="00353702" w:rsidP="00353702">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15,83 %</w:t>
            </w:r>
          </w:p>
        </w:tc>
        <w:tc>
          <w:tcPr>
            <w:tcW w:w="1418" w:type="dxa"/>
            <w:tcMar>
              <w:top w:w="103" w:type="dxa"/>
              <w:left w:w="206" w:type="dxa"/>
              <w:bottom w:w="103" w:type="dxa"/>
              <w:right w:w="206" w:type="dxa"/>
            </w:tcMar>
            <w:vAlign w:val="center"/>
            <w:hideMark/>
          </w:tcPr>
          <w:p w14:paraId="30C1C6D0" w14:textId="77777777" w:rsidR="00353702" w:rsidRPr="00E47AA9" w:rsidRDefault="00353702" w:rsidP="00353702">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16,92 %</w:t>
            </w:r>
          </w:p>
        </w:tc>
        <w:tc>
          <w:tcPr>
            <w:tcW w:w="1559" w:type="dxa"/>
            <w:tcMar>
              <w:top w:w="103" w:type="dxa"/>
              <w:left w:w="206" w:type="dxa"/>
              <w:bottom w:w="103" w:type="dxa"/>
              <w:right w:w="206" w:type="dxa"/>
            </w:tcMar>
            <w:vAlign w:val="center"/>
            <w:hideMark/>
          </w:tcPr>
          <w:p w14:paraId="14F4E7A4" w14:textId="77777777" w:rsidR="00353702" w:rsidRPr="00E47AA9" w:rsidRDefault="00353702" w:rsidP="00353702">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21,01 %</w:t>
            </w:r>
          </w:p>
        </w:tc>
        <w:tc>
          <w:tcPr>
            <w:tcW w:w="1984" w:type="dxa"/>
            <w:tcMar>
              <w:top w:w="103" w:type="dxa"/>
              <w:left w:w="206" w:type="dxa"/>
              <w:bottom w:w="103" w:type="dxa"/>
              <w:right w:w="206" w:type="dxa"/>
            </w:tcMar>
            <w:vAlign w:val="center"/>
            <w:hideMark/>
          </w:tcPr>
          <w:p w14:paraId="12673C66" w14:textId="77777777" w:rsidR="00353702" w:rsidRPr="00E47AA9" w:rsidRDefault="00353702" w:rsidP="00353702">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 </w:t>
            </w:r>
            <w:r w:rsidRPr="00E47AA9">
              <w:rPr>
                <w:rFonts w:ascii="Times New Roman" w:eastAsia="Times New Roman" w:hAnsi="Times New Roman" w:cs="Times New Roman"/>
                <w:b/>
                <w:bCs/>
                <w:sz w:val="24"/>
                <w:szCs w:val="24"/>
                <w:lang w:eastAsia="ru-RU"/>
              </w:rPr>
              <w:t>+4,09 %</w:t>
            </w:r>
          </w:p>
        </w:tc>
      </w:tr>
      <w:tr w:rsidR="00E47AA9" w:rsidRPr="00E47AA9" w14:paraId="73BF4A3D" w14:textId="77777777" w:rsidTr="00353702">
        <w:tc>
          <w:tcPr>
            <w:tcW w:w="1813" w:type="dxa"/>
            <w:tcMar>
              <w:top w:w="103" w:type="dxa"/>
              <w:left w:w="0" w:type="dxa"/>
              <w:bottom w:w="103" w:type="dxa"/>
              <w:right w:w="206" w:type="dxa"/>
            </w:tcMar>
            <w:vAlign w:val="center"/>
            <w:hideMark/>
          </w:tcPr>
          <w:p w14:paraId="093644C8" w14:textId="77777777" w:rsidR="00353702" w:rsidRPr="00E47AA9" w:rsidRDefault="00353702" w:rsidP="00353702">
            <w:pPr>
              <w:spacing w:after="0" w:line="240" w:lineRule="auto"/>
              <w:ind w:firstLine="142"/>
              <w:rPr>
                <w:rFonts w:ascii="Times New Roman" w:eastAsia="Times New Roman" w:hAnsi="Times New Roman" w:cs="Times New Roman"/>
                <w:sz w:val="24"/>
                <w:szCs w:val="24"/>
                <w:lang w:eastAsia="ru-RU"/>
              </w:rPr>
            </w:pPr>
            <w:r w:rsidRPr="00E47AA9">
              <w:rPr>
                <w:rFonts w:ascii="Times New Roman" w:eastAsia="Times New Roman" w:hAnsi="Times New Roman" w:cs="Times New Roman"/>
                <w:b/>
                <w:bCs/>
                <w:sz w:val="24"/>
                <w:szCs w:val="24"/>
                <w:lang w:eastAsia="ru-RU"/>
              </w:rPr>
              <w:t>2 квартал</w:t>
            </w:r>
          </w:p>
        </w:tc>
        <w:tc>
          <w:tcPr>
            <w:tcW w:w="1589" w:type="dxa"/>
            <w:tcMar>
              <w:top w:w="103" w:type="dxa"/>
              <w:left w:w="206" w:type="dxa"/>
              <w:bottom w:w="103" w:type="dxa"/>
              <w:right w:w="206" w:type="dxa"/>
            </w:tcMar>
            <w:vAlign w:val="center"/>
            <w:hideMark/>
          </w:tcPr>
          <w:p w14:paraId="01F961DC" w14:textId="77777777" w:rsidR="00353702" w:rsidRPr="00E47AA9" w:rsidRDefault="00353702" w:rsidP="00353702">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27,28 %</w:t>
            </w:r>
          </w:p>
        </w:tc>
        <w:tc>
          <w:tcPr>
            <w:tcW w:w="1418" w:type="dxa"/>
            <w:tcMar>
              <w:top w:w="103" w:type="dxa"/>
              <w:left w:w="206" w:type="dxa"/>
              <w:bottom w:w="103" w:type="dxa"/>
              <w:right w:w="206" w:type="dxa"/>
            </w:tcMar>
            <w:vAlign w:val="center"/>
            <w:hideMark/>
          </w:tcPr>
          <w:p w14:paraId="572BE70C" w14:textId="77777777" w:rsidR="00353702" w:rsidRPr="00E47AA9" w:rsidRDefault="00353702" w:rsidP="00353702">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23,35 %</w:t>
            </w:r>
          </w:p>
        </w:tc>
        <w:tc>
          <w:tcPr>
            <w:tcW w:w="1559" w:type="dxa"/>
            <w:tcMar>
              <w:top w:w="103" w:type="dxa"/>
              <w:left w:w="206" w:type="dxa"/>
              <w:bottom w:w="103" w:type="dxa"/>
              <w:right w:w="206" w:type="dxa"/>
            </w:tcMar>
            <w:vAlign w:val="center"/>
            <w:hideMark/>
          </w:tcPr>
          <w:p w14:paraId="4A4BA50E" w14:textId="77777777" w:rsidR="00353702" w:rsidRPr="00E47AA9" w:rsidRDefault="00353702" w:rsidP="00353702">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24,85 %</w:t>
            </w:r>
          </w:p>
        </w:tc>
        <w:tc>
          <w:tcPr>
            <w:tcW w:w="1984" w:type="dxa"/>
            <w:tcMar>
              <w:top w:w="103" w:type="dxa"/>
              <w:left w:w="206" w:type="dxa"/>
              <w:bottom w:w="103" w:type="dxa"/>
              <w:right w:w="206" w:type="dxa"/>
            </w:tcMar>
            <w:vAlign w:val="center"/>
            <w:hideMark/>
          </w:tcPr>
          <w:p w14:paraId="5307F7EE" w14:textId="77777777" w:rsidR="00353702" w:rsidRPr="00E47AA9" w:rsidRDefault="00353702" w:rsidP="00353702">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 </w:t>
            </w:r>
            <w:r w:rsidRPr="00E47AA9">
              <w:rPr>
                <w:rFonts w:ascii="Times New Roman" w:eastAsia="Times New Roman" w:hAnsi="Times New Roman" w:cs="Times New Roman"/>
                <w:b/>
                <w:bCs/>
                <w:sz w:val="24"/>
                <w:szCs w:val="24"/>
                <w:lang w:eastAsia="ru-RU"/>
              </w:rPr>
              <w:t>+1,50 %</w:t>
            </w:r>
          </w:p>
        </w:tc>
      </w:tr>
      <w:tr w:rsidR="00E47AA9" w:rsidRPr="00E47AA9" w14:paraId="4DC55D51" w14:textId="77777777" w:rsidTr="00353702">
        <w:tc>
          <w:tcPr>
            <w:tcW w:w="1813" w:type="dxa"/>
            <w:tcMar>
              <w:top w:w="103" w:type="dxa"/>
              <w:left w:w="0" w:type="dxa"/>
              <w:bottom w:w="103" w:type="dxa"/>
              <w:right w:w="206" w:type="dxa"/>
            </w:tcMar>
            <w:vAlign w:val="center"/>
            <w:hideMark/>
          </w:tcPr>
          <w:p w14:paraId="0C8FEBC4" w14:textId="77777777" w:rsidR="00353702" w:rsidRPr="00E47AA9" w:rsidRDefault="00353702" w:rsidP="00353702">
            <w:pPr>
              <w:spacing w:after="0" w:line="240" w:lineRule="auto"/>
              <w:ind w:firstLine="142"/>
              <w:rPr>
                <w:rFonts w:ascii="Times New Roman" w:eastAsia="Times New Roman" w:hAnsi="Times New Roman" w:cs="Times New Roman"/>
                <w:sz w:val="24"/>
                <w:szCs w:val="24"/>
                <w:lang w:eastAsia="ru-RU"/>
              </w:rPr>
            </w:pPr>
            <w:r w:rsidRPr="00E47AA9">
              <w:rPr>
                <w:rFonts w:ascii="Times New Roman" w:eastAsia="Times New Roman" w:hAnsi="Times New Roman" w:cs="Times New Roman"/>
                <w:b/>
                <w:bCs/>
                <w:sz w:val="24"/>
                <w:szCs w:val="24"/>
                <w:lang w:eastAsia="ru-RU"/>
              </w:rPr>
              <w:t>3 квартал</w:t>
            </w:r>
          </w:p>
        </w:tc>
        <w:tc>
          <w:tcPr>
            <w:tcW w:w="1589" w:type="dxa"/>
            <w:tcMar>
              <w:top w:w="103" w:type="dxa"/>
              <w:left w:w="206" w:type="dxa"/>
              <w:bottom w:w="103" w:type="dxa"/>
              <w:right w:w="206" w:type="dxa"/>
            </w:tcMar>
            <w:vAlign w:val="center"/>
            <w:hideMark/>
          </w:tcPr>
          <w:p w14:paraId="08547D5F" w14:textId="77777777" w:rsidR="00353702" w:rsidRPr="00E47AA9" w:rsidRDefault="00353702" w:rsidP="00353702">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21,87 %</w:t>
            </w:r>
          </w:p>
        </w:tc>
        <w:tc>
          <w:tcPr>
            <w:tcW w:w="1418" w:type="dxa"/>
            <w:tcMar>
              <w:top w:w="103" w:type="dxa"/>
              <w:left w:w="206" w:type="dxa"/>
              <w:bottom w:w="103" w:type="dxa"/>
              <w:right w:w="206" w:type="dxa"/>
            </w:tcMar>
            <w:vAlign w:val="center"/>
            <w:hideMark/>
          </w:tcPr>
          <w:p w14:paraId="2C5A5DB6" w14:textId="77777777" w:rsidR="00353702" w:rsidRPr="00E47AA9" w:rsidRDefault="00353702" w:rsidP="00353702">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21,25 %</w:t>
            </w:r>
          </w:p>
        </w:tc>
        <w:tc>
          <w:tcPr>
            <w:tcW w:w="1559" w:type="dxa"/>
            <w:tcMar>
              <w:top w:w="103" w:type="dxa"/>
              <w:left w:w="206" w:type="dxa"/>
              <w:bottom w:w="103" w:type="dxa"/>
              <w:right w:w="206" w:type="dxa"/>
            </w:tcMar>
            <w:vAlign w:val="center"/>
            <w:hideMark/>
          </w:tcPr>
          <w:p w14:paraId="21C9CB70" w14:textId="77777777" w:rsidR="00353702" w:rsidRPr="00E47AA9" w:rsidRDefault="00353702" w:rsidP="00353702">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21,97 %</w:t>
            </w:r>
          </w:p>
        </w:tc>
        <w:tc>
          <w:tcPr>
            <w:tcW w:w="1984" w:type="dxa"/>
            <w:tcMar>
              <w:top w:w="103" w:type="dxa"/>
              <w:left w:w="206" w:type="dxa"/>
              <w:bottom w:w="103" w:type="dxa"/>
              <w:right w:w="206" w:type="dxa"/>
            </w:tcMar>
            <w:vAlign w:val="center"/>
            <w:hideMark/>
          </w:tcPr>
          <w:p w14:paraId="558E43A1" w14:textId="77777777" w:rsidR="00353702" w:rsidRPr="00E47AA9" w:rsidRDefault="00353702" w:rsidP="00353702">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 </w:t>
            </w:r>
            <w:r w:rsidRPr="00E47AA9">
              <w:rPr>
                <w:rFonts w:ascii="Times New Roman" w:eastAsia="Times New Roman" w:hAnsi="Times New Roman" w:cs="Times New Roman"/>
                <w:b/>
                <w:bCs/>
                <w:sz w:val="24"/>
                <w:szCs w:val="24"/>
                <w:lang w:eastAsia="ru-RU"/>
              </w:rPr>
              <w:t>+0,72 %</w:t>
            </w:r>
          </w:p>
        </w:tc>
      </w:tr>
      <w:tr w:rsidR="00353702" w:rsidRPr="00E47AA9" w14:paraId="33C8522A" w14:textId="77777777" w:rsidTr="00353702">
        <w:tc>
          <w:tcPr>
            <w:tcW w:w="1813" w:type="dxa"/>
            <w:tcMar>
              <w:top w:w="103" w:type="dxa"/>
              <w:left w:w="0" w:type="dxa"/>
              <w:bottom w:w="103" w:type="dxa"/>
              <w:right w:w="206" w:type="dxa"/>
            </w:tcMar>
            <w:vAlign w:val="center"/>
            <w:hideMark/>
          </w:tcPr>
          <w:p w14:paraId="2799C07F" w14:textId="77777777" w:rsidR="00353702" w:rsidRPr="00E47AA9" w:rsidRDefault="00353702" w:rsidP="00353702">
            <w:pPr>
              <w:spacing w:after="0" w:line="240" w:lineRule="auto"/>
              <w:ind w:firstLine="142"/>
              <w:rPr>
                <w:rFonts w:ascii="Times New Roman" w:eastAsia="Times New Roman" w:hAnsi="Times New Roman" w:cs="Times New Roman"/>
                <w:sz w:val="24"/>
                <w:szCs w:val="24"/>
                <w:lang w:eastAsia="ru-RU"/>
              </w:rPr>
            </w:pPr>
            <w:r w:rsidRPr="00E47AA9">
              <w:rPr>
                <w:rFonts w:ascii="Times New Roman" w:eastAsia="Times New Roman" w:hAnsi="Times New Roman" w:cs="Times New Roman"/>
                <w:b/>
                <w:bCs/>
                <w:sz w:val="24"/>
                <w:szCs w:val="24"/>
                <w:lang w:eastAsia="ru-RU"/>
              </w:rPr>
              <w:t>4 квартал</w:t>
            </w:r>
          </w:p>
        </w:tc>
        <w:tc>
          <w:tcPr>
            <w:tcW w:w="1589" w:type="dxa"/>
            <w:tcMar>
              <w:top w:w="103" w:type="dxa"/>
              <w:left w:w="206" w:type="dxa"/>
              <w:bottom w:w="103" w:type="dxa"/>
              <w:right w:w="206" w:type="dxa"/>
            </w:tcMar>
            <w:vAlign w:val="center"/>
            <w:hideMark/>
          </w:tcPr>
          <w:p w14:paraId="507A9A55" w14:textId="77777777" w:rsidR="00353702" w:rsidRPr="00E47AA9" w:rsidRDefault="00353702" w:rsidP="00353702">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35,02 %</w:t>
            </w:r>
          </w:p>
        </w:tc>
        <w:tc>
          <w:tcPr>
            <w:tcW w:w="1418" w:type="dxa"/>
            <w:tcMar>
              <w:top w:w="103" w:type="dxa"/>
              <w:left w:w="206" w:type="dxa"/>
              <w:bottom w:w="103" w:type="dxa"/>
              <w:right w:w="206" w:type="dxa"/>
            </w:tcMar>
            <w:vAlign w:val="center"/>
            <w:hideMark/>
          </w:tcPr>
          <w:p w14:paraId="0A7F92B0" w14:textId="77777777" w:rsidR="00353702" w:rsidRPr="00E47AA9" w:rsidRDefault="00353702" w:rsidP="00353702">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38,48 %</w:t>
            </w:r>
          </w:p>
        </w:tc>
        <w:tc>
          <w:tcPr>
            <w:tcW w:w="1559" w:type="dxa"/>
            <w:tcMar>
              <w:top w:w="103" w:type="dxa"/>
              <w:left w:w="206" w:type="dxa"/>
              <w:bottom w:w="103" w:type="dxa"/>
              <w:right w:w="206" w:type="dxa"/>
            </w:tcMar>
            <w:vAlign w:val="center"/>
            <w:hideMark/>
          </w:tcPr>
          <w:p w14:paraId="5B2B1B50" w14:textId="77777777" w:rsidR="00353702" w:rsidRPr="00E47AA9" w:rsidRDefault="00353702" w:rsidP="00353702">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32,17 %</w:t>
            </w:r>
          </w:p>
        </w:tc>
        <w:tc>
          <w:tcPr>
            <w:tcW w:w="1984" w:type="dxa"/>
            <w:tcMar>
              <w:top w:w="103" w:type="dxa"/>
              <w:left w:w="206" w:type="dxa"/>
              <w:bottom w:w="103" w:type="dxa"/>
              <w:right w:w="206" w:type="dxa"/>
            </w:tcMar>
            <w:vAlign w:val="center"/>
            <w:hideMark/>
          </w:tcPr>
          <w:p w14:paraId="1FC3C0CE" w14:textId="77777777" w:rsidR="00353702" w:rsidRPr="00E47AA9" w:rsidRDefault="00353702" w:rsidP="00353702">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 </w:t>
            </w:r>
            <w:r w:rsidRPr="00E47AA9">
              <w:rPr>
                <w:rFonts w:ascii="Times New Roman" w:eastAsia="Times New Roman" w:hAnsi="Times New Roman" w:cs="Times New Roman"/>
                <w:b/>
                <w:bCs/>
                <w:sz w:val="24"/>
                <w:szCs w:val="24"/>
                <w:lang w:eastAsia="ru-RU"/>
              </w:rPr>
              <w:t>-6,31 %</w:t>
            </w:r>
          </w:p>
        </w:tc>
      </w:tr>
    </w:tbl>
    <w:p w14:paraId="2704D8FF" w14:textId="77777777" w:rsidR="00353702" w:rsidRPr="00E47AA9" w:rsidRDefault="00353702" w:rsidP="00353702">
      <w:pPr>
        <w:spacing w:after="0" w:line="240" w:lineRule="auto"/>
        <w:rPr>
          <w:rFonts w:ascii="Times New Roman" w:eastAsia="Times New Roman" w:hAnsi="Times New Roman" w:cs="Times New Roman"/>
          <w:sz w:val="24"/>
          <w:szCs w:val="24"/>
          <w:lang w:eastAsia="ru-RU"/>
        </w:rPr>
      </w:pPr>
    </w:p>
    <w:p w14:paraId="000569E9" w14:textId="77777777" w:rsidR="00353702" w:rsidRPr="00E47AA9" w:rsidRDefault="00353702" w:rsidP="00353702">
      <w:pPr>
        <w:widowControl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b/>
          <w:sz w:val="28"/>
          <w:szCs w:val="28"/>
        </w:rPr>
        <w:t>4. </w:t>
      </w:r>
      <w:r w:rsidRPr="00E47AA9">
        <w:rPr>
          <w:rFonts w:ascii="Times New Roman" w:hAnsi="Times New Roman" w:cs="Times New Roman"/>
          <w:sz w:val="28"/>
          <w:szCs w:val="28"/>
        </w:rPr>
        <w:t>В краевом бюджете основной объем бюджетных средств расходуется в рамках 20 государственных программ Приморского края, направленных на решение конкретных стратегических задач развития Приморского края.</w:t>
      </w:r>
    </w:p>
    <w:p w14:paraId="6ABCB6C1" w14:textId="77777777" w:rsidR="00353702" w:rsidRPr="00E47AA9" w:rsidRDefault="00353702" w:rsidP="00353702">
      <w:pPr>
        <w:widowControl w:val="0"/>
        <w:spacing w:after="0" w:line="240" w:lineRule="auto"/>
        <w:ind w:firstLine="709"/>
        <w:jc w:val="both"/>
        <w:rPr>
          <w:rFonts w:ascii="Times New Roman" w:eastAsia="Times New Roman" w:hAnsi="Times New Roman" w:cs="Times New Roman"/>
          <w:bCs/>
          <w:sz w:val="28"/>
          <w:szCs w:val="28"/>
        </w:rPr>
      </w:pPr>
      <w:r w:rsidRPr="00E47AA9">
        <w:rPr>
          <w:rFonts w:ascii="Times New Roman" w:hAnsi="Times New Roman" w:cs="Times New Roman"/>
          <w:sz w:val="28"/>
          <w:szCs w:val="28"/>
        </w:rPr>
        <w:t>В общем объеме исполненных расходов в 2024 году на программные расходы направлено 94,73 % (224513,6</w:t>
      </w:r>
      <w:r w:rsidR="00A62BA9" w:rsidRPr="00E47AA9">
        <w:rPr>
          <w:rFonts w:ascii="Times New Roman" w:hAnsi="Times New Roman" w:cs="Times New Roman"/>
          <w:sz w:val="28"/>
          <w:szCs w:val="28"/>
        </w:rPr>
        <w:t>0</w:t>
      </w:r>
      <w:r w:rsidRPr="00E47AA9">
        <w:rPr>
          <w:rFonts w:ascii="Times New Roman" w:hAnsi="Times New Roman" w:cs="Times New Roman"/>
          <w:sz w:val="28"/>
          <w:szCs w:val="28"/>
        </w:rPr>
        <w:t xml:space="preserve"> млн рублей при уточненных бюджетных назначениях 232736,31 млн рублей). </w:t>
      </w:r>
      <w:r w:rsidRPr="00E47AA9">
        <w:rPr>
          <w:rFonts w:ascii="Times New Roman" w:eastAsia="Times New Roman" w:hAnsi="Times New Roman" w:cs="Times New Roman"/>
          <w:sz w:val="28"/>
          <w:szCs w:val="28"/>
          <w:shd w:val="clear" w:color="auto" w:fill="FFFFFF"/>
          <w:lang w:eastAsia="ru-RU" w:bidi="ru-RU"/>
        </w:rPr>
        <w:t xml:space="preserve">В структуре государственных программ Приморского края на </w:t>
      </w:r>
      <w:r w:rsidRPr="00E47AA9">
        <w:rPr>
          <w:rFonts w:ascii="Times New Roman" w:eastAsia="Times New Roman" w:hAnsi="Times New Roman" w:cs="Times New Roman"/>
          <w:bCs/>
          <w:sz w:val="28"/>
          <w:szCs w:val="28"/>
        </w:rPr>
        <w:t xml:space="preserve">долю процессных мероприятий приходится 85,33 % общего объема </w:t>
      </w:r>
      <w:r w:rsidRPr="00E47AA9">
        <w:rPr>
          <w:rFonts w:ascii="Times New Roman" w:eastAsia="Times New Roman" w:hAnsi="Times New Roman" w:cs="Times New Roman"/>
          <w:sz w:val="28"/>
          <w:szCs w:val="28"/>
          <w:shd w:val="clear" w:color="auto" w:fill="FFFFFF"/>
          <w:lang w:eastAsia="ru-RU" w:bidi="ru-RU"/>
        </w:rPr>
        <w:t>исполненных программных</w:t>
      </w:r>
      <w:r w:rsidRPr="00E47AA9">
        <w:rPr>
          <w:rFonts w:ascii="Times New Roman" w:eastAsia="Times New Roman" w:hAnsi="Times New Roman" w:cs="Times New Roman"/>
          <w:bCs/>
          <w:sz w:val="28"/>
          <w:szCs w:val="28"/>
        </w:rPr>
        <w:t xml:space="preserve"> расходов. </w:t>
      </w:r>
      <w:r w:rsidRPr="00E47AA9">
        <w:rPr>
          <w:rFonts w:ascii="Times New Roman" w:eastAsia="Times New Roman" w:hAnsi="Times New Roman" w:cs="Times New Roman"/>
          <w:sz w:val="28"/>
          <w:szCs w:val="28"/>
          <w:shd w:val="clear" w:color="auto" w:fill="FFFFFF"/>
          <w:lang w:eastAsia="ru-RU" w:bidi="ru-RU"/>
        </w:rPr>
        <w:t xml:space="preserve">Доля </w:t>
      </w:r>
      <w:r w:rsidRPr="00E47AA9">
        <w:rPr>
          <w:rFonts w:ascii="Times New Roman" w:eastAsia="Times New Roman" w:hAnsi="Times New Roman" w:cs="Times New Roman"/>
          <w:bCs/>
          <w:sz w:val="28"/>
          <w:szCs w:val="28"/>
        </w:rPr>
        <w:t>проектной части</w:t>
      </w:r>
      <w:r w:rsidRPr="00E47AA9">
        <w:rPr>
          <w:rFonts w:ascii="Times New Roman" w:eastAsia="Times New Roman" w:hAnsi="Times New Roman" w:cs="Times New Roman"/>
          <w:b/>
          <w:bCs/>
          <w:sz w:val="28"/>
          <w:szCs w:val="28"/>
        </w:rPr>
        <w:t xml:space="preserve"> </w:t>
      </w:r>
      <w:r w:rsidRPr="00E47AA9">
        <w:rPr>
          <w:rFonts w:ascii="Times New Roman" w:eastAsia="Times New Roman" w:hAnsi="Times New Roman" w:cs="Times New Roman"/>
          <w:bCs/>
          <w:sz w:val="28"/>
          <w:szCs w:val="28"/>
        </w:rPr>
        <w:t>занимает 14,67 % в программных расходах.</w:t>
      </w:r>
    </w:p>
    <w:p w14:paraId="64BC0346" w14:textId="77777777" w:rsidR="00353702" w:rsidRPr="00E47AA9" w:rsidRDefault="00353702" w:rsidP="00353702">
      <w:pPr>
        <w:widowControl w:val="0"/>
        <w:spacing w:after="0" w:line="240" w:lineRule="auto"/>
        <w:ind w:firstLine="709"/>
        <w:jc w:val="both"/>
        <w:rPr>
          <w:rFonts w:ascii="Times New Roman" w:eastAsia="Times New Roman" w:hAnsi="Times New Roman" w:cs="Times New Roman"/>
          <w:bCs/>
          <w:sz w:val="28"/>
          <w:szCs w:val="28"/>
        </w:rPr>
      </w:pPr>
      <w:r w:rsidRPr="00E47AA9">
        <w:rPr>
          <w:rFonts w:ascii="Times New Roman" w:eastAsia="Times New Roman" w:hAnsi="Times New Roman" w:cs="Times New Roman"/>
          <w:bCs/>
          <w:sz w:val="28"/>
          <w:szCs w:val="28"/>
        </w:rPr>
        <w:t>На непрограммные расходы приходится 5,27 % в общем исполненном объеме.</w:t>
      </w:r>
    </w:p>
    <w:p w14:paraId="1BD6711E" w14:textId="77777777" w:rsidR="00353702" w:rsidRPr="00E47AA9" w:rsidRDefault="00353702" w:rsidP="00353702">
      <w:pPr>
        <w:widowControl w:val="0"/>
        <w:spacing w:after="0" w:line="240" w:lineRule="auto"/>
        <w:ind w:firstLine="709"/>
        <w:jc w:val="both"/>
        <w:rPr>
          <w:rFonts w:ascii="Times New Roman" w:eastAsia="Times New Roman" w:hAnsi="Times New Roman" w:cs="Times New Roman"/>
          <w:bCs/>
          <w:sz w:val="28"/>
          <w:szCs w:val="28"/>
        </w:rPr>
      </w:pPr>
    </w:p>
    <w:tbl>
      <w:tblPr>
        <w:tblW w:w="9643" w:type="dxa"/>
        <w:tblInd w:w="-289" w:type="dxa"/>
        <w:tblLook w:val="04A0" w:firstRow="1" w:lastRow="0" w:firstColumn="1" w:lastColumn="0" w:noHBand="0" w:noVBand="1"/>
      </w:tblPr>
      <w:tblGrid>
        <w:gridCol w:w="1746"/>
        <w:gridCol w:w="1316"/>
        <w:gridCol w:w="1151"/>
        <w:gridCol w:w="1312"/>
        <w:gridCol w:w="1312"/>
        <w:gridCol w:w="1221"/>
        <w:gridCol w:w="1585"/>
      </w:tblGrid>
      <w:tr w:rsidR="00E47AA9" w:rsidRPr="00A6781A" w14:paraId="7D88C9E4" w14:textId="77777777" w:rsidTr="00353702">
        <w:trPr>
          <w:trHeight w:val="20"/>
        </w:trPr>
        <w:tc>
          <w:tcPr>
            <w:tcW w:w="9643" w:type="dxa"/>
            <w:gridSpan w:val="7"/>
            <w:tcBorders>
              <w:bottom w:val="single" w:sz="4" w:space="0" w:color="auto"/>
            </w:tcBorders>
            <w:shd w:val="clear" w:color="000000" w:fill="FFFFFF"/>
          </w:tcPr>
          <w:p w14:paraId="0CBE59D4" w14:textId="77777777" w:rsidR="00353702" w:rsidRPr="00A6781A" w:rsidRDefault="00353702" w:rsidP="00353702">
            <w:pPr>
              <w:spacing w:after="0" w:line="240" w:lineRule="auto"/>
              <w:jc w:val="right"/>
              <w:rPr>
                <w:rFonts w:ascii="Times New Roman" w:eastAsia="Times New Roman" w:hAnsi="Times New Roman" w:cs="Times New Roman"/>
                <w:sz w:val="20"/>
                <w:szCs w:val="20"/>
                <w:lang w:eastAsia="ru-RU"/>
              </w:rPr>
            </w:pPr>
            <w:r w:rsidRPr="00A6781A">
              <w:rPr>
                <w:rFonts w:ascii="Times New Roman" w:eastAsia="Times New Roman" w:hAnsi="Times New Roman" w:cs="Times New Roman"/>
                <w:sz w:val="20"/>
                <w:szCs w:val="20"/>
              </w:rPr>
              <w:t>(млн рублей)</w:t>
            </w:r>
          </w:p>
        </w:tc>
      </w:tr>
      <w:tr w:rsidR="00E47AA9" w:rsidRPr="00E47AA9" w14:paraId="04D636CA" w14:textId="77777777" w:rsidTr="00353702">
        <w:trPr>
          <w:trHeight w:val="20"/>
        </w:trPr>
        <w:tc>
          <w:tcPr>
            <w:tcW w:w="1873" w:type="dxa"/>
            <w:vMerge w:val="restart"/>
            <w:tcBorders>
              <w:top w:val="single" w:sz="4" w:space="0" w:color="auto"/>
              <w:left w:val="single" w:sz="4" w:space="0" w:color="auto"/>
              <w:right w:val="single" w:sz="4" w:space="0" w:color="auto"/>
            </w:tcBorders>
            <w:shd w:val="clear" w:color="000000" w:fill="FFFFFF"/>
            <w:vAlign w:val="center"/>
          </w:tcPr>
          <w:p w14:paraId="03B632A8"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w:t>
            </w:r>
          </w:p>
        </w:tc>
        <w:tc>
          <w:tcPr>
            <w:tcW w:w="1316" w:type="dxa"/>
            <w:vMerge w:val="restart"/>
            <w:tcBorders>
              <w:top w:val="single" w:sz="4" w:space="0" w:color="auto"/>
              <w:left w:val="single" w:sz="4" w:space="0" w:color="auto"/>
              <w:right w:val="single" w:sz="4" w:space="0" w:color="auto"/>
            </w:tcBorders>
            <w:shd w:val="clear" w:color="000000" w:fill="FFFFFF"/>
            <w:vAlign w:val="center"/>
          </w:tcPr>
          <w:p w14:paraId="7FC21033"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6454"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14:paraId="52F46512"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r>
      <w:tr w:rsidR="00E47AA9" w:rsidRPr="00E47AA9" w14:paraId="489673DF" w14:textId="77777777" w:rsidTr="00353702">
        <w:trPr>
          <w:trHeight w:val="20"/>
        </w:trPr>
        <w:tc>
          <w:tcPr>
            <w:tcW w:w="1873" w:type="dxa"/>
            <w:vMerge/>
            <w:tcBorders>
              <w:left w:val="single" w:sz="4" w:space="0" w:color="auto"/>
              <w:right w:val="single" w:sz="4" w:space="0" w:color="auto"/>
            </w:tcBorders>
            <w:shd w:val="clear" w:color="000000" w:fill="FFFFFF"/>
            <w:vAlign w:val="center"/>
          </w:tcPr>
          <w:p w14:paraId="29008F4B" w14:textId="77777777" w:rsidR="00353702" w:rsidRPr="00E47AA9" w:rsidRDefault="00353702" w:rsidP="00353702">
            <w:pPr>
              <w:spacing w:after="0" w:line="240" w:lineRule="auto"/>
              <w:rPr>
                <w:rFonts w:ascii="Times New Roman" w:eastAsia="Times New Roman" w:hAnsi="Times New Roman" w:cs="Times New Roman"/>
                <w:sz w:val="20"/>
                <w:szCs w:val="20"/>
                <w:lang w:eastAsia="ru-RU"/>
              </w:rPr>
            </w:pPr>
          </w:p>
        </w:tc>
        <w:tc>
          <w:tcPr>
            <w:tcW w:w="1316" w:type="dxa"/>
            <w:vMerge/>
            <w:tcBorders>
              <w:left w:val="single" w:sz="4" w:space="0" w:color="auto"/>
              <w:right w:val="single" w:sz="4" w:space="0" w:color="auto"/>
            </w:tcBorders>
            <w:shd w:val="clear" w:color="000000" w:fill="FFFFFF"/>
            <w:vAlign w:val="center"/>
          </w:tcPr>
          <w:p w14:paraId="1585F4A9"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p>
        </w:tc>
        <w:tc>
          <w:tcPr>
            <w:tcW w:w="1151" w:type="dxa"/>
            <w:vMerge w:val="restart"/>
            <w:tcBorders>
              <w:top w:val="single" w:sz="4" w:space="0" w:color="auto"/>
              <w:left w:val="single" w:sz="4" w:space="0" w:color="auto"/>
              <w:right w:val="single" w:sz="4" w:space="0" w:color="auto"/>
            </w:tcBorders>
            <w:shd w:val="clear" w:color="000000" w:fill="FFFFFF"/>
            <w:vAlign w:val="center"/>
          </w:tcPr>
          <w:p w14:paraId="4F07A4A7" w14:textId="5D3B2EB8" w:rsidR="00353702" w:rsidRPr="00E47AA9" w:rsidRDefault="00166CD4" w:rsidP="00166CD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w:t>
            </w:r>
            <w:r w:rsidR="00353702" w:rsidRPr="00E47AA9">
              <w:rPr>
                <w:rFonts w:ascii="Times New Roman" w:eastAsia="Times New Roman" w:hAnsi="Times New Roman" w:cs="Times New Roman"/>
                <w:sz w:val="20"/>
                <w:szCs w:val="20"/>
                <w:lang w:eastAsia="ru-RU"/>
              </w:rPr>
              <w:t>сего</w:t>
            </w:r>
          </w:p>
        </w:tc>
        <w:tc>
          <w:tcPr>
            <w:tcW w:w="2728"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7344696A" w14:textId="77777777" w:rsidR="00353702" w:rsidRPr="00E47AA9" w:rsidRDefault="00864865" w:rsidP="00353702">
            <w:pPr>
              <w:spacing w:after="0" w:line="240" w:lineRule="auto"/>
              <w:jc w:val="center"/>
              <w:rPr>
                <w:rFonts w:ascii="Times New Roman" w:eastAsia="Times New Roman" w:hAnsi="Times New Roman" w:cs="Times New Roman"/>
                <w:i/>
                <w:sz w:val="20"/>
                <w:szCs w:val="20"/>
                <w:lang w:eastAsia="ru-RU"/>
              </w:rPr>
            </w:pPr>
            <w:r w:rsidRPr="00E47AA9">
              <w:rPr>
                <w:rFonts w:ascii="Times New Roman" w:eastAsia="Times New Roman" w:hAnsi="Times New Roman" w:cs="Times New Roman"/>
                <w:i/>
                <w:sz w:val="20"/>
                <w:szCs w:val="20"/>
                <w:lang w:eastAsia="ru-RU"/>
              </w:rPr>
              <w:t>д</w:t>
            </w:r>
            <w:r w:rsidR="00353702" w:rsidRPr="00E47AA9">
              <w:rPr>
                <w:rFonts w:ascii="Times New Roman" w:eastAsia="Times New Roman" w:hAnsi="Times New Roman" w:cs="Times New Roman"/>
                <w:i/>
                <w:sz w:val="20"/>
                <w:szCs w:val="20"/>
                <w:lang w:eastAsia="ru-RU"/>
              </w:rPr>
              <w:t>оля в общем объеме</w:t>
            </w:r>
          </w:p>
        </w:tc>
        <w:tc>
          <w:tcPr>
            <w:tcW w:w="1222" w:type="dxa"/>
            <w:vMerge w:val="restart"/>
            <w:tcBorders>
              <w:top w:val="single" w:sz="4" w:space="0" w:color="auto"/>
              <w:left w:val="single" w:sz="4" w:space="0" w:color="auto"/>
              <w:right w:val="single" w:sz="4" w:space="0" w:color="auto"/>
            </w:tcBorders>
            <w:shd w:val="clear" w:color="000000" w:fill="FFFFFF"/>
            <w:vAlign w:val="center"/>
          </w:tcPr>
          <w:p w14:paraId="228D040A"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исполнения</w:t>
            </w:r>
          </w:p>
        </w:tc>
        <w:tc>
          <w:tcPr>
            <w:tcW w:w="1353" w:type="dxa"/>
            <w:vMerge w:val="restart"/>
            <w:tcBorders>
              <w:top w:val="single" w:sz="4" w:space="0" w:color="auto"/>
              <w:left w:val="single" w:sz="4" w:space="0" w:color="auto"/>
              <w:right w:val="single" w:sz="4" w:space="0" w:color="auto"/>
            </w:tcBorders>
            <w:shd w:val="clear" w:color="000000" w:fill="FFFFFF"/>
            <w:vAlign w:val="center"/>
          </w:tcPr>
          <w:p w14:paraId="16E0C947" w14:textId="2FD91AAC" w:rsidR="00353702" w:rsidRPr="00E47AA9" w:rsidRDefault="00166CD4" w:rsidP="00166CD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w:t>
            </w:r>
            <w:r w:rsidR="00864865" w:rsidRPr="00E47AA9">
              <w:rPr>
                <w:rFonts w:ascii="Times New Roman" w:eastAsia="Times New Roman" w:hAnsi="Times New Roman" w:cs="Times New Roman"/>
                <w:sz w:val="20"/>
                <w:szCs w:val="20"/>
                <w:lang w:eastAsia="ru-RU"/>
              </w:rPr>
              <w:t>е</w:t>
            </w:r>
            <w:r>
              <w:rPr>
                <w:rFonts w:ascii="Times New Roman" w:eastAsia="Times New Roman" w:hAnsi="Times New Roman" w:cs="Times New Roman"/>
                <w:sz w:val="20"/>
                <w:szCs w:val="20"/>
                <w:lang w:eastAsia="ru-RU"/>
              </w:rPr>
              <w:t>испол</w:t>
            </w:r>
            <w:r w:rsidR="00353702" w:rsidRPr="00E47AA9">
              <w:rPr>
                <w:rFonts w:ascii="Times New Roman" w:eastAsia="Times New Roman" w:hAnsi="Times New Roman" w:cs="Times New Roman"/>
                <w:sz w:val="20"/>
                <w:szCs w:val="20"/>
                <w:lang w:eastAsia="ru-RU"/>
              </w:rPr>
              <w:t xml:space="preserve">ненные </w:t>
            </w:r>
            <w:r w:rsidRPr="00166CD4">
              <w:rPr>
                <w:rFonts w:ascii="Times New Roman" w:eastAsia="Times New Roman" w:hAnsi="Times New Roman" w:cs="Times New Roman"/>
                <w:sz w:val="20"/>
                <w:szCs w:val="20"/>
                <w:lang w:eastAsia="ru-RU"/>
              </w:rPr>
              <w:t>бюджетные назначения</w:t>
            </w:r>
          </w:p>
        </w:tc>
      </w:tr>
      <w:tr w:rsidR="00E47AA9" w:rsidRPr="00E47AA9" w14:paraId="340B2713" w14:textId="77777777" w:rsidTr="00353702">
        <w:trPr>
          <w:trHeight w:val="20"/>
        </w:trPr>
        <w:tc>
          <w:tcPr>
            <w:tcW w:w="1873" w:type="dxa"/>
            <w:vMerge/>
            <w:tcBorders>
              <w:left w:val="single" w:sz="4" w:space="0" w:color="auto"/>
              <w:bottom w:val="single" w:sz="4" w:space="0" w:color="auto"/>
              <w:right w:val="single" w:sz="4" w:space="0" w:color="auto"/>
            </w:tcBorders>
            <w:shd w:val="clear" w:color="000000" w:fill="FFFFFF"/>
            <w:vAlign w:val="center"/>
            <w:hideMark/>
          </w:tcPr>
          <w:p w14:paraId="4EE80C00" w14:textId="77777777" w:rsidR="00353702" w:rsidRPr="00E47AA9" w:rsidRDefault="00353702" w:rsidP="00353702">
            <w:pPr>
              <w:spacing w:after="0" w:line="240" w:lineRule="auto"/>
              <w:rPr>
                <w:rFonts w:ascii="Times New Roman" w:eastAsia="Times New Roman" w:hAnsi="Times New Roman" w:cs="Times New Roman"/>
                <w:sz w:val="20"/>
                <w:szCs w:val="20"/>
                <w:lang w:eastAsia="ru-RU"/>
              </w:rPr>
            </w:pPr>
          </w:p>
        </w:tc>
        <w:tc>
          <w:tcPr>
            <w:tcW w:w="1316" w:type="dxa"/>
            <w:vMerge/>
            <w:tcBorders>
              <w:left w:val="single" w:sz="4" w:space="0" w:color="auto"/>
              <w:bottom w:val="single" w:sz="4" w:space="0" w:color="auto"/>
              <w:right w:val="single" w:sz="4" w:space="0" w:color="auto"/>
            </w:tcBorders>
            <w:shd w:val="clear" w:color="000000" w:fill="FFFFFF"/>
            <w:vAlign w:val="center"/>
            <w:hideMark/>
          </w:tcPr>
          <w:p w14:paraId="37213B9C"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p>
        </w:tc>
        <w:tc>
          <w:tcPr>
            <w:tcW w:w="1151" w:type="dxa"/>
            <w:vMerge/>
            <w:tcBorders>
              <w:left w:val="single" w:sz="4" w:space="0" w:color="auto"/>
              <w:bottom w:val="single" w:sz="4" w:space="0" w:color="auto"/>
              <w:right w:val="single" w:sz="4" w:space="0" w:color="auto"/>
            </w:tcBorders>
            <w:shd w:val="clear" w:color="000000" w:fill="FFFFFF"/>
            <w:vAlign w:val="center"/>
            <w:hideMark/>
          </w:tcPr>
          <w:p w14:paraId="10F8A0D3"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p>
        </w:tc>
        <w:tc>
          <w:tcPr>
            <w:tcW w:w="136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D3E6744" w14:textId="77777777" w:rsidR="00353702" w:rsidRPr="00E47AA9" w:rsidRDefault="00353702" w:rsidP="00353702">
            <w:pPr>
              <w:spacing w:after="0" w:line="240" w:lineRule="auto"/>
              <w:jc w:val="center"/>
              <w:rPr>
                <w:rFonts w:ascii="Times New Roman" w:eastAsia="Times New Roman" w:hAnsi="Times New Roman" w:cs="Times New Roman"/>
                <w:i/>
                <w:sz w:val="20"/>
                <w:szCs w:val="20"/>
                <w:lang w:eastAsia="ru-RU"/>
              </w:rPr>
            </w:pPr>
            <w:r w:rsidRPr="00E47AA9">
              <w:rPr>
                <w:rFonts w:ascii="Times New Roman" w:eastAsia="Times New Roman" w:hAnsi="Times New Roman" w:cs="Times New Roman"/>
                <w:i/>
                <w:sz w:val="20"/>
                <w:szCs w:val="20"/>
                <w:lang w:eastAsia="ru-RU"/>
              </w:rPr>
              <w:t xml:space="preserve">исполненных расходов </w:t>
            </w:r>
          </w:p>
          <w:p w14:paraId="4E0C6069" w14:textId="77777777" w:rsidR="00353702" w:rsidRPr="00E47AA9" w:rsidRDefault="00353702" w:rsidP="00353702">
            <w:pPr>
              <w:spacing w:after="0" w:line="240" w:lineRule="auto"/>
              <w:jc w:val="center"/>
              <w:rPr>
                <w:rFonts w:ascii="Times New Roman" w:eastAsia="Times New Roman" w:hAnsi="Times New Roman" w:cs="Times New Roman"/>
                <w:i/>
                <w:sz w:val="20"/>
                <w:szCs w:val="20"/>
                <w:lang w:eastAsia="ru-RU"/>
              </w:rPr>
            </w:pPr>
            <w:r w:rsidRPr="00E47AA9">
              <w:rPr>
                <w:rFonts w:ascii="Times New Roman" w:eastAsia="Times New Roman" w:hAnsi="Times New Roman" w:cs="Times New Roman"/>
                <w:i/>
                <w:sz w:val="20"/>
                <w:szCs w:val="20"/>
                <w:lang w:eastAsia="ru-RU"/>
              </w:rPr>
              <w:t>(%)</w:t>
            </w:r>
          </w:p>
        </w:tc>
        <w:tc>
          <w:tcPr>
            <w:tcW w:w="1364" w:type="dxa"/>
            <w:tcBorders>
              <w:top w:val="single" w:sz="4" w:space="0" w:color="auto"/>
              <w:left w:val="single" w:sz="4" w:space="0" w:color="auto"/>
              <w:bottom w:val="single" w:sz="4" w:space="0" w:color="auto"/>
              <w:right w:val="single" w:sz="4" w:space="0" w:color="auto"/>
            </w:tcBorders>
            <w:shd w:val="clear" w:color="000000" w:fill="FFFFFF"/>
            <w:vAlign w:val="center"/>
          </w:tcPr>
          <w:p w14:paraId="4BDB8BA3" w14:textId="77777777" w:rsidR="00353702" w:rsidRPr="00E47AA9" w:rsidRDefault="00353702" w:rsidP="00353702">
            <w:pPr>
              <w:spacing w:after="0" w:line="240" w:lineRule="auto"/>
              <w:jc w:val="center"/>
              <w:rPr>
                <w:rFonts w:ascii="Times New Roman" w:eastAsia="Times New Roman" w:hAnsi="Times New Roman" w:cs="Times New Roman"/>
                <w:i/>
                <w:sz w:val="20"/>
                <w:szCs w:val="20"/>
                <w:lang w:eastAsia="ru-RU"/>
              </w:rPr>
            </w:pPr>
            <w:r w:rsidRPr="00E47AA9">
              <w:rPr>
                <w:rFonts w:ascii="Times New Roman" w:eastAsia="Times New Roman" w:hAnsi="Times New Roman" w:cs="Times New Roman"/>
                <w:i/>
                <w:sz w:val="20"/>
                <w:szCs w:val="20"/>
                <w:lang w:eastAsia="ru-RU"/>
              </w:rPr>
              <w:t xml:space="preserve">исполненных расходов </w:t>
            </w:r>
          </w:p>
          <w:p w14:paraId="4088D0D8" w14:textId="77777777" w:rsidR="00353702" w:rsidRPr="00E47AA9" w:rsidRDefault="00353702" w:rsidP="00353702">
            <w:pPr>
              <w:spacing w:after="0" w:line="240" w:lineRule="auto"/>
              <w:jc w:val="center"/>
              <w:rPr>
                <w:rFonts w:ascii="Times New Roman" w:eastAsia="Times New Roman" w:hAnsi="Times New Roman" w:cs="Times New Roman"/>
                <w:i/>
                <w:sz w:val="20"/>
                <w:szCs w:val="20"/>
                <w:lang w:eastAsia="ru-RU"/>
              </w:rPr>
            </w:pPr>
            <w:r w:rsidRPr="00E47AA9">
              <w:rPr>
                <w:rFonts w:ascii="Times New Roman" w:eastAsia="Times New Roman" w:hAnsi="Times New Roman" w:cs="Times New Roman"/>
                <w:i/>
                <w:sz w:val="20"/>
                <w:szCs w:val="20"/>
                <w:lang w:eastAsia="ru-RU"/>
              </w:rPr>
              <w:t>по ГП (%)</w:t>
            </w:r>
          </w:p>
        </w:tc>
        <w:tc>
          <w:tcPr>
            <w:tcW w:w="1222" w:type="dxa"/>
            <w:vMerge/>
            <w:tcBorders>
              <w:left w:val="single" w:sz="4" w:space="0" w:color="auto"/>
              <w:bottom w:val="single" w:sz="4" w:space="0" w:color="auto"/>
              <w:right w:val="single" w:sz="4" w:space="0" w:color="auto"/>
            </w:tcBorders>
            <w:shd w:val="clear" w:color="000000" w:fill="FFFFFF"/>
            <w:vAlign w:val="center"/>
          </w:tcPr>
          <w:p w14:paraId="5BC0C622"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p>
        </w:tc>
        <w:tc>
          <w:tcPr>
            <w:tcW w:w="1353" w:type="dxa"/>
            <w:vMerge/>
            <w:tcBorders>
              <w:left w:val="single" w:sz="4" w:space="0" w:color="auto"/>
              <w:bottom w:val="single" w:sz="4" w:space="0" w:color="auto"/>
              <w:right w:val="single" w:sz="4" w:space="0" w:color="auto"/>
            </w:tcBorders>
            <w:shd w:val="clear" w:color="000000" w:fill="FFFFFF"/>
            <w:vAlign w:val="center"/>
            <w:hideMark/>
          </w:tcPr>
          <w:p w14:paraId="0D7DF420" w14:textId="77777777" w:rsidR="00353702" w:rsidRPr="00E47AA9" w:rsidRDefault="00353702" w:rsidP="00353702">
            <w:pPr>
              <w:spacing w:after="0" w:line="240" w:lineRule="auto"/>
              <w:jc w:val="center"/>
              <w:rPr>
                <w:rFonts w:ascii="Times New Roman" w:eastAsia="Times New Roman" w:hAnsi="Times New Roman" w:cs="Times New Roman"/>
                <w:sz w:val="20"/>
                <w:szCs w:val="20"/>
                <w:lang w:eastAsia="ru-RU"/>
              </w:rPr>
            </w:pPr>
          </w:p>
        </w:tc>
      </w:tr>
      <w:tr w:rsidR="00E47AA9" w:rsidRPr="00E47AA9" w14:paraId="7A90326D" w14:textId="77777777" w:rsidTr="00353702">
        <w:trPr>
          <w:trHeight w:val="20"/>
        </w:trPr>
        <w:tc>
          <w:tcPr>
            <w:tcW w:w="1873" w:type="dxa"/>
            <w:tcBorders>
              <w:top w:val="single" w:sz="4" w:space="0" w:color="auto"/>
              <w:left w:val="single" w:sz="4" w:space="0" w:color="auto"/>
              <w:bottom w:val="single" w:sz="4" w:space="0" w:color="auto"/>
              <w:right w:val="single" w:sz="4" w:space="0" w:color="auto"/>
            </w:tcBorders>
            <w:shd w:val="clear" w:color="auto" w:fill="auto"/>
            <w:vAlign w:val="center"/>
          </w:tcPr>
          <w:p w14:paraId="2AE6C744" w14:textId="77777777" w:rsidR="00353702" w:rsidRPr="00E47AA9" w:rsidRDefault="00353702" w:rsidP="00353702">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Всего расходов</w:t>
            </w:r>
          </w:p>
        </w:tc>
        <w:tc>
          <w:tcPr>
            <w:tcW w:w="1316" w:type="dxa"/>
            <w:tcBorders>
              <w:top w:val="single" w:sz="8" w:space="0" w:color="auto"/>
              <w:left w:val="single" w:sz="8" w:space="0" w:color="auto"/>
              <w:bottom w:val="single" w:sz="8" w:space="0" w:color="auto"/>
              <w:right w:val="single" w:sz="8" w:space="0" w:color="auto"/>
            </w:tcBorders>
            <w:shd w:val="clear" w:color="auto" w:fill="auto"/>
            <w:vAlign w:val="center"/>
          </w:tcPr>
          <w:p w14:paraId="72773A7E" w14:textId="77777777" w:rsidR="00353702" w:rsidRPr="00E47AA9" w:rsidRDefault="00353702"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245 684,26</w:t>
            </w:r>
          </w:p>
        </w:tc>
        <w:tc>
          <w:tcPr>
            <w:tcW w:w="1151" w:type="dxa"/>
            <w:tcBorders>
              <w:top w:val="single" w:sz="8" w:space="0" w:color="auto"/>
              <w:left w:val="nil"/>
              <w:bottom w:val="single" w:sz="8" w:space="0" w:color="auto"/>
              <w:right w:val="single" w:sz="8" w:space="0" w:color="auto"/>
            </w:tcBorders>
            <w:shd w:val="clear" w:color="auto" w:fill="auto"/>
            <w:vAlign w:val="center"/>
          </w:tcPr>
          <w:p w14:paraId="630BD5DA" w14:textId="77777777" w:rsidR="00353702" w:rsidRPr="00E47AA9" w:rsidRDefault="00353702"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236 994,68</w:t>
            </w:r>
          </w:p>
        </w:tc>
        <w:tc>
          <w:tcPr>
            <w:tcW w:w="1364" w:type="dxa"/>
            <w:tcBorders>
              <w:top w:val="single" w:sz="8" w:space="0" w:color="auto"/>
              <w:left w:val="nil"/>
              <w:bottom w:val="single" w:sz="8" w:space="0" w:color="auto"/>
              <w:right w:val="single" w:sz="8" w:space="0" w:color="auto"/>
            </w:tcBorders>
            <w:shd w:val="clear" w:color="auto" w:fill="auto"/>
            <w:vAlign w:val="center"/>
          </w:tcPr>
          <w:p w14:paraId="5818038E" w14:textId="77777777" w:rsidR="00353702" w:rsidRPr="00E47AA9" w:rsidRDefault="00353702" w:rsidP="00353702">
            <w:pPr>
              <w:spacing w:after="0" w:line="240" w:lineRule="auto"/>
              <w:jc w:val="right"/>
              <w:rPr>
                <w:rFonts w:ascii="Times New Roman" w:eastAsia="Times New Roman" w:hAnsi="Times New Roman" w:cs="Times New Roman"/>
                <w:b/>
                <w:bCs/>
                <w:i/>
                <w:sz w:val="20"/>
                <w:szCs w:val="20"/>
                <w:lang w:eastAsia="ru-RU"/>
              </w:rPr>
            </w:pPr>
            <w:r w:rsidRPr="00E47AA9">
              <w:rPr>
                <w:rFonts w:ascii="Times New Roman" w:hAnsi="Times New Roman" w:cs="Times New Roman"/>
                <w:b/>
                <w:bCs/>
                <w:i/>
                <w:sz w:val="20"/>
                <w:szCs w:val="20"/>
              </w:rPr>
              <w:t>100,00</w:t>
            </w:r>
          </w:p>
        </w:tc>
        <w:tc>
          <w:tcPr>
            <w:tcW w:w="1364" w:type="dxa"/>
            <w:tcBorders>
              <w:top w:val="single" w:sz="8" w:space="0" w:color="auto"/>
              <w:left w:val="nil"/>
              <w:bottom w:val="single" w:sz="8" w:space="0" w:color="auto"/>
              <w:right w:val="single" w:sz="8" w:space="0" w:color="auto"/>
            </w:tcBorders>
            <w:shd w:val="clear" w:color="auto" w:fill="auto"/>
            <w:vAlign w:val="center"/>
          </w:tcPr>
          <w:p w14:paraId="2C4D45FD" w14:textId="77777777" w:rsidR="00353702" w:rsidRPr="00E47AA9" w:rsidRDefault="00353702" w:rsidP="00353702">
            <w:pPr>
              <w:spacing w:after="0" w:line="240" w:lineRule="auto"/>
              <w:jc w:val="right"/>
              <w:rPr>
                <w:rFonts w:ascii="Times New Roman" w:eastAsia="Times New Roman" w:hAnsi="Times New Roman" w:cs="Times New Roman"/>
                <w:b/>
                <w:bCs/>
                <w:i/>
                <w:sz w:val="20"/>
                <w:szCs w:val="20"/>
                <w:lang w:eastAsia="ru-RU"/>
              </w:rPr>
            </w:pPr>
            <w:r w:rsidRPr="00E47AA9">
              <w:rPr>
                <w:rFonts w:ascii="Times New Roman" w:hAnsi="Times New Roman" w:cs="Times New Roman"/>
                <w:b/>
                <w:bCs/>
                <w:i/>
                <w:sz w:val="20"/>
                <w:szCs w:val="20"/>
              </w:rPr>
              <w:t> </w:t>
            </w:r>
          </w:p>
        </w:tc>
        <w:tc>
          <w:tcPr>
            <w:tcW w:w="1222" w:type="dxa"/>
            <w:tcBorders>
              <w:top w:val="single" w:sz="8" w:space="0" w:color="auto"/>
              <w:left w:val="nil"/>
              <w:bottom w:val="single" w:sz="8" w:space="0" w:color="auto"/>
              <w:right w:val="single" w:sz="8" w:space="0" w:color="auto"/>
            </w:tcBorders>
            <w:shd w:val="clear" w:color="auto" w:fill="auto"/>
            <w:vAlign w:val="center"/>
          </w:tcPr>
          <w:p w14:paraId="2B82C7DD" w14:textId="77777777" w:rsidR="00353702" w:rsidRPr="00E47AA9" w:rsidRDefault="00353702"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96,46</w:t>
            </w:r>
          </w:p>
        </w:tc>
        <w:tc>
          <w:tcPr>
            <w:tcW w:w="1353" w:type="dxa"/>
            <w:tcBorders>
              <w:top w:val="single" w:sz="8" w:space="0" w:color="auto"/>
              <w:left w:val="nil"/>
              <w:bottom w:val="single" w:sz="8" w:space="0" w:color="auto"/>
              <w:right w:val="single" w:sz="8" w:space="0" w:color="auto"/>
            </w:tcBorders>
            <w:shd w:val="clear" w:color="auto" w:fill="auto"/>
            <w:vAlign w:val="center"/>
          </w:tcPr>
          <w:p w14:paraId="533A31AA" w14:textId="77777777" w:rsidR="00353702" w:rsidRPr="00E47AA9" w:rsidRDefault="00353702"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8 689,58</w:t>
            </w:r>
          </w:p>
        </w:tc>
      </w:tr>
      <w:tr w:rsidR="00E47AA9" w:rsidRPr="00E47AA9" w14:paraId="240B50BC" w14:textId="77777777" w:rsidTr="00353702">
        <w:trPr>
          <w:trHeight w:val="20"/>
        </w:trPr>
        <w:tc>
          <w:tcPr>
            <w:tcW w:w="1873" w:type="dxa"/>
            <w:tcBorders>
              <w:top w:val="single" w:sz="4" w:space="0" w:color="auto"/>
              <w:left w:val="single" w:sz="4" w:space="0" w:color="auto"/>
              <w:bottom w:val="single" w:sz="4" w:space="0" w:color="auto"/>
              <w:right w:val="single" w:sz="4" w:space="0" w:color="auto"/>
            </w:tcBorders>
            <w:shd w:val="clear" w:color="000000" w:fill="FFFFFF"/>
            <w:vAlign w:val="center"/>
          </w:tcPr>
          <w:p w14:paraId="08EB807A" w14:textId="77777777" w:rsidR="00353702" w:rsidRPr="00E47AA9" w:rsidRDefault="00353702" w:rsidP="00353702">
            <w:pPr>
              <w:spacing w:after="0" w:line="240" w:lineRule="auto"/>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sz w:val="20"/>
                <w:szCs w:val="20"/>
                <w:lang w:eastAsia="ru-RU"/>
              </w:rPr>
              <w:t>Непрограммные расходы</w:t>
            </w:r>
          </w:p>
        </w:tc>
        <w:tc>
          <w:tcPr>
            <w:tcW w:w="1316" w:type="dxa"/>
            <w:tcBorders>
              <w:top w:val="nil"/>
              <w:left w:val="single" w:sz="8" w:space="0" w:color="auto"/>
              <w:bottom w:val="single" w:sz="8" w:space="0" w:color="auto"/>
              <w:right w:val="single" w:sz="8" w:space="0" w:color="auto"/>
            </w:tcBorders>
            <w:shd w:val="clear" w:color="auto" w:fill="auto"/>
            <w:noWrap/>
            <w:vAlign w:val="center"/>
          </w:tcPr>
          <w:p w14:paraId="4DAC8BFB"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b/>
                <w:bCs/>
                <w:sz w:val="20"/>
                <w:szCs w:val="20"/>
              </w:rPr>
              <w:t>12 947,95</w:t>
            </w:r>
          </w:p>
        </w:tc>
        <w:tc>
          <w:tcPr>
            <w:tcW w:w="1151" w:type="dxa"/>
            <w:tcBorders>
              <w:top w:val="nil"/>
              <w:left w:val="nil"/>
              <w:bottom w:val="single" w:sz="8" w:space="0" w:color="auto"/>
              <w:right w:val="single" w:sz="8" w:space="0" w:color="auto"/>
            </w:tcBorders>
            <w:shd w:val="clear" w:color="auto" w:fill="auto"/>
            <w:noWrap/>
            <w:vAlign w:val="center"/>
          </w:tcPr>
          <w:p w14:paraId="6F82F6D8" w14:textId="77777777" w:rsidR="00353702" w:rsidRPr="00E47AA9" w:rsidRDefault="00353702" w:rsidP="00A62BA9">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b/>
                <w:bCs/>
                <w:sz w:val="20"/>
                <w:szCs w:val="20"/>
              </w:rPr>
              <w:t>12 481,0</w:t>
            </w:r>
            <w:r w:rsidR="00A62BA9" w:rsidRPr="00E47AA9">
              <w:rPr>
                <w:rFonts w:ascii="Times New Roman" w:hAnsi="Times New Roman" w:cs="Times New Roman"/>
                <w:b/>
                <w:bCs/>
                <w:sz w:val="20"/>
                <w:szCs w:val="20"/>
              </w:rPr>
              <w:t>8</w:t>
            </w:r>
          </w:p>
        </w:tc>
        <w:tc>
          <w:tcPr>
            <w:tcW w:w="1364" w:type="dxa"/>
            <w:tcBorders>
              <w:top w:val="nil"/>
              <w:left w:val="nil"/>
              <w:bottom w:val="single" w:sz="8" w:space="0" w:color="auto"/>
              <w:right w:val="single" w:sz="8" w:space="0" w:color="auto"/>
            </w:tcBorders>
            <w:shd w:val="clear" w:color="auto" w:fill="auto"/>
            <w:vAlign w:val="center"/>
          </w:tcPr>
          <w:p w14:paraId="0E44B46F" w14:textId="77777777" w:rsidR="00353702" w:rsidRPr="00E47AA9" w:rsidRDefault="00353702" w:rsidP="00353702">
            <w:pPr>
              <w:spacing w:after="0" w:line="240" w:lineRule="auto"/>
              <w:jc w:val="right"/>
              <w:rPr>
                <w:rFonts w:ascii="Times New Roman" w:eastAsia="Times New Roman" w:hAnsi="Times New Roman" w:cs="Times New Roman"/>
                <w:b/>
                <w:bCs/>
                <w:i/>
                <w:sz w:val="20"/>
                <w:szCs w:val="20"/>
                <w:lang w:eastAsia="ru-RU"/>
              </w:rPr>
            </w:pPr>
            <w:r w:rsidRPr="00E47AA9">
              <w:rPr>
                <w:rFonts w:ascii="Times New Roman" w:hAnsi="Times New Roman" w:cs="Times New Roman"/>
                <w:b/>
                <w:bCs/>
                <w:i/>
                <w:sz w:val="20"/>
                <w:szCs w:val="20"/>
              </w:rPr>
              <w:t>5,27</w:t>
            </w:r>
          </w:p>
        </w:tc>
        <w:tc>
          <w:tcPr>
            <w:tcW w:w="1364" w:type="dxa"/>
            <w:tcBorders>
              <w:top w:val="nil"/>
              <w:left w:val="nil"/>
              <w:bottom w:val="single" w:sz="8" w:space="0" w:color="auto"/>
              <w:right w:val="single" w:sz="8" w:space="0" w:color="auto"/>
            </w:tcBorders>
            <w:shd w:val="clear" w:color="auto" w:fill="auto"/>
            <w:vAlign w:val="center"/>
          </w:tcPr>
          <w:p w14:paraId="7CCAB274" w14:textId="77777777" w:rsidR="00353702" w:rsidRPr="00E47AA9" w:rsidRDefault="00353702" w:rsidP="00353702">
            <w:pPr>
              <w:spacing w:after="0" w:line="240" w:lineRule="auto"/>
              <w:jc w:val="right"/>
              <w:rPr>
                <w:rFonts w:ascii="Times New Roman" w:eastAsia="Times New Roman" w:hAnsi="Times New Roman" w:cs="Times New Roman"/>
                <w:b/>
                <w:bCs/>
                <w:i/>
                <w:sz w:val="20"/>
                <w:szCs w:val="20"/>
                <w:lang w:eastAsia="ru-RU"/>
              </w:rPr>
            </w:pPr>
            <w:r w:rsidRPr="00E47AA9">
              <w:rPr>
                <w:rFonts w:ascii="Times New Roman" w:hAnsi="Times New Roman" w:cs="Times New Roman"/>
                <w:b/>
                <w:bCs/>
                <w:i/>
                <w:sz w:val="20"/>
                <w:szCs w:val="20"/>
              </w:rPr>
              <w:t> </w:t>
            </w:r>
          </w:p>
        </w:tc>
        <w:tc>
          <w:tcPr>
            <w:tcW w:w="1222" w:type="dxa"/>
            <w:tcBorders>
              <w:top w:val="nil"/>
              <w:left w:val="nil"/>
              <w:bottom w:val="single" w:sz="8" w:space="0" w:color="auto"/>
              <w:right w:val="single" w:sz="8" w:space="0" w:color="auto"/>
            </w:tcBorders>
            <w:shd w:val="clear" w:color="auto" w:fill="auto"/>
            <w:vAlign w:val="center"/>
          </w:tcPr>
          <w:p w14:paraId="072D0BD2" w14:textId="77777777" w:rsidR="00353702" w:rsidRPr="00E47AA9" w:rsidRDefault="00353702"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96,39</w:t>
            </w:r>
          </w:p>
        </w:tc>
        <w:tc>
          <w:tcPr>
            <w:tcW w:w="1353" w:type="dxa"/>
            <w:tcBorders>
              <w:top w:val="nil"/>
              <w:left w:val="nil"/>
              <w:bottom w:val="single" w:sz="8" w:space="0" w:color="auto"/>
              <w:right w:val="single" w:sz="8" w:space="0" w:color="auto"/>
            </w:tcBorders>
            <w:shd w:val="clear" w:color="auto" w:fill="auto"/>
            <w:vAlign w:val="center"/>
          </w:tcPr>
          <w:p w14:paraId="662B3E8B" w14:textId="77777777" w:rsidR="00353702" w:rsidRPr="00E47AA9" w:rsidRDefault="00353702" w:rsidP="00A62BA9">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466,8</w:t>
            </w:r>
            <w:r w:rsidR="00A62BA9" w:rsidRPr="00E47AA9">
              <w:rPr>
                <w:rFonts w:ascii="Times New Roman" w:hAnsi="Times New Roman" w:cs="Times New Roman"/>
                <w:b/>
                <w:bCs/>
                <w:sz w:val="20"/>
                <w:szCs w:val="20"/>
              </w:rPr>
              <w:t>7</w:t>
            </w:r>
          </w:p>
        </w:tc>
      </w:tr>
      <w:tr w:rsidR="00E47AA9" w:rsidRPr="00E47AA9" w14:paraId="2B43AADA" w14:textId="77777777" w:rsidTr="00353702">
        <w:trPr>
          <w:trHeight w:val="20"/>
        </w:trPr>
        <w:tc>
          <w:tcPr>
            <w:tcW w:w="1873" w:type="dxa"/>
            <w:tcBorders>
              <w:top w:val="single" w:sz="4" w:space="0" w:color="auto"/>
              <w:left w:val="single" w:sz="4" w:space="0" w:color="auto"/>
              <w:bottom w:val="single" w:sz="4" w:space="0" w:color="auto"/>
              <w:right w:val="single" w:sz="4" w:space="0" w:color="auto"/>
            </w:tcBorders>
            <w:shd w:val="clear" w:color="000000" w:fill="FFFFFF"/>
            <w:vAlign w:val="center"/>
          </w:tcPr>
          <w:p w14:paraId="612507E6" w14:textId="77777777" w:rsidR="00353702" w:rsidRPr="00E47AA9" w:rsidRDefault="00353702" w:rsidP="00353702">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Расходы по ГП всего,</w:t>
            </w:r>
          </w:p>
          <w:p w14:paraId="64ACE6F5" w14:textId="77777777" w:rsidR="00353702" w:rsidRPr="00E47AA9" w:rsidRDefault="00353702" w:rsidP="00353702">
            <w:pPr>
              <w:spacing w:after="0" w:line="240" w:lineRule="auto"/>
              <w:rPr>
                <w:rFonts w:ascii="Times New Roman" w:eastAsia="Times New Roman" w:hAnsi="Times New Roman" w:cs="Times New Roman"/>
                <w:iCs/>
                <w:sz w:val="20"/>
                <w:szCs w:val="20"/>
                <w:lang w:eastAsia="ru-RU"/>
              </w:rPr>
            </w:pPr>
            <w:r w:rsidRPr="00E47AA9">
              <w:rPr>
                <w:rFonts w:ascii="Times New Roman" w:eastAsia="Times New Roman" w:hAnsi="Times New Roman" w:cs="Times New Roman"/>
                <w:bCs/>
                <w:iCs/>
                <w:sz w:val="20"/>
                <w:szCs w:val="20"/>
                <w:lang w:eastAsia="ru-RU"/>
              </w:rPr>
              <w:t>в том числе по структуре ГП:</w:t>
            </w:r>
          </w:p>
        </w:tc>
        <w:tc>
          <w:tcPr>
            <w:tcW w:w="1316" w:type="dxa"/>
            <w:tcBorders>
              <w:top w:val="nil"/>
              <w:left w:val="single" w:sz="8" w:space="0" w:color="auto"/>
              <w:bottom w:val="single" w:sz="8" w:space="0" w:color="auto"/>
              <w:right w:val="single" w:sz="8" w:space="0" w:color="auto"/>
            </w:tcBorders>
            <w:shd w:val="clear" w:color="000000" w:fill="FFFFFF"/>
            <w:vAlign w:val="center"/>
          </w:tcPr>
          <w:p w14:paraId="58252E21"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b/>
                <w:bCs/>
                <w:sz w:val="20"/>
                <w:szCs w:val="20"/>
              </w:rPr>
              <w:t>232 736,31</w:t>
            </w:r>
          </w:p>
        </w:tc>
        <w:tc>
          <w:tcPr>
            <w:tcW w:w="1151" w:type="dxa"/>
            <w:tcBorders>
              <w:top w:val="nil"/>
              <w:left w:val="nil"/>
              <w:bottom w:val="single" w:sz="8" w:space="0" w:color="auto"/>
              <w:right w:val="single" w:sz="8" w:space="0" w:color="auto"/>
            </w:tcBorders>
            <w:shd w:val="clear" w:color="000000" w:fill="FFFFFF"/>
            <w:vAlign w:val="center"/>
          </w:tcPr>
          <w:p w14:paraId="25677BC3" w14:textId="77777777" w:rsidR="00353702" w:rsidRPr="00E47AA9" w:rsidRDefault="00353702" w:rsidP="00A62BA9">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b/>
                <w:bCs/>
                <w:sz w:val="20"/>
                <w:szCs w:val="20"/>
              </w:rPr>
              <w:t>224 513,6</w:t>
            </w:r>
            <w:r w:rsidR="00A62BA9" w:rsidRPr="00E47AA9">
              <w:rPr>
                <w:rFonts w:ascii="Times New Roman" w:hAnsi="Times New Roman" w:cs="Times New Roman"/>
                <w:b/>
                <w:bCs/>
                <w:sz w:val="20"/>
                <w:szCs w:val="20"/>
              </w:rPr>
              <w:t>0</w:t>
            </w:r>
          </w:p>
        </w:tc>
        <w:tc>
          <w:tcPr>
            <w:tcW w:w="1364" w:type="dxa"/>
            <w:tcBorders>
              <w:top w:val="nil"/>
              <w:left w:val="nil"/>
              <w:bottom w:val="single" w:sz="8" w:space="0" w:color="auto"/>
              <w:right w:val="single" w:sz="8" w:space="0" w:color="auto"/>
            </w:tcBorders>
            <w:shd w:val="clear" w:color="auto" w:fill="auto"/>
            <w:vAlign w:val="center"/>
          </w:tcPr>
          <w:p w14:paraId="0E039E2B" w14:textId="77777777" w:rsidR="00353702" w:rsidRPr="00E47AA9" w:rsidRDefault="00353702" w:rsidP="00353702">
            <w:pPr>
              <w:spacing w:after="0" w:line="240" w:lineRule="auto"/>
              <w:jc w:val="right"/>
              <w:rPr>
                <w:rFonts w:ascii="Times New Roman" w:eastAsia="Times New Roman" w:hAnsi="Times New Roman" w:cs="Times New Roman"/>
                <w:i/>
                <w:sz w:val="20"/>
                <w:szCs w:val="20"/>
                <w:lang w:eastAsia="ru-RU"/>
              </w:rPr>
            </w:pPr>
            <w:r w:rsidRPr="00E47AA9">
              <w:rPr>
                <w:rFonts w:ascii="Times New Roman" w:hAnsi="Times New Roman" w:cs="Times New Roman"/>
                <w:b/>
                <w:bCs/>
                <w:i/>
                <w:sz w:val="20"/>
                <w:szCs w:val="20"/>
              </w:rPr>
              <w:t>94,73</w:t>
            </w:r>
          </w:p>
        </w:tc>
        <w:tc>
          <w:tcPr>
            <w:tcW w:w="1364" w:type="dxa"/>
            <w:tcBorders>
              <w:top w:val="nil"/>
              <w:left w:val="nil"/>
              <w:bottom w:val="single" w:sz="8" w:space="0" w:color="auto"/>
              <w:right w:val="single" w:sz="8" w:space="0" w:color="auto"/>
            </w:tcBorders>
            <w:shd w:val="clear" w:color="000000" w:fill="FFFFFF"/>
            <w:vAlign w:val="center"/>
          </w:tcPr>
          <w:p w14:paraId="3BD77F2F" w14:textId="77777777" w:rsidR="00353702" w:rsidRPr="00E47AA9" w:rsidRDefault="00353702" w:rsidP="00353702">
            <w:pPr>
              <w:spacing w:after="0" w:line="240" w:lineRule="auto"/>
              <w:jc w:val="right"/>
              <w:rPr>
                <w:rFonts w:ascii="Times New Roman" w:eastAsia="Times New Roman" w:hAnsi="Times New Roman" w:cs="Times New Roman"/>
                <w:b/>
                <w:i/>
                <w:sz w:val="20"/>
                <w:szCs w:val="20"/>
                <w:lang w:eastAsia="ru-RU"/>
              </w:rPr>
            </w:pPr>
            <w:r w:rsidRPr="00E47AA9">
              <w:rPr>
                <w:rFonts w:ascii="Times New Roman" w:hAnsi="Times New Roman" w:cs="Times New Roman"/>
                <w:b/>
                <w:bCs/>
                <w:i/>
                <w:sz w:val="20"/>
                <w:szCs w:val="20"/>
              </w:rPr>
              <w:t>100,00</w:t>
            </w:r>
          </w:p>
        </w:tc>
        <w:tc>
          <w:tcPr>
            <w:tcW w:w="1222" w:type="dxa"/>
            <w:tcBorders>
              <w:top w:val="nil"/>
              <w:left w:val="nil"/>
              <w:bottom w:val="single" w:sz="8" w:space="0" w:color="auto"/>
              <w:right w:val="single" w:sz="8" w:space="0" w:color="auto"/>
            </w:tcBorders>
            <w:shd w:val="clear" w:color="000000" w:fill="FFFFFF"/>
            <w:vAlign w:val="center"/>
          </w:tcPr>
          <w:p w14:paraId="55370451" w14:textId="77777777" w:rsidR="00353702" w:rsidRPr="00E47AA9" w:rsidRDefault="00353702" w:rsidP="00353702">
            <w:pPr>
              <w:spacing w:after="0" w:line="240" w:lineRule="auto"/>
              <w:jc w:val="right"/>
              <w:rPr>
                <w:rFonts w:ascii="Times New Roman" w:eastAsia="Times New Roman" w:hAnsi="Times New Roman" w:cs="Times New Roman"/>
                <w:b/>
                <w:sz w:val="20"/>
                <w:szCs w:val="20"/>
                <w:lang w:eastAsia="ru-RU"/>
              </w:rPr>
            </w:pPr>
            <w:r w:rsidRPr="00E47AA9">
              <w:rPr>
                <w:rFonts w:ascii="Times New Roman" w:hAnsi="Times New Roman" w:cs="Times New Roman"/>
                <w:b/>
                <w:bCs/>
                <w:sz w:val="20"/>
                <w:szCs w:val="20"/>
              </w:rPr>
              <w:t>96,47</w:t>
            </w:r>
          </w:p>
        </w:tc>
        <w:tc>
          <w:tcPr>
            <w:tcW w:w="1353" w:type="dxa"/>
            <w:tcBorders>
              <w:top w:val="nil"/>
              <w:left w:val="nil"/>
              <w:bottom w:val="single" w:sz="8" w:space="0" w:color="auto"/>
              <w:right w:val="single" w:sz="8" w:space="0" w:color="auto"/>
            </w:tcBorders>
            <w:shd w:val="clear" w:color="000000" w:fill="FFFFFF"/>
            <w:vAlign w:val="center"/>
          </w:tcPr>
          <w:p w14:paraId="3AAD73E3" w14:textId="77777777" w:rsidR="00353702" w:rsidRPr="00E47AA9" w:rsidRDefault="00353702" w:rsidP="00AB2DF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b/>
                <w:bCs/>
                <w:sz w:val="20"/>
                <w:szCs w:val="20"/>
              </w:rPr>
              <w:t>8 222,7</w:t>
            </w:r>
            <w:r w:rsidR="00AB2DF2" w:rsidRPr="00E47AA9">
              <w:rPr>
                <w:rFonts w:ascii="Times New Roman" w:hAnsi="Times New Roman" w:cs="Times New Roman"/>
                <w:b/>
                <w:bCs/>
                <w:sz w:val="20"/>
                <w:szCs w:val="20"/>
              </w:rPr>
              <w:t>1</w:t>
            </w:r>
          </w:p>
        </w:tc>
      </w:tr>
      <w:tr w:rsidR="00E47AA9" w:rsidRPr="00E47AA9" w14:paraId="3949A642" w14:textId="77777777" w:rsidTr="00353702">
        <w:trPr>
          <w:trHeight w:val="20"/>
        </w:trPr>
        <w:tc>
          <w:tcPr>
            <w:tcW w:w="1873" w:type="dxa"/>
            <w:tcBorders>
              <w:top w:val="single" w:sz="4" w:space="0" w:color="auto"/>
              <w:left w:val="single" w:sz="4" w:space="0" w:color="auto"/>
              <w:bottom w:val="single" w:sz="4" w:space="0" w:color="auto"/>
              <w:right w:val="single" w:sz="4" w:space="0" w:color="auto"/>
            </w:tcBorders>
            <w:shd w:val="clear" w:color="000000" w:fill="FFFFFF"/>
            <w:vAlign w:val="center"/>
          </w:tcPr>
          <w:p w14:paraId="5DFE2970" w14:textId="77777777" w:rsidR="00353702" w:rsidRPr="00E47AA9" w:rsidRDefault="00353702" w:rsidP="00353702">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комплексы процессных мероприятий</w:t>
            </w:r>
          </w:p>
        </w:tc>
        <w:tc>
          <w:tcPr>
            <w:tcW w:w="1316" w:type="dxa"/>
            <w:tcBorders>
              <w:top w:val="nil"/>
              <w:left w:val="single" w:sz="8" w:space="0" w:color="auto"/>
              <w:bottom w:val="single" w:sz="8" w:space="0" w:color="auto"/>
              <w:right w:val="single" w:sz="8" w:space="0" w:color="auto"/>
            </w:tcBorders>
            <w:shd w:val="clear" w:color="000000" w:fill="FFFFFF"/>
            <w:vAlign w:val="center"/>
          </w:tcPr>
          <w:p w14:paraId="7A888906" w14:textId="77777777" w:rsidR="00353702" w:rsidRPr="00E47AA9" w:rsidRDefault="00353702"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197 088,10</w:t>
            </w:r>
          </w:p>
        </w:tc>
        <w:tc>
          <w:tcPr>
            <w:tcW w:w="1151" w:type="dxa"/>
            <w:tcBorders>
              <w:top w:val="nil"/>
              <w:left w:val="nil"/>
              <w:bottom w:val="single" w:sz="8" w:space="0" w:color="auto"/>
              <w:right w:val="single" w:sz="8" w:space="0" w:color="auto"/>
            </w:tcBorders>
            <w:shd w:val="clear" w:color="000000" w:fill="FFFFFF"/>
            <w:vAlign w:val="center"/>
          </w:tcPr>
          <w:p w14:paraId="62FD9520" w14:textId="1446B1B5" w:rsidR="00353702" w:rsidRPr="00E47AA9" w:rsidRDefault="00353702" w:rsidP="008131A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191 567,9</w:t>
            </w:r>
            <w:r w:rsidR="008131A4" w:rsidRPr="00E47AA9">
              <w:rPr>
                <w:rFonts w:ascii="Times New Roman" w:hAnsi="Times New Roman" w:cs="Times New Roman"/>
                <w:b/>
                <w:bCs/>
                <w:sz w:val="20"/>
                <w:szCs w:val="20"/>
              </w:rPr>
              <w:t>1</w:t>
            </w:r>
          </w:p>
        </w:tc>
        <w:tc>
          <w:tcPr>
            <w:tcW w:w="1364" w:type="dxa"/>
            <w:tcBorders>
              <w:top w:val="nil"/>
              <w:left w:val="nil"/>
              <w:bottom w:val="single" w:sz="8" w:space="0" w:color="auto"/>
              <w:right w:val="single" w:sz="8" w:space="0" w:color="auto"/>
            </w:tcBorders>
            <w:shd w:val="clear" w:color="auto" w:fill="auto"/>
            <w:vAlign w:val="center"/>
          </w:tcPr>
          <w:p w14:paraId="354EE6D6" w14:textId="77777777" w:rsidR="00353702" w:rsidRPr="00E47AA9" w:rsidRDefault="00353702" w:rsidP="00353702">
            <w:pPr>
              <w:spacing w:after="0" w:line="240" w:lineRule="auto"/>
              <w:jc w:val="right"/>
              <w:rPr>
                <w:rFonts w:ascii="Times New Roman" w:eastAsia="Times New Roman" w:hAnsi="Times New Roman" w:cs="Times New Roman"/>
                <w:b/>
                <w:bCs/>
                <w:i/>
                <w:sz w:val="20"/>
                <w:szCs w:val="20"/>
                <w:lang w:eastAsia="ru-RU"/>
              </w:rPr>
            </w:pPr>
            <w:r w:rsidRPr="00E47AA9">
              <w:rPr>
                <w:rFonts w:ascii="Times New Roman" w:hAnsi="Times New Roman" w:cs="Times New Roman"/>
                <w:b/>
                <w:bCs/>
                <w:i/>
                <w:sz w:val="20"/>
                <w:szCs w:val="20"/>
              </w:rPr>
              <w:t>80,83</w:t>
            </w:r>
          </w:p>
        </w:tc>
        <w:tc>
          <w:tcPr>
            <w:tcW w:w="1364" w:type="dxa"/>
            <w:tcBorders>
              <w:top w:val="nil"/>
              <w:left w:val="nil"/>
              <w:bottom w:val="single" w:sz="8" w:space="0" w:color="auto"/>
              <w:right w:val="single" w:sz="8" w:space="0" w:color="auto"/>
            </w:tcBorders>
            <w:shd w:val="clear" w:color="000000" w:fill="FFFFFF"/>
            <w:vAlign w:val="center"/>
          </w:tcPr>
          <w:p w14:paraId="2EFA5D09" w14:textId="77777777" w:rsidR="00353702" w:rsidRPr="00E47AA9" w:rsidRDefault="00353702" w:rsidP="00353702">
            <w:pPr>
              <w:spacing w:after="0" w:line="240" w:lineRule="auto"/>
              <w:jc w:val="right"/>
              <w:rPr>
                <w:rFonts w:ascii="Times New Roman" w:eastAsia="Times New Roman" w:hAnsi="Times New Roman" w:cs="Times New Roman"/>
                <w:b/>
                <w:i/>
                <w:sz w:val="20"/>
                <w:szCs w:val="20"/>
                <w:lang w:eastAsia="ru-RU"/>
              </w:rPr>
            </w:pPr>
            <w:r w:rsidRPr="00E47AA9">
              <w:rPr>
                <w:rFonts w:ascii="Times New Roman" w:hAnsi="Times New Roman" w:cs="Times New Roman"/>
                <w:b/>
                <w:bCs/>
                <w:i/>
                <w:sz w:val="20"/>
                <w:szCs w:val="20"/>
              </w:rPr>
              <w:t>85,33</w:t>
            </w:r>
          </w:p>
        </w:tc>
        <w:tc>
          <w:tcPr>
            <w:tcW w:w="1222" w:type="dxa"/>
            <w:tcBorders>
              <w:top w:val="nil"/>
              <w:left w:val="nil"/>
              <w:bottom w:val="single" w:sz="8" w:space="0" w:color="auto"/>
              <w:right w:val="single" w:sz="8" w:space="0" w:color="auto"/>
            </w:tcBorders>
            <w:shd w:val="clear" w:color="000000" w:fill="FFFFFF"/>
            <w:vAlign w:val="center"/>
          </w:tcPr>
          <w:p w14:paraId="55CFEC13" w14:textId="77777777" w:rsidR="00353702" w:rsidRPr="00E47AA9" w:rsidRDefault="00353702" w:rsidP="00353702">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97,20</w:t>
            </w:r>
          </w:p>
        </w:tc>
        <w:tc>
          <w:tcPr>
            <w:tcW w:w="1353" w:type="dxa"/>
            <w:tcBorders>
              <w:top w:val="nil"/>
              <w:left w:val="nil"/>
              <w:bottom w:val="single" w:sz="8" w:space="0" w:color="auto"/>
              <w:right w:val="single" w:sz="8" w:space="0" w:color="auto"/>
            </w:tcBorders>
            <w:shd w:val="clear" w:color="000000" w:fill="FFFFFF"/>
            <w:vAlign w:val="center"/>
          </w:tcPr>
          <w:p w14:paraId="24A06B85" w14:textId="0EFE92BC" w:rsidR="00353702" w:rsidRPr="00E47AA9" w:rsidRDefault="00353702" w:rsidP="008131A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5 520,1</w:t>
            </w:r>
            <w:r w:rsidR="008131A4" w:rsidRPr="00E47AA9">
              <w:rPr>
                <w:rFonts w:ascii="Times New Roman" w:hAnsi="Times New Roman" w:cs="Times New Roman"/>
                <w:b/>
                <w:bCs/>
                <w:sz w:val="20"/>
                <w:szCs w:val="20"/>
              </w:rPr>
              <w:t>9</w:t>
            </w:r>
          </w:p>
        </w:tc>
      </w:tr>
      <w:tr w:rsidR="00E47AA9" w:rsidRPr="00E47AA9" w14:paraId="32AC4513" w14:textId="77777777" w:rsidTr="00353702">
        <w:trPr>
          <w:trHeight w:val="20"/>
        </w:trPr>
        <w:tc>
          <w:tcPr>
            <w:tcW w:w="1873" w:type="dxa"/>
            <w:tcBorders>
              <w:top w:val="single" w:sz="4" w:space="0" w:color="auto"/>
              <w:left w:val="single" w:sz="4" w:space="0" w:color="auto"/>
              <w:bottom w:val="single" w:sz="4" w:space="0" w:color="auto"/>
              <w:right w:val="single" w:sz="4" w:space="0" w:color="auto"/>
            </w:tcBorders>
            <w:shd w:val="clear" w:color="000000" w:fill="FFFFFF"/>
            <w:vAlign w:val="center"/>
          </w:tcPr>
          <w:p w14:paraId="597BFCC1" w14:textId="77777777" w:rsidR="00353702" w:rsidRPr="00E47AA9" w:rsidRDefault="00353702" w:rsidP="00353702">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 xml:space="preserve">проектные мероприятия, </w:t>
            </w:r>
          </w:p>
          <w:p w14:paraId="049C5C99" w14:textId="77777777" w:rsidR="00353702" w:rsidRPr="00E47AA9" w:rsidRDefault="00353702" w:rsidP="00353702">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b/>
                <w:bCs/>
                <w:sz w:val="20"/>
                <w:szCs w:val="20"/>
                <w:lang w:eastAsia="ru-RU"/>
              </w:rPr>
              <w:t>в том числе:</w:t>
            </w:r>
          </w:p>
        </w:tc>
        <w:tc>
          <w:tcPr>
            <w:tcW w:w="1316" w:type="dxa"/>
            <w:tcBorders>
              <w:top w:val="nil"/>
              <w:left w:val="single" w:sz="8" w:space="0" w:color="auto"/>
              <w:bottom w:val="single" w:sz="8" w:space="0" w:color="auto"/>
              <w:right w:val="single" w:sz="8" w:space="0" w:color="auto"/>
            </w:tcBorders>
            <w:shd w:val="clear" w:color="000000" w:fill="FFFFFF"/>
            <w:vAlign w:val="center"/>
          </w:tcPr>
          <w:p w14:paraId="7D98FCF2"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b/>
                <w:bCs/>
                <w:sz w:val="20"/>
                <w:szCs w:val="20"/>
              </w:rPr>
              <w:t>35 648,21</w:t>
            </w:r>
          </w:p>
        </w:tc>
        <w:tc>
          <w:tcPr>
            <w:tcW w:w="1151" w:type="dxa"/>
            <w:tcBorders>
              <w:top w:val="nil"/>
              <w:left w:val="nil"/>
              <w:bottom w:val="single" w:sz="8" w:space="0" w:color="auto"/>
              <w:right w:val="single" w:sz="8" w:space="0" w:color="auto"/>
            </w:tcBorders>
            <w:shd w:val="clear" w:color="000000" w:fill="FFFFFF"/>
            <w:vAlign w:val="center"/>
          </w:tcPr>
          <w:p w14:paraId="712CC5EC"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b/>
                <w:bCs/>
                <w:sz w:val="20"/>
                <w:szCs w:val="20"/>
              </w:rPr>
              <w:t>32 945,69</w:t>
            </w:r>
          </w:p>
        </w:tc>
        <w:tc>
          <w:tcPr>
            <w:tcW w:w="1364" w:type="dxa"/>
            <w:tcBorders>
              <w:top w:val="nil"/>
              <w:left w:val="nil"/>
              <w:bottom w:val="single" w:sz="8" w:space="0" w:color="auto"/>
              <w:right w:val="single" w:sz="8" w:space="0" w:color="auto"/>
            </w:tcBorders>
            <w:shd w:val="clear" w:color="auto" w:fill="auto"/>
            <w:vAlign w:val="center"/>
          </w:tcPr>
          <w:p w14:paraId="5DB1F23B" w14:textId="77777777" w:rsidR="00353702" w:rsidRPr="00E47AA9" w:rsidRDefault="00353702" w:rsidP="00353702">
            <w:pPr>
              <w:spacing w:after="0" w:line="240" w:lineRule="auto"/>
              <w:jc w:val="right"/>
              <w:rPr>
                <w:rFonts w:ascii="Times New Roman" w:eastAsia="Times New Roman" w:hAnsi="Times New Roman" w:cs="Times New Roman"/>
                <w:i/>
                <w:sz w:val="20"/>
                <w:szCs w:val="20"/>
                <w:lang w:eastAsia="ru-RU"/>
              </w:rPr>
            </w:pPr>
            <w:r w:rsidRPr="00E47AA9">
              <w:rPr>
                <w:rFonts w:ascii="Times New Roman" w:hAnsi="Times New Roman" w:cs="Times New Roman"/>
                <w:b/>
                <w:bCs/>
                <w:i/>
                <w:sz w:val="20"/>
                <w:szCs w:val="20"/>
              </w:rPr>
              <w:t>13,90</w:t>
            </w:r>
          </w:p>
        </w:tc>
        <w:tc>
          <w:tcPr>
            <w:tcW w:w="1364" w:type="dxa"/>
            <w:tcBorders>
              <w:top w:val="nil"/>
              <w:left w:val="nil"/>
              <w:bottom w:val="single" w:sz="8" w:space="0" w:color="auto"/>
              <w:right w:val="single" w:sz="8" w:space="0" w:color="auto"/>
            </w:tcBorders>
            <w:shd w:val="clear" w:color="000000" w:fill="FFFFFF"/>
            <w:vAlign w:val="center"/>
          </w:tcPr>
          <w:p w14:paraId="0EA6B93F" w14:textId="77777777" w:rsidR="00353702" w:rsidRPr="00E47AA9" w:rsidRDefault="00353702" w:rsidP="00353702">
            <w:pPr>
              <w:spacing w:after="0" w:line="240" w:lineRule="auto"/>
              <w:jc w:val="right"/>
              <w:rPr>
                <w:rFonts w:ascii="Times New Roman" w:eastAsia="Times New Roman" w:hAnsi="Times New Roman" w:cs="Times New Roman"/>
                <w:b/>
                <w:i/>
                <w:sz w:val="20"/>
                <w:szCs w:val="20"/>
                <w:lang w:eastAsia="ru-RU"/>
              </w:rPr>
            </w:pPr>
            <w:r w:rsidRPr="00E47AA9">
              <w:rPr>
                <w:rFonts w:ascii="Times New Roman" w:hAnsi="Times New Roman" w:cs="Times New Roman"/>
                <w:b/>
                <w:bCs/>
                <w:i/>
                <w:sz w:val="20"/>
                <w:szCs w:val="20"/>
              </w:rPr>
              <w:t>14,67</w:t>
            </w:r>
          </w:p>
        </w:tc>
        <w:tc>
          <w:tcPr>
            <w:tcW w:w="1222" w:type="dxa"/>
            <w:tcBorders>
              <w:top w:val="nil"/>
              <w:left w:val="nil"/>
              <w:bottom w:val="single" w:sz="8" w:space="0" w:color="auto"/>
              <w:right w:val="single" w:sz="8" w:space="0" w:color="auto"/>
            </w:tcBorders>
            <w:shd w:val="clear" w:color="000000" w:fill="FFFFFF"/>
            <w:vAlign w:val="center"/>
          </w:tcPr>
          <w:p w14:paraId="2D1D6A5F"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b/>
                <w:bCs/>
                <w:sz w:val="20"/>
                <w:szCs w:val="20"/>
              </w:rPr>
              <w:t>92,42</w:t>
            </w:r>
          </w:p>
        </w:tc>
        <w:tc>
          <w:tcPr>
            <w:tcW w:w="1353" w:type="dxa"/>
            <w:tcBorders>
              <w:top w:val="nil"/>
              <w:left w:val="nil"/>
              <w:bottom w:val="single" w:sz="8" w:space="0" w:color="auto"/>
              <w:right w:val="single" w:sz="8" w:space="0" w:color="auto"/>
            </w:tcBorders>
            <w:shd w:val="clear" w:color="000000" w:fill="FFFFFF"/>
            <w:vAlign w:val="center"/>
          </w:tcPr>
          <w:p w14:paraId="5C869919"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b/>
                <w:bCs/>
                <w:sz w:val="20"/>
                <w:szCs w:val="20"/>
              </w:rPr>
              <w:t>2 702,52</w:t>
            </w:r>
          </w:p>
        </w:tc>
      </w:tr>
      <w:tr w:rsidR="00E47AA9" w:rsidRPr="00E47AA9" w14:paraId="06402574" w14:textId="77777777" w:rsidTr="00353702">
        <w:trPr>
          <w:trHeight w:val="20"/>
        </w:trPr>
        <w:tc>
          <w:tcPr>
            <w:tcW w:w="1873" w:type="dxa"/>
            <w:tcBorders>
              <w:top w:val="single" w:sz="4" w:space="0" w:color="auto"/>
              <w:left w:val="single" w:sz="4" w:space="0" w:color="auto"/>
              <w:bottom w:val="single" w:sz="4" w:space="0" w:color="auto"/>
              <w:right w:val="single" w:sz="4" w:space="0" w:color="auto"/>
            </w:tcBorders>
            <w:shd w:val="clear" w:color="000000" w:fill="FFFFFF"/>
            <w:vAlign w:val="center"/>
          </w:tcPr>
          <w:p w14:paraId="15E2C073" w14:textId="77777777" w:rsidR="00353702" w:rsidRPr="00E47AA9" w:rsidRDefault="00353702" w:rsidP="00353702">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входящие в состав НП</w:t>
            </w:r>
          </w:p>
        </w:tc>
        <w:tc>
          <w:tcPr>
            <w:tcW w:w="1316" w:type="dxa"/>
            <w:tcBorders>
              <w:top w:val="nil"/>
              <w:left w:val="single" w:sz="8" w:space="0" w:color="auto"/>
              <w:bottom w:val="single" w:sz="8" w:space="0" w:color="auto"/>
              <w:right w:val="single" w:sz="8" w:space="0" w:color="auto"/>
            </w:tcBorders>
            <w:shd w:val="clear" w:color="000000" w:fill="FFFFFF"/>
            <w:vAlign w:val="center"/>
          </w:tcPr>
          <w:p w14:paraId="36FDA763"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20 608,96</w:t>
            </w:r>
          </w:p>
        </w:tc>
        <w:tc>
          <w:tcPr>
            <w:tcW w:w="1151" w:type="dxa"/>
            <w:tcBorders>
              <w:top w:val="nil"/>
              <w:left w:val="nil"/>
              <w:bottom w:val="single" w:sz="8" w:space="0" w:color="auto"/>
              <w:right w:val="single" w:sz="8" w:space="0" w:color="auto"/>
            </w:tcBorders>
            <w:shd w:val="clear" w:color="000000" w:fill="FFFFFF"/>
            <w:vAlign w:val="center"/>
          </w:tcPr>
          <w:p w14:paraId="3C0B4FDD"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19 054,63</w:t>
            </w:r>
          </w:p>
        </w:tc>
        <w:tc>
          <w:tcPr>
            <w:tcW w:w="1364" w:type="dxa"/>
            <w:tcBorders>
              <w:top w:val="nil"/>
              <w:left w:val="nil"/>
              <w:bottom w:val="single" w:sz="8" w:space="0" w:color="auto"/>
              <w:right w:val="single" w:sz="8" w:space="0" w:color="auto"/>
            </w:tcBorders>
            <w:shd w:val="clear" w:color="auto" w:fill="auto"/>
            <w:vAlign w:val="center"/>
          </w:tcPr>
          <w:p w14:paraId="1903B564" w14:textId="77777777" w:rsidR="00353702" w:rsidRPr="00E47AA9" w:rsidRDefault="00353702" w:rsidP="00353702">
            <w:pPr>
              <w:spacing w:after="0" w:line="240" w:lineRule="auto"/>
              <w:jc w:val="right"/>
              <w:rPr>
                <w:rFonts w:ascii="Times New Roman" w:eastAsia="Times New Roman" w:hAnsi="Times New Roman" w:cs="Times New Roman"/>
                <w:i/>
                <w:sz w:val="20"/>
                <w:szCs w:val="20"/>
                <w:lang w:eastAsia="ru-RU"/>
              </w:rPr>
            </w:pPr>
            <w:r w:rsidRPr="00E47AA9">
              <w:rPr>
                <w:rFonts w:ascii="Times New Roman" w:hAnsi="Times New Roman" w:cs="Times New Roman"/>
                <w:i/>
                <w:sz w:val="20"/>
                <w:szCs w:val="20"/>
              </w:rPr>
              <w:t>8,04</w:t>
            </w:r>
          </w:p>
        </w:tc>
        <w:tc>
          <w:tcPr>
            <w:tcW w:w="1364" w:type="dxa"/>
            <w:tcBorders>
              <w:top w:val="nil"/>
              <w:left w:val="nil"/>
              <w:bottom w:val="single" w:sz="8" w:space="0" w:color="auto"/>
              <w:right w:val="single" w:sz="8" w:space="0" w:color="auto"/>
            </w:tcBorders>
            <w:shd w:val="clear" w:color="000000" w:fill="FFFFFF"/>
            <w:vAlign w:val="center"/>
          </w:tcPr>
          <w:p w14:paraId="3E528A94" w14:textId="77777777" w:rsidR="00353702" w:rsidRPr="00E47AA9" w:rsidRDefault="00353702" w:rsidP="00353702">
            <w:pPr>
              <w:spacing w:after="0" w:line="240" w:lineRule="auto"/>
              <w:jc w:val="right"/>
              <w:rPr>
                <w:rFonts w:ascii="Times New Roman" w:eastAsia="Times New Roman" w:hAnsi="Times New Roman" w:cs="Times New Roman"/>
                <w:i/>
                <w:sz w:val="20"/>
                <w:szCs w:val="20"/>
                <w:lang w:eastAsia="ru-RU"/>
              </w:rPr>
            </w:pPr>
            <w:r w:rsidRPr="00E47AA9">
              <w:rPr>
                <w:rFonts w:ascii="Times New Roman" w:hAnsi="Times New Roman" w:cs="Times New Roman"/>
                <w:i/>
                <w:sz w:val="20"/>
                <w:szCs w:val="20"/>
              </w:rPr>
              <w:t>8,49</w:t>
            </w:r>
          </w:p>
        </w:tc>
        <w:tc>
          <w:tcPr>
            <w:tcW w:w="1222" w:type="dxa"/>
            <w:tcBorders>
              <w:top w:val="nil"/>
              <w:left w:val="nil"/>
              <w:bottom w:val="single" w:sz="8" w:space="0" w:color="auto"/>
              <w:right w:val="single" w:sz="8" w:space="0" w:color="auto"/>
            </w:tcBorders>
            <w:shd w:val="clear" w:color="000000" w:fill="FFFFFF"/>
            <w:vAlign w:val="center"/>
          </w:tcPr>
          <w:p w14:paraId="7F9B3404"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92,46</w:t>
            </w:r>
          </w:p>
        </w:tc>
        <w:tc>
          <w:tcPr>
            <w:tcW w:w="1353" w:type="dxa"/>
            <w:tcBorders>
              <w:top w:val="nil"/>
              <w:left w:val="nil"/>
              <w:bottom w:val="single" w:sz="8" w:space="0" w:color="auto"/>
              <w:right w:val="single" w:sz="8" w:space="0" w:color="auto"/>
            </w:tcBorders>
            <w:shd w:val="clear" w:color="000000" w:fill="FFFFFF"/>
            <w:vAlign w:val="center"/>
          </w:tcPr>
          <w:p w14:paraId="00277F02"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1 554,33</w:t>
            </w:r>
          </w:p>
        </w:tc>
      </w:tr>
      <w:tr w:rsidR="00E47AA9" w:rsidRPr="00E47AA9" w14:paraId="0634ACF7" w14:textId="77777777" w:rsidTr="00353702">
        <w:trPr>
          <w:trHeight w:val="20"/>
        </w:trPr>
        <w:tc>
          <w:tcPr>
            <w:tcW w:w="1873" w:type="dxa"/>
            <w:tcBorders>
              <w:top w:val="single" w:sz="4" w:space="0" w:color="auto"/>
              <w:left w:val="single" w:sz="4" w:space="0" w:color="auto"/>
              <w:bottom w:val="single" w:sz="4" w:space="0" w:color="auto"/>
              <w:right w:val="single" w:sz="4" w:space="0" w:color="auto"/>
            </w:tcBorders>
            <w:shd w:val="clear" w:color="000000" w:fill="FFFFFF"/>
            <w:vAlign w:val="center"/>
          </w:tcPr>
          <w:p w14:paraId="65E98FAF" w14:textId="77777777" w:rsidR="00353702" w:rsidRPr="00E47AA9" w:rsidRDefault="00353702" w:rsidP="00353702">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не входящие в состав НП</w:t>
            </w:r>
          </w:p>
        </w:tc>
        <w:tc>
          <w:tcPr>
            <w:tcW w:w="1316" w:type="dxa"/>
            <w:tcBorders>
              <w:top w:val="nil"/>
              <w:left w:val="single" w:sz="8" w:space="0" w:color="auto"/>
              <w:bottom w:val="single" w:sz="8" w:space="0" w:color="auto"/>
              <w:right w:val="single" w:sz="8" w:space="0" w:color="auto"/>
            </w:tcBorders>
            <w:shd w:val="clear" w:color="000000" w:fill="FFFFFF"/>
            <w:vAlign w:val="center"/>
          </w:tcPr>
          <w:p w14:paraId="4C3A0BCB"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11 847,63</w:t>
            </w:r>
          </w:p>
        </w:tc>
        <w:tc>
          <w:tcPr>
            <w:tcW w:w="1151" w:type="dxa"/>
            <w:tcBorders>
              <w:top w:val="nil"/>
              <w:left w:val="nil"/>
              <w:bottom w:val="single" w:sz="8" w:space="0" w:color="auto"/>
              <w:right w:val="single" w:sz="8" w:space="0" w:color="auto"/>
            </w:tcBorders>
            <w:shd w:val="clear" w:color="000000" w:fill="FFFFFF"/>
            <w:vAlign w:val="center"/>
          </w:tcPr>
          <w:p w14:paraId="69E34EEC"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10 866,30</w:t>
            </w:r>
          </w:p>
        </w:tc>
        <w:tc>
          <w:tcPr>
            <w:tcW w:w="1364" w:type="dxa"/>
            <w:tcBorders>
              <w:top w:val="nil"/>
              <w:left w:val="nil"/>
              <w:bottom w:val="single" w:sz="8" w:space="0" w:color="auto"/>
              <w:right w:val="single" w:sz="8" w:space="0" w:color="auto"/>
            </w:tcBorders>
            <w:shd w:val="clear" w:color="auto" w:fill="auto"/>
            <w:vAlign w:val="center"/>
          </w:tcPr>
          <w:p w14:paraId="5057AE51" w14:textId="77777777" w:rsidR="00353702" w:rsidRPr="00E47AA9" w:rsidRDefault="00353702" w:rsidP="00353702">
            <w:pPr>
              <w:spacing w:after="0" w:line="240" w:lineRule="auto"/>
              <w:jc w:val="right"/>
              <w:rPr>
                <w:rFonts w:ascii="Times New Roman" w:eastAsia="Times New Roman" w:hAnsi="Times New Roman" w:cs="Times New Roman"/>
                <w:i/>
                <w:sz w:val="20"/>
                <w:szCs w:val="20"/>
                <w:lang w:eastAsia="ru-RU"/>
              </w:rPr>
            </w:pPr>
            <w:r w:rsidRPr="00E47AA9">
              <w:rPr>
                <w:rFonts w:ascii="Times New Roman" w:hAnsi="Times New Roman" w:cs="Times New Roman"/>
                <w:i/>
                <w:sz w:val="20"/>
                <w:szCs w:val="20"/>
              </w:rPr>
              <w:t>4,59</w:t>
            </w:r>
          </w:p>
        </w:tc>
        <w:tc>
          <w:tcPr>
            <w:tcW w:w="1364" w:type="dxa"/>
            <w:tcBorders>
              <w:top w:val="nil"/>
              <w:left w:val="nil"/>
              <w:bottom w:val="single" w:sz="8" w:space="0" w:color="auto"/>
              <w:right w:val="single" w:sz="8" w:space="0" w:color="auto"/>
            </w:tcBorders>
            <w:shd w:val="clear" w:color="000000" w:fill="FFFFFF"/>
            <w:vAlign w:val="center"/>
          </w:tcPr>
          <w:p w14:paraId="4EC7398F" w14:textId="77777777" w:rsidR="00353702" w:rsidRPr="00E47AA9" w:rsidRDefault="00353702" w:rsidP="00353702">
            <w:pPr>
              <w:spacing w:after="0" w:line="240" w:lineRule="auto"/>
              <w:jc w:val="right"/>
              <w:rPr>
                <w:rFonts w:ascii="Times New Roman" w:eastAsia="Times New Roman" w:hAnsi="Times New Roman" w:cs="Times New Roman"/>
                <w:i/>
                <w:sz w:val="20"/>
                <w:szCs w:val="20"/>
                <w:lang w:eastAsia="ru-RU"/>
              </w:rPr>
            </w:pPr>
            <w:r w:rsidRPr="00E47AA9">
              <w:rPr>
                <w:rFonts w:ascii="Times New Roman" w:hAnsi="Times New Roman" w:cs="Times New Roman"/>
                <w:i/>
                <w:sz w:val="20"/>
                <w:szCs w:val="20"/>
              </w:rPr>
              <w:t>4,84</w:t>
            </w:r>
          </w:p>
        </w:tc>
        <w:tc>
          <w:tcPr>
            <w:tcW w:w="1222" w:type="dxa"/>
            <w:tcBorders>
              <w:top w:val="nil"/>
              <w:left w:val="nil"/>
              <w:bottom w:val="single" w:sz="8" w:space="0" w:color="auto"/>
              <w:right w:val="single" w:sz="8" w:space="0" w:color="auto"/>
            </w:tcBorders>
            <w:shd w:val="clear" w:color="000000" w:fill="FFFFFF"/>
            <w:vAlign w:val="center"/>
          </w:tcPr>
          <w:p w14:paraId="4BF7FE83"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91,72</w:t>
            </w:r>
          </w:p>
        </w:tc>
        <w:tc>
          <w:tcPr>
            <w:tcW w:w="1353" w:type="dxa"/>
            <w:tcBorders>
              <w:top w:val="nil"/>
              <w:left w:val="nil"/>
              <w:bottom w:val="single" w:sz="8" w:space="0" w:color="auto"/>
              <w:right w:val="single" w:sz="8" w:space="0" w:color="auto"/>
            </w:tcBorders>
            <w:shd w:val="clear" w:color="000000" w:fill="FFFFFF"/>
            <w:vAlign w:val="center"/>
          </w:tcPr>
          <w:p w14:paraId="03EBC016"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981,33</w:t>
            </w:r>
          </w:p>
        </w:tc>
      </w:tr>
      <w:tr w:rsidR="00E47AA9" w:rsidRPr="00E47AA9" w14:paraId="660E484A" w14:textId="77777777" w:rsidTr="00353702">
        <w:trPr>
          <w:trHeight w:val="20"/>
        </w:trPr>
        <w:tc>
          <w:tcPr>
            <w:tcW w:w="187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DDC3036" w14:textId="77777777" w:rsidR="00353702" w:rsidRPr="00E47AA9" w:rsidRDefault="00353702" w:rsidP="00353702">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ведомственные проекты</w:t>
            </w:r>
          </w:p>
        </w:tc>
        <w:tc>
          <w:tcPr>
            <w:tcW w:w="1316" w:type="dxa"/>
            <w:tcBorders>
              <w:top w:val="nil"/>
              <w:left w:val="single" w:sz="8" w:space="0" w:color="auto"/>
              <w:bottom w:val="single" w:sz="8" w:space="0" w:color="auto"/>
              <w:right w:val="single" w:sz="8" w:space="0" w:color="auto"/>
            </w:tcBorders>
            <w:shd w:val="clear" w:color="000000" w:fill="FFFFFF"/>
            <w:vAlign w:val="center"/>
            <w:hideMark/>
          </w:tcPr>
          <w:p w14:paraId="73324F19"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3 191,62</w:t>
            </w:r>
          </w:p>
        </w:tc>
        <w:tc>
          <w:tcPr>
            <w:tcW w:w="1151" w:type="dxa"/>
            <w:tcBorders>
              <w:top w:val="nil"/>
              <w:left w:val="nil"/>
              <w:bottom w:val="single" w:sz="8" w:space="0" w:color="auto"/>
              <w:right w:val="single" w:sz="8" w:space="0" w:color="auto"/>
            </w:tcBorders>
            <w:shd w:val="clear" w:color="000000" w:fill="FFFFFF"/>
            <w:vAlign w:val="center"/>
            <w:hideMark/>
          </w:tcPr>
          <w:p w14:paraId="6C1156DC"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3 024,76</w:t>
            </w:r>
          </w:p>
        </w:tc>
        <w:tc>
          <w:tcPr>
            <w:tcW w:w="1364" w:type="dxa"/>
            <w:tcBorders>
              <w:top w:val="nil"/>
              <w:left w:val="nil"/>
              <w:bottom w:val="single" w:sz="8" w:space="0" w:color="auto"/>
              <w:right w:val="single" w:sz="8" w:space="0" w:color="auto"/>
            </w:tcBorders>
            <w:shd w:val="clear" w:color="auto" w:fill="auto"/>
            <w:vAlign w:val="center"/>
            <w:hideMark/>
          </w:tcPr>
          <w:p w14:paraId="703E1B99" w14:textId="77777777" w:rsidR="00353702" w:rsidRPr="00E47AA9" w:rsidRDefault="00353702" w:rsidP="00353702">
            <w:pPr>
              <w:spacing w:after="0" w:line="240" w:lineRule="auto"/>
              <w:jc w:val="right"/>
              <w:rPr>
                <w:rFonts w:ascii="Times New Roman" w:eastAsia="Times New Roman" w:hAnsi="Times New Roman" w:cs="Times New Roman"/>
                <w:i/>
                <w:sz w:val="20"/>
                <w:szCs w:val="20"/>
                <w:lang w:eastAsia="ru-RU"/>
              </w:rPr>
            </w:pPr>
            <w:r w:rsidRPr="00E47AA9">
              <w:rPr>
                <w:rFonts w:ascii="Times New Roman" w:hAnsi="Times New Roman" w:cs="Times New Roman"/>
                <w:i/>
                <w:sz w:val="20"/>
                <w:szCs w:val="20"/>
              </w:rPr>
              <w:t>1,28</w:t>
            </w:r>
          </w:p>
        </w:tc>
        <w:tc>
          <w:tcPr>
            <w:tcW w:w="1364" w:type="dxa"/>
            <w:tcBorders>
              <w:top w:val="nil"/>
              <w:left w:val="nil"/>
              <w:bottom w:val="single" w:sz="8" w:space="0" w:color="auto"/>
              <w:right w:val="single" w:sz="8" w:space="0" w:color="auto"/>
            </w:tcBorders>
            <w:shd w:val="clear" w:color="000000" w:fill="FFFFFF"/>
            <w:vAlign w:val="center"/>
          </w:tcPr>
          <w:p w14:paraId="19B5A928" w14:textId="77777777" w:rsidR="00353702" w:rsidRPr="00E47AA9" w:rsidRDefault="00353702" w:rsidP="00353702">
            <w:pPr>
              <w:spacing w:after="0" w:line="240" w:lineRule="auto"/>
              <w:jc w:val="right"/>
              <w:rPr>
                <w:rFonts w:ascii="Times New Roman" w:eastAsia="Times New Roman" w:hAnsi="Times New Roman" w:cs="Times New Roman"/>
                <w:i/>
                <w:sz w:val="20"/>
                <w:szCs w:val="20"/>
                <w:lang w:eastAsia="ru-RU"/>
              </w:rPr>
            </w:pPr>
            <w:r w:rsidRPr="00E47AA9">
              <w:rPr>
                <w:rFonts w:ascii="Times New Roman" w:hAnsi="Times New Roman" w:cs="Times New Roman"/>
                <w:i/>
                <w:sz w:val="20"/>
                <w:szCs w:val="20"/>
              </w:rPr>
              <w:t>1,35</w:t>
            </w:r>
          </w:p>
        </w:tc>
        <w:tc>
          <w:tcPr>
            <w:tcW w:w="1222" w:type="dxa"/>
            <w:tcBorders>
              <w:top w:val="nil"/>
              <w:left w:val="nil"/>
              <w:bottom w:val="single" w:sz="8" w:space="0" w:color="auto"/>
              <w:right w:val="single" w:sz="8" w:space="0" w:color="auto"/>
            </w:tcBorders>
            <w:shd w:val="clear" w:color="000000" w:fill="FFFFFF"/>
            <w:vAlign w:val="center"/>
          </w:tcPr>
          <w:p w14:paraId="69271EA6"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94,77</w:t>
            </w:r>
          </w:p>
        </w:tc>
        <w:tc>
          <w:tcPr>
            <w:tcW w:w="1353" w:type="dxa"/>
            <w:tcBorders>
              <w:top w:val="nil"/>
              <w:left w:val="nil"/>
              <w:bottom w:val="single" w:sz="8" w:space="0" w:color="auto"/>
              <w:right w:val="single" w:sz="8" w:space="0" w:color="auto"/>
            </w:tcBorders>
            <w:shd w:val="clear" w:color="000000" w:fill="FFFFFF"/>
            <w:vAlign w:val="center"/>
            <w:hideMark/>
          </w:tcPr>
          <w:p w14:paraId="1CCFAC36" w14:textId="77777777" w:rsidR="00353702" w:rsidRPr="00E47AA9" w:rsidRDefault="00353702" w:rsidP="00353702">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166,86</w:t>
            </w:r>
          </w:p>
        </w:tc>
      </w:tr>
    </w:tbl>
    <w:p w14:paraId="4CF83352" w14:textId="77777777" w:rsidR="00353702" w:rsidRPr="00E47AA9" w:rsidRDefault="00353702" w:rsidP="00353702">
      <w:pPr>
        <w:widowControl w:val="0"/>
        <w:spacing w:after="0" w:line="240" w:lineRule="auto"/>
        <w:ind w:firstLine="709"/>
        <w:jc w:val="both"/>
        <w:rPr>
          <w:rFonts w:ascii="Times New Roman" w:eastAsia="Times New Roman" w:hAnsi="Times New Roman" w:cs="Times New Roman"/>
          <w:bCs/>
          <w:sz w:val="28"/>
          <w:szCs w:val="28"/>
        </w:rPr>
      </w:pPr>
    </w:p>
    <w:p w14:paraId="68D5B4F7" w14:textId="77777777" w:rsidR="00353702" w:rsidRPr="00E47AA9" w:rsidRDefault="00353702" w:rsidP="00353702">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Анализ исполнения программных и непрограммных расходов изложен далее по тексту заключения. </w:t>
      </w:r>
    </w:p>
    <w:p w14:paraId="698C6250" w14:textId="77777777" w:rsidR="00576D56" w:rsidRPr="00E47AA9" w:rsidRDefault="00576D56" w:rsidP="00576D56">
      <w:pPr>
        <w:autoSpaceDE w:val="0"/>
        <w:autoSpaceDN w:val="0"/>
        <w:adjustRightInd w:val="0"/>
        <w:spacing w:after="0" w:line="240" w:lineRule="auto"/>
        <w:ind w:firstLine="709"/>
        <w:jc w:val="both"/>
        <w:rPr>
          <w:rFonts w:ascii="Times New Roman" w:hAnsi="Times New Roman" w:cs="Times New Roman"/>
          <w:b/>
          <w:sz w:val="28"/>
          <w:szCs w:val="28"/>
        </w:rPr>
      </w:pPr>
    </w:p>
    <w:p w14:paraId="49A47732" w14:textId="77777777" w:rsidR="00576D56" w:rsidRPr="00E47AA9" w:rsidRDefault="00576D56" w:rsidP="009B23E7">
      <w:pPr>
        <w:spacing w:after="0" w:line="240" w:lineRule="auto"/>
        <w:jc w:val="center"/>
        <w:rPr>
          <w:rFonts w:ascii="Times New Roman" w:hAnsi="Times New Roman" w:cs="Times New Roman"/>
          <w:b/>
          <w:sz w:val="28"/>
          <w:szCs w:val="28"/>
        </w:rPr>
      </w:pPr>
      <w:r w:rsidRPr="00E47AA9">
        <w:rPr>
          <w:rFonts w:ascii="Times New Roman" w:hAnsi="Times New Roman" w:cs="Times New Roman"/>
          <w:b/>
          <w:sz w:val="28"/>
          <w:szCs w:val="28"/>
        </w:rPr>
        <w:t>5.1. Региональные проекты</w:t>
      </w:r>
    </w:p>
    <w:p w14:paraId="457D94BA" w14:textId="77777777" w:rsidR="00576D56" w:rsidRPr="00E47AA9" w:rsidRDefault="00576D56" w:rsidP="009B23E7">
      <w:pPr>
        <w:spacing w:after="0" w:line="240" w:lineRule="auto"/>
        <w:jc w:val="center"/>
        <w:rPr>
          <w:rFonts w:ascii="Times New Roman" w:hAnsi="Times New Roman" w:cs="Times New Roman"/>
          <w:b/>
          <w:sz w:val="28"/>
          <w:szCs w:val="28"/>
        </w:rPr>
      </w:pPr>
      <w:r w:rsidRPr="00E47AA9">
        <w:rPr>
          <w:rFonts w:ascii="Times New Roman" w:hAnsi="Times New Roman" w:cs="Times New Roman"/>
          <w:b/>
          <w:sz w:val="28"/>
          <w:szCs w:val="28"/>
        </w:rPr>
        <w:t>5.1.1. Региональные проекты в составе национальных проектов</w:t>
      </w:r>
    </w:p>
    <w:p w14:paraId="7DBF7C0F" w14:textId="77777777" w:rsidR="00576D56" w:rsidRPr="00E47AA9" w:rsidRDefault="00576D56" w:rsidP="00576D56">
      <w:pPr>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 xml:space="preserve">Согласно первоначальной редакции закона о краевом бюджете на 2024 год запланирована реализация мероприятий 12 национальных проектов (далее – НП) через 38 региональных проектов (далее – РП) в структуре 17 государственных программ Приморского края (далее – ГП). Планируемый объем расходов составлял 21183,80 млн рублей. </w:t>
      </w:r>
    </w:p>
    <w:p w14:paraId="36073925" w14:textId="1C9CB081" w:rsidR="00576D56" w:rsidRPr="00E47AA9" w:rsidRDefault="00576D56" w:rsidP="00576D56">
      <w:pPr>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В результате разнонаправленных корректировок краевого бюджета объем расходов на НП на 2024 год снижен в действующей редакции закона о краевом бюджете до 20558,8</w:t>
      </w:r>
      <w:r w:rsidR="009579F6" w:rsidRPr="00E47AA9">
        <w:rPr>
          <w:rFonts w:ascii="Times New Roman" w:eastAsia="Calibri" w:hAnsi="Times New Roman" w:cs="Times New Roman"/>
          <w:sz w:val="28"/>
          <w:szCs w:val="28"/>
        </w:rPr>
        <w:t>9</w:t>
      </w:r>
      <w:r w:rsidRPr="00E47AA9">
        <w:rPr>
          <w:rFonts w:ascii="Times New Roman" w:eastAsia="Calibri" w:hAnsi="Times New Roman" w:cs="Times New Roman"/>
          <w:sz w:val="28"/>
          <w:szCs w:val="28"/>
        </w:rPr>
        <w:t xml:space="preserve"> млн рублей. Количество реализуемых региональных проектов сократилось до 37, так как в полном</w:t>
      </w:r>
      <w:r w:rsidRPr="00E47AA9">
        <w:rPr>
          <w:rFonts w:ascii="Times New Roman" w:hAnsi="Times New Roman" w:cs="Times New Roman"/>
        </w:rPr>
        <w:t xml:space="preserve"> </w:t>
      </w:r>
      <w:r w:rsidRPr="00E47AA9">
        <w:rPr>
          <w:rFonts w:ascii="Times New Roman" w:eastAsia="Calibri" w:hAnsi="Times New Roman" w:cs="Times New Roman"/>
          <w:sz w:val="28"/>
          <w:szCs w:val="28"/>
        </w:rPr>
        <w:t xml:space="preserve">объеме (5,00 млн рублей) исключен РП "Цифровые технологии" в рамках НП "Национальная программа "Цифровая экономика" в структуре ГП "Информационное общество". </w:t>
      </w:r>
    </w:p>
    <w:p w14:paraId="4E281748" w14:textId="01E8B640" w:rsidR="00576D56" w:rsidRPr="00E47AA9" w:rsidRDefault="00576D56" w:rsidP="00576D56">
      <w:pPr>
        <w:spacing w:after="0" w:line="240" w:lineRule="auto"/>
        <w:ind w:firstLine="708"/>
        <w:jc w:val="both"/>
        <w:rPr>
          <w:rFonts w:ascii="Times New Roman" w:hAnsi="Times New Roman" w:cs="Times New Roman"/>
          <w:sz w:val="28"/>
          <w:szCs w:val="28"/>
        </w:rPr>
      </w:pPr>
      <w:r w:rsidRPr="00E47AA9">
        <w:rPr>
          <w:rFonts w:ascii="Times New Roman" w:eastAsia="Calibri" w:hAnsi="Times New Roman" w:cs="Times New Roman"/>
          <w:sz w:val="28"/>
          <w:szCs w:val="28"/>
        </w:rPr>
        <w:t>Помимо этого, согласно отчету министерством финансов Приморского края</w:t>
      </w:r>
      <w:r w:rsidRPr="00E47AA9">
        <w:rPr>
          <w:rFonts w:ascii="Times New Roman" w:hAnsi="Times New Roman" w:cs="Times New Roman"/>
          <w:sz w:val="28"/>
          <w:szCs w:val="28"/>
        </w:rPr>
        <w:t xml:space="preserve"> в соответствии с бюджетным законодательством объем бюджетных ассигнований 2024 года </w:t>
      </w:r>
      <w:r w:rsidR="00F11259" w:rsidRPr="00E47AA9">
        <w:rPr>
          <w:rFonts w:ascii="Times New Roman" w:hAnsi="Times New Roman" w:cs="Times New Roman"/>
          <w:sz w:val="28"/>
          <w:szCs w:val="28"/>
        </w:rPr>
        <w:t>увеличен</w:t>
      </w:r>
      <w:r w:rsidRPr="00E47AA9">
        <w:rPr>
          <w:rFonts w:ascii="Times New Roman" w:hAnsi="Times New Roman" w:cs="Times New Roman"/>
          <w:sz w:val="28"/>
          <w:szCs w:val="28"/>
        </w:rPr>
        <w:t xml:space="preserve"> на 50,0</w:t>
      </w:r>
      <w:r w:rsidR="00E674A2">
        <w:rPr>
          <w:rFonts w:ascii="Times New Roman" w:hAnsi="Times New Roman" w:cs="Times New Roman"/>
          <w:sz w:val="28"/>
          <w:szCs w:val="28"/>
        </w:rPr>
        <w:t>7</w:t>
      </w:r>
      <w:r w:rsidRPr="00E47AA9">
        <w:rPr>
          <w:rFonts w:ascii="Times New Roman" w:hAnsi="Times New Roman" w:cs="Times New Roman"/>
          <w:sz w:val="28"/>
          <w:szCs w:val="28"/>
        </w:rPr>
        <w:t xml:space="preserve"> млн рублей. В результате уточненные бюджетные назначения на реализацию мероприятий 12</w:t>
      </w:r>
      <w:r w:rsidR="003F7870" w:rsidRPr="00E47AA9">
        <w:rPr>
          <w:rFonts w:ascii="Times New Roman" w:hAnsi="Times New Roman" w:cs="Times New Roman"/>
          <w:sz w:val="28"/>
          <w:szCs w:val="28"/>
        </w:rPr>
        <w:t> </w:t>
      </w:r>
      <w:r w:rsidRPr="00E47AA9">
        <w:rPr>
          <w:rFonts w:ascii="Times New Roman" w:hAnsi="Times New Roman" w:cs="Times New Roman"/>
          <w:sz w:val="28"/>
          <w:szCs w:val="28"/>
        </w:rPr>
        <w:t xml:space="preserve">национальных проектов составили 20608,96 млн рублей. </w:t>
      </w:r>
    </w:p>
    <w:tbl>
      <w:tblPr>
        <w:tblW w:w="9786" w:type="dxa"/>
        <w:tblInd w:w="-284" w:type="dxa"/>
        <w:tblLayout w:type="fixed"/>
        <w:tblLook w:val="04A0" w:firstRow="1" w:lastRow="0" w:firstColumn="1" w:lastColumn="0" w:noHBand="0" w:noVBand="1"/>
      </w:tblPr>
      <w:tblGrid>
        <w:gridCol w:w="2552"/>
        <w:gridCol w:w="1134"/>
        <w:gridCol w:w="1134"/>
        <w:gridCol w:w="1134"/>
        <w:gridCol w:w="1423"/>
        <w:gridCol w:w="1275"/>
        <w:gridCol w:w="1134"/>
      </w:tblGrid>
      <w:tr w:rsidR="00E47AA9" w:rsidRPr="00E47AA9" w14:paraId="1B845FE9" w14:textId="77777777" w:rsidTr="00576D56">
        <w:trPr>
          <w:trHeight w:val="285"/>
          <w:tblHeader/>
        </w:trPr>
        <w:tc>
          <w:tcPr>
            <w:tcW w:w="2552" w:type="dxa"/>
            <w:tcBorders>
              <w:bottom w:val="single" w:sz="4" w:space="0" w:color="auto"/>
            </w:tcBorders>
            <w:shd w:val="clear" w:color="auto" w:fill="auto"/>
            <w:vAlign w:val="bottom"/>
          </w:tcPr>
          <w:p w14:paraId="73121300"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p>
        </w:tc>
        <w:tc>
          <w:tcPr>
            <w:tcW w:w="1134" w:type="dxa"/>
            <w:tcBorders>
              <w:bottom w:val="single" w:sz="4" w:space="0" w:color="auto"/>
            </w:tcBorders>
            <w:shd w:val="clear" w:color="auto" w:fill="auto"/>
            <w:vAlign w:val="bottom"/>
          </w:tcPr>
          <w:p w14:paraId="176FCBC8"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p>
        </w:tc>
        <w:tc>
          <w:tcPr>
            <w:tcW w:w="1134" w:type="dxa"/>
            <w:tcBorders>
              <w:bottom w:val="single" w:sz="4" w:space="0" w:color="auto"/>
            </w:tcBorders>
            <w:shd w:val="clear" w:color="auto" w:fill="auto"/>
            <w:vAlign w:val="bottom"/>
          </w:tcPr>
          <w:p w14:paraId="36E976F9"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p>
        </w:tc>
        <w:tc>
          <w:tcPr>
            <w:tcW w:w="1134" w:type="dxa"/>
            <w:tcBorders>
              <w:bottom w:val="single" w:sz="4" w:space="0" w:color="auto"/>
            </w:tcBorders>
            <w:shd w:val="clear" w:color="auto" w:fill="auto"/>
            <w:noWrap/>
            <w:vAlign w:val="bottom"/>
          </w:tcPr>
          <w:p w14:paraId="3585F497"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p>
        </w:tc>
        <w:tc>
          <w:tcPr>
            <w:tcW w:w="1423" w:type="dxa"/>
            <w:tcBorders>
              <w:bottom w:val="single" w:sz="4" w:space="0" w:color="auto"/>
            </w:tcBorders>
            <w:shd w:val="clear" w:color="auto" w:fill="auto"/>
            <w:noWrap/>
            <w:vAlign w:val="bottom"/>
          </w:tcPr>
          <w:p w14:paraId="6F051F4B"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p>
        </w:tc>
        <w:tc>
          <w:tcPr>
            <w:tcW w:w="2409" w:type="dxa"/>
            <w:gridSpan w:val="2"/>
            <w:tcBorders>
              <w:bottom w:val="single" w:sz="4" w:space="0" w:color="auto"/>
            </w:tcBorders>
            <w:shd w:val="clear" w:color="auto" w:fill="auto"/>
            <w:noWrap/>
            <w:vAlign w:val="bottom"/>
          </w:tcPr>
          <w:p w14:paraId="328E634D"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051BF111" w14:textId="77777777" w:rsidTr="00576D56">
        <w:trPr>
          <w:trHeight w:val="285"/>
          <w:tblHeader/>
        </w:trPr>
        <w:tc>
          <w:tcPr>
            <w:tcW w:w="2552" w:type="dxa"/>
            <w:vMerge w:val="restart"/>
            <w:tcBorders>
              <w:top w:val="single" w:sz="4" w:space="0" w:color="auto"/>
              <w:left w:val="single" w:sz="4" w:space="0" w:color="auto"/>
              <w:right w:val="single" w:sz="4" w:space="0" w:color="auto"/>
            </w:tcBorders>
            <w:shd w:val="clear" w:color="auto" w:fill="auto"/>
            <w:vAlign w:val="center"/>
          </w:tcPr>
          <w:p w14:paraId="40602671"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Наименование национального проекта</w:t>
            </w:r>
          </w:p>
          <w:p w14:paraId="43AF8AC0"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p>
        </w:tc>
        <w:tc>
          <w:tcPr>
            <w:tcW w:w="3402" w:type="dxa"/>
            <w:gridSpan w:val="3"/>
            <w:tcBorders>
              <w:top w:val="single" w:sz="4" w:space="0" w:color="auto"/>
              <w:left w:val="nil"/>
              <w:bottom w:val="single" w:sz="4" w:space="0" w:color="auto"/>
              <w:right w:val="single" w:sz="4" w:space="0" w:color="auto"/>
            </w:tcBorders>
            <w:shd w:val="clear" w:color="auto" w:fill="auto"/>
            <w:vAlign w:val="center"/>
          </w:tcPr>
          <w:p w14:paraId="406ACF73"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Закон № 495-КЗ</w:t>
            </w:r>
          </w:p>
        </w:tc>
        <w:tc>
          <w:tcPr>
            <w:tcW w:w="1423" w:type="dxa"/>
            <w:vMerge w:val="restart"/>
            <w:tcBorders>
              <w:top w:val="single" w:sz="4" w:space="0" w:color="auto"/>
              <w:left w:val="nil"/>
              <w:right w:val="single" w:sz="4" w:space="0" w:color="auto"/>
            </w:tcBorders>
            <w:shd w:val="clear" w:color="auto" w:fill="auto"/>
            <w:noWrap/>
            <w:vAlign w:val="center"/>
          </w:tcPr>
          <w:p w14:paraId="5CA5579A"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proofErr w:type="gramStart"/>
            <w:r w:rsidRPr="00E47AA9">
              <w:rPr>
                <w:rFonts w:ascii="Times New Roman" w:eastAsia="Times New Roman" w:hAnsi="Times New Roman" w:cs="Times New Roman"/>
                <w:lang w:eastAsia="ru-RU"/>
              </w:rPr>
              <w:t>Уточнен-</w:t>
            </w:r>
            <w:proofErr w:type="spellStart"/>
            <w:r w:rsidRPr="00E47AA9">
              <w:rPr>
                <w:rFonts w:ascii="Times New Roman" w:eastAsia="Times New Roman" w:hAnsi="Times New Roman" w:cs="Times New Roman"/>
                <w:lang w:eastAsia="ru-RU"/>
              </w:rPr>
              <w:t>ные</w:t>
            </w:r>
            <w:proofErr w:type="spellEnd"/>
            <w:proofErr w:type="gramEnd"/>
            <w:r w:rsidRPr="00E47AA9">
              <w:rPr>
                <w:rFonts w:ascii="Times New Roman" w:eastAsia="Times New Roman" w:hAnsi="Times New Roman" w:cs="Times New Roman"/>
                <w:lang w:eastAsia="ru-RU"/>
              </w:rPr>
              <w:t xml:space="preserve"> бюджетные назначения</w:t>
            </w:r>
          </w:p>
        </w:tc>
        <w:tc>
          <w:tcPr>
            <w:tcW w:w="2409" w:type="dxa"/>
            <w:gridSpan w:val="2"/>
            <w:tcBorders>
              <w:top w:val="single" w:sz="4" w:space="0" w:color="auto"/>
              <w:left w:val="nil"/>
              <w:bottom w:val="single" w:sz="4" w:space="0" w:color="auto"/>
              <w:right w:val="single" w:sz="4" w:space="0" w:color="auto"/>
            </w:tcBorders>
            <w:shd w:val="clear" w:color="auto" w:fill="auto"/>
            <w:noWrap/>
            <w:vAlign w:val="center"/>
          </w:tcPr>
          <w:p w14:paraId="4E1E8D34"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Отклонение уточненных бюджетных назначений</w:t>
            </w:r>
          </w:p>
        </w:tc>
      </w:tr>
      <w:tr w:rsidR="00E47AA9" w:rsidRPr="00E47AA9" w14:paraId="704996DE" w14:textId="77777777" w:rsidTr="00576D56">
        <w:trPr>
          <w:trHeight w:val="285"/>
        </w:trPr>
        <w:tc>
          <w:tcPr>
            <w:tcW w:w="2552" w:type="dxa"/>
            <w:vMerge/>
            <w:tcBorders>
              <w:left w:val="single" w:sz="4" w:space="0" w:color="auto"/>
              <w:bottom w:val="single" w:sz="4" w:space="0" w:color="auto"/>
              <w:right w:val="single" w:sz="4" w:space="0" w:color="auto"/>
            </w:tcBorders>
            <w:shd w:val="clear" w:color="auto" w:fill="auto"/>
            <w:vAlign w:val="bottom"/>
          </w:tcPr>
          <w:p w14:paraId="1BFBBF3E"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23E46B7E"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proofErr w:type="spellStart"/>
            <w:proofErr w:type="gramStart"/>
            <w:r w:rsidRPr="00E47AA9">
              <w:rPr>
                <w:rFonts w:ascii="Times New Roman" w:hAnsi="Times New Roman" w:cs="Times New Roman"/>
              </w:rPr>
              <w:t>первона-чальная</w:t>
            </w:r>
            <w:proofErr w:type="spellEnd"/>
            <w:proofErr w:type="gramEnd"/>
            <w:r w:rsidRPr="00E47AA9">
              <w:rPr>
                <w:rFonts w:ascii="Times New Roman" w:hAnsi="Times New Roman" w:cs="Times New Roman"/>
              </w:rPr>
              <w:t xml:space="preserve"> редакция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0CFC7C92"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proofErr w:type="spellStart"/>
            <w:proofErr w:type="gramStart"/>
            <w:r w:rsidRPr="00E47AA9">
              <w:rPr>
                <w:rFonts w:ascii="Times New Roman" w:hAnsi="Times New Roman" w:cs="Times New Roman"/>
              </w:rPr>
              <w:t>дейст-вующая</w:t>
            </w:r>
            <w:proofErr w:type="spellEnd"/>
            <w:proofErr w:type="gramEnd"/>
            <w:r w:rsidRPr="00E47AA9">
              <w:rPr>
                <w:rFonts w:ascii="Times New Roman" w:hAnsi="Times New Roman" w:cs="Times New Roman"/>
              </w:rPr>
              <w:t xml:space="preserve"> редакция</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D439E91"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proofErr w:type="spellStart"/>
            <w:proofErr w:type="gramStart"/>
            <w:r w:rsidRPr="00E47AA9">
              <w:rPr>
                <w:rFonts w:ascii="Times New Roman" w:hAnsi="Times New Roman" w:cs="Times New Roman"/>
              </w:rPr>
              <w:t>откло-нение</w:t>
            </w:r>
            <w:proofErr w:type="spellEnd"/>
            <w:proofErr w:type="gramEnd"/>
          </w:p>
        </w:tc>
        <w:tc>
          <w:tcPr>
            <w:tcW w:w="1423" w:type="dxa"/>
            <w:vMerge/>
            <w:tcBorders>
              <w:left w:val="nil"/>
              <w:bottom w:val="single" w:sz="4" w:space="0" w:color="auto"/>
              <w:right w:val="single" w:sz="4" w:space="0" w:color="auto"/>
            </w:tcBorders>
            <w:shd w:val="clear" w:color="auto" w:fill="auto"/>
            <w:noWrap/>
            <w:vAlign w:val="bottom"/>
          </w:tcPr>
          <w:p w14:paraId="3626FCFD"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10C4475C"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r w:rsidRPr="00E47AA9">
              <w:rPr>
                <w:rFonts w:ascii="Times New Roman" w:hAnsi="Times New Roman" w:cs="Times New Roman"/>
              </w:rPr>
              <w:t xml:space="preserve">от </w:t>
            </w:r>
            <w:proofErr w:type="spellStart"/>
            <w:proofErr w:type="gramStart"/>
            <w:r w:rsidRPr="00E47AA9">
              <w:rPr>
                <w:rFonts w:ascii="Times New Roman" w:hAnsi="Times New Roman" w:cs="Times New Roman"/>
              </w:rPr>
              <w:t>первона-чальной</w:t>
            </w:r>
            <w:proofErr w:type="spellEnd"/>
            <w:proofErr w:type="gramEnd"/>
            <w:r w:rsidRPr="00E47AA9">
              <w:rPr>
                <w:rFonts w:ascii="Times New Roman" w:hAnsi="Times New Roman" w:cs="Times New Roman"/>
              </w:rPr>
              <w:t xml:space="preserve"> редакции</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4F258E8"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r w:rsidRPr="00E47AA9">
              <w:rPr>
                <w:rFonts w:ascii="Times New Roman" w:hAnsi="Times New Roman" w:cs="Times New Roman"/>
              </w:rPr>
              <w:t xml:space="preserve">от </w:t>
            </w:r>
            <w:proofErr w:type="spellStart"/>
            <w:proofErr w:type="gramStart"/>
            <w:r w:rsidRPr="00E47AA9">
              <w:rPr>
                <w:rFonts w:ascii="Times New Roman" w:hAnsi="Times New Roman" w:cs="Times New Roman"/>
              </w:rPr>
              <w:t>дейст-вующей</w:t>
            </w:r>
            <w:proofErr w:type="spellEnd"/>
            <w:proofErr w:type="gramEnd"/>
            <w:r w:rsidRPr="00E47AA9">
              <w:rPr>
                <w:rFonts w:ascii="Times New Roman" w:hAnsi="Times New Roman" w:cs="Times New Roman"/>
              </w:rPr>
              <w:t xml:space="preserve"> редакции</w:t>
            </w:r>
          </w:p>
        </w:tc>
      </w:tr>
      <w:tr w:rsidR="00E47AA9" w:rsidRPr="00E47AA9" w14:paraId="0864500D" w14:textId="77777777" w:rsidTr="00576D56">
        <w:trPr>
          <w:trHeight w:val="28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22DB3A4" w14:textId="77777777" w:rsidR="00576D56" w:rsidRPr="00E47AA9" w:rsidRDefault="00576D56" w:rsidP="00576D56">
            <w:pPr>
              <w:spacing w:after="0" w:line="240" w:lineRule="auto"/>
              <w:jc w:val="center"/>
              <w:rPr>
                <w:rFonts w:ascii="Times New Roman" w:eastAsia="Times New Roman" w:hAnsi="Times New Roman" w:cs="Times New Roman"/>
                <w:i/>
                <w:lang w:eastAsia="ru-RU"/>
              </w:rPr>
            </w:pPr>
            <w:r w:rsidRPr="00E47AA9">
              <w:rPr>
                <w:rFonts w:ascii="Times New Roman" w:eastAsia="Times New Roman" w:hAnsi="Times New Roman" w:cs="Times New Roman"/>
                <w:i/>
                <w:lang w:eastAsia="ru-RU"/>
              </w:rPr>
              <w:t>1</w:t>
            </w:r>
          </w:p>
        </w:tc>
        <w:tc>
          <w:tcPr>
            <w:tcW w:w="1134" w:type="dxa"/>
            <w:tcBorders>
              <w:top w:val="single" w:sz="4" w:space="0" w:color="auto"/>
              <w:left w:val="nil"/>
              <w:bottom w:val="single" w:sz="4" w:space="0" w:color="auto"/>
              <w:right w:val="single" w:sz="4" w:space="0" w:color="auto"/>
            </w:tcBorders>
            <w:shd w:val="clear" w:color="auto" w:fill="auto"/>
            <w:vAlign w:val="center"/>
          </w:tcPr>
          <w:p w14:paraId="3E51711F" w14:textId="77777777" w:rsidR="00576D56" w:rsidRPr="00E47AA9" w:rsidRDefault="00576D56" w:rsidP="00576D56">
            <w:pPr>
              <w:spacing w:after="0" w:line="240" w:lineRule="auto"/>
              <w:jc w:val="center"/>
              <w:rPr>
                <w:rFonts w:ascii="Times New Roman" w:eastAsia="Times New Roman" w:hAnsi="Times New Roman" w:cs="Times New Roman"/>
                <w:i/>
                <w:lang w:eastAsia="ru-RU"/>
              </w:rPr>
            </w:pPr>
            <w:r w:rsidRPr="00E47AA9">
              <w:rPr>
                <w:rFonts w:ascii="Times New Roman" w:eastAsia="Times New Roman" w:hAnsi="Times New Roman" w:cs="Times New Roman"/>
                <w:i/>
                <w:lang w:eastAsia="ru-RU"/>
              </w:rPr>
              <w:t>2</w:t>
            </w:r>
          </w:p>
        </w:tc>
        <w:tc>
          <w:tcPr>
            <w:tcW w:w="1134" w:type="dxa"/>
            <w:tcBorders>
              <w:top w:val="single" w:sz="4" w:space="0" w:color="auto"/>
              <w:left w:val="nil"/>
              <w:bottom w:val="single" w:sz="4" w:space="0" w:color="auto"/>
              <w:right w:val="single" w:sz="4" w:space="0" w:color="auto"/>
            </w:tcBorders>
            <w:shd w:val="clear" w:color="auto" w:fill="auto"/>
            <w:vAlign w:val="center"/>
          </w:tcPr>
          <w:p w14:paraId="556D843B" w14:textId="77777777" w:rsidR="00576D56" w:rsidRPr="00E47AA9" w:rsidRDefault="00576D56" w:rsidP="00576D56">
            <w:pPr>
              <w:spacing w:after="0" w:line="240" w:lineRule="auto"/>
              <w:jc w:val="center"/>
              <w:rPr>
                <w:rFonts w:ascii="Times New Roman" w:eastAsia="Times New Roman" w:hAnsi="Times New Roman" w:cs="Times New Roman"/>
                <w:i/>
                <w:lang w:eastAsia="ru-RU"/>
              </w:rPr>
            </w:pPr>
            <w:r w:rsidRPr="00E47AA9">
              <w:rPr>
                <w:rFonts w:ascii="Times New Roman" w:eastAsia="Times New Roman" w:hAnsi="Times New Roman" w:cs="Times New Roman"/>
                <w:i/>
                <w:lang w:eastAsia="ru-RU"/>
              </w:rPr>
              <w:t>3</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576C0B2" w14:textId="77777777" w:rsidR="00576D56" w:rsidRPr="00E47AA9" w:rsidRDefault="00576D56" w:rsidP="00576D56">
            <w:pPr>
              <w:spacing w:after="0" w:line="240" w:lineRule="auto"/>
              <w:jc w:val="center"/>
              <w:rPr>
                <w:rFonts w:ascii="Times New Roman" w:eastAsia="Times New Roman" w:hAnsi="Times New Roman" w:cs="Times New Roman"/>
                <w:i/>
                <w:lang w:eastAsia="ru-RU"/>
              </w:rPr>
            </w:pPr>
            <w:r w:rsidRPr="00E47AA9">
              <w:rPr>
                <w:rFonts w:ascii="Times New Roman" w:eastAsia="Times New Roman" w:hAnsi="Times New Roman" w:cs="Times New Roman"/>
                <w:i/>
                <w:lang w:eastAsia="ru-RU"/>
              </w:rPr>
              <w:t>4</w:t>
            </w:r>
          </w:p>
        </w:tc>
        <w:tc>
          <w:tcPr>
            <w:tcW w:w="1423" w:type="dxa"/>
            <w:tcBorders>
              <w:top w:val="single" w:sz="4" w:space="0" w:color="auto"/>
              <w:left w:val="nil"/>
              <w:bottom w:val="single" w:sz="4" w:space="0" w:color="auto"/>
              <w:right w:val="single" w:sz="4" w:space="0" w:color="auto"/>
            </w:tcBorders>
            <w:shd w:val="clear" w:color="auto" w:fill="auto"/>
            <w:noWrap/>
            <w:vAlign w:val="center"/>
          </w:tcPr>
          <w:p w14:paraId="17CB50C5" w14:textId="77777777" w:rsidR="00576D56" w:rsidRPr="00E47AA9" w:rsidRDefault="00576D56" w:rsidP="00576D56">
            <w:pPr>
              <w:spacing w:after="0" w:line="240" w:lineRule="auto"/>
              <w:jc w:val="center"/>
              <w:rPr>
                <w:rFonts w:ascii="Times New Roman" w:eastAsia="Times New Roman" w:hAnsi="Times New Roman" w:cs="Times New Roman"/>
                <w:i/>
                <w:lang w:eastAsia="ru-RU"/>
              </w:rPr>
            </w:pPr>
            <w:r w:rsidRPr="00E47AA9">
              <w:rPr>
                <w:rFonts w:ascii="Times New Roman" w:eastAsia="Times New Roman" w:hAnsi="Times New Roman" w:cs="Times New Roman"/>
                <w:i/>
                <w:lang w:eastAsia="ru-RU"/>
              </w:rPr>
              <w:t>5</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6DE662D1" w14:textId="77777777" w:rsidR="00576D56" w:rsidRPr="00E47AA9" w:rsidRDefault="00576D56" w:rsidP="00576D56">
            <w:pPr>
              <w:spacing w:after="0" w:line="240" w:lineRule="auto"/>
              <w:jc w:val="center"/>
              <w:rPr>
                <w:rFonts w:ascii="Times New Roman" w:eastAsia="Times New Roman" w:hAnsi="Times New Roman" w:cs="Times New Roman"/>
                <w:i/>
                <w:lang w:eastAsia="ru-RU"/>
              </w:rPr>
            </w:pPr>
            <w:r w:rsidRPr="00E47AA9">
              <w:rPr>
                <w:rFonts w:ascii="Times New Roman" w:eastAsia="Times New Roman" w:hAnsi="Times New Roman" w:cs="Times New Roman"/>
                <w:i/>
                <w:lang w:eastAsia="ru-RU"/>
              </w:rPr>
              <w:t>гр.6=гр.5-гр.2</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A69D02E" w14:textId="77777777" w:rsidR="00576D56" w:rsidRPr="00E47AA9" w:rsidRDefault="00576D56" w:rsidP="00576D56">
            <w:pPr>
              <w:spacing w:after="0" w:line="240" w:lineRule="auto"/>
              <w:jc w:val="center"/>
              <w:rPr>
                <w:rFonts w:ascii="Times New Roman" w:eastAsia="Times New Roman" w:hAnsi="Times New Roman" w:cs="Times New Roman"/>
                <w:i/>
                <w:lang w:eastAsia="ru-RU"/>
              </w:rPr>
            </w:pPr>
            <w:r w:rsidRPr="00E47AA9">
              <w:rPr>
                <w:rFonts w:ascii="Times New Roman" w:eastAsia="Times New Roman" w:hAnsi="Times New Roman" w:cs="Times New Roman"/>
                <w:i/>
                <w:lang w:eastAsia="ru-RU"/>
              </w:rPr>
              <w:t>гр.7=гр.5-гр.3</w:t>
            </w:r>
          </w:p>
        </w:tc>
      </w:tr>
      <w:tr w:rsidR="00E47AA9" w:rsidRPr="00E47AA9" w14:paraId="23FA6743" w14:textId="77777777" w:rsidTr="00576D56">
        <w:trPr>
          <w:trHeight w:val="28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5FC650" w14:textId="77777777" w:rsidR="00576D56" w:rsidRPr="00E47AA9" w:rsidRDefault="00576D56" w:rsidP="00576D56">
            <w:pPr>
              <w:spacing w:after="0" w:line="240" w:lineRule="auto"/>
              <w:rPr>
                <w:rFonts w:ascii="Times New Roman" w:hAnsi="Times New Roman" w:cs="Times New Roman"/>
                <w:bCs/>
              </w:rPr>
            </w:pPr>
            <w:r w:rsidRPr="00E47AA9">
              <w:rPr>
                <w:rFonts w:ascii="Times New Roman" w:hAnsi="Times New Roman" w:cs="Times New Roman"/>
                <w:bCs/>
              </w:rPr>
              <w:t>"Культура"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74479864"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672,25</w:t>
            </w:r>
          </w:p>
        </w:tc>
        <w:tc>
          <w:tcPr>
            <w:tcW w:w="1134" w:type="dxa"/>
            <w:tcBorders>
              <w:top w:val="single" w:sz="4" w:space="0" w:color="auto"/>
              <w:left w:val="nil"/>
              <w:bottom w:val="single" w:sz="4" w:space="0" w:color="auto"/>
              <w:right w:val="single" w:sz="4" w:space="0" w:color="auto"/>
            </w:tcBorders>
            <w:shd w:val="clear" w:color="auto" w:fill="auto"/>
            <w:vAlign w:val="bottom"/>
          </w:tcPr>
          <w:p w14:paraId="79AE3068" w14:textId="2BCBB165" w:rsidR="00576D56" w:rsidRPr="00E47AA9" w:rsidRDefault="00576D56" w:rsidP="00AF2C0D">
            <w:pPr>
              <w:spacing w:after="0" w:line="240" w:lineRule="auto"/>
              <w:jc w:val="right"/>
              <w:rPr>
                <w:rFonts w:ascii="Times New Roman" w:hAnsi="Times New Roman" w:cs="Times New Roman"/>
              </w:rPr>
            </w:pPr>
            <w:r w:rsidRPr="00E47AA9">
              <w:rPr>
                <w:rFonts w:ascii="Times New Roman" w:hAnsi="Times New Roman" w:cs="Times New Roman"/>
              </w:rPr>
              <w:t>665,2</w:t>
            </w:r>
            <w:r w:rsidR="00AF2C0D" w:rsidRPr="00E47AA9">
              <w:rPr>
                <w:rFonts w:ascii="Times New Roman" w:hAnsi="Times New Roman" w:cs="Times New Roman"/>
              </w:rPr>
              <w:t>7</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2A83FE31" w14:textId="6CD374A8" w:rsidR="00576D56" w:rsidRPr="00E47AA9" w:rsidRDefault="00576D56" w:rsidP="00AF2C0D">
            <w:pPr>
              <w:spacing w:after="0" w:line="240" w:lineRule="auto"/>
              <w:jc w:val="right"/>
              <w:rPr>
                <w:rFonts w:ascii="Times New Roman" w:hAnsi="Times New Roman" w:cs="Times New Roman"/>
              </w:rPr>
            </w:pPr>
            <w:r w:rsidRPr="00E47AA9">
              <w:rPr>
                <w:rFonts w:ascii="Times New Roman" w:hAnsi="Times New Roman" w:cs="Times New Roman"/>
              </w:rPr>
              <w:t>-6,9</w:t>
            </w:r>
            <w:r w:rsidR="00AF2C0D" w:rsidRPr="00E47AA9">
              <w:rPr>
                <w:rFonts w:ascii="Times New Roman" w:hAnsi="Times New Roman" w:cs="Times New Roman"/>
              </w:rPr>
              <w:t>8</w:t>
            </w:r>
          </w:p>
        </w:tc>
        <w:tc>
          <w:tcPr>
            <w:tcW w:w="1423" w:type="dxa"/>
            <w:tcBorders>
              <w:top w:val="single" w:sz="4" w:space="0" w:color="auto"/>
              <w:left w:val="nil"/>
              <w:bottom w:val="single" w:sz="4" w:space="0" w:color="auto"/>
              <w:right w:val="single" w:sz="4" w:space="0" w:color="auto"/>
            </w:tcBorders>
            <w:shd w:val="clear" w:color="auto" w:fill="auto"/>
            <w:noWrap/>
            <w:vAlign w:val="bottom"/>
          </w:tcPr>
          <w:p w14:paraId="24BB73BF" w14:textId="3BBCAE72" w:rsidR="00576D56" w:rsidRPr="00E47AA9" w:rsidRDefault="00576D56" w:rsidP="00AF2C0D">
            <w:pPr>
              <w:spacing w:after="0" w:line="240" w:lineRule="auto"/>
              <w:jc w:val="right"/>
              <w:rPr>
                <w:rFonts w:ascii="Times New Roman" w:hAnsi="Times New Roman" w:cs="Times New Roman"/>
              </w:rPr>
            </w:pPr>
            <w:r w:rsidRPr="00E47AA9">
              <w:rPr>
                <w:rFonts w:ascii="Times New Roman" w:hAnsi="Times New Roman" w:cs="Times New Roman"/>
              </w:rPr>
              <w:t>665,2</w:t>
            </w:r>
            <w:r w:rsidR="00AF2C0D" w:rsidRPr="00E47AA9">
              <w:rPr>
                <w:rFonts w:ascii="Times New Roman" w:hAnsi="Times New Roman" w:cs="Times New Roman"/>
              </w:rPr>
              <w:t>7</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465426FA" w14:textId="6B952596" w:rsidR="00576D56" w:rsidRPr="00E47AA9" w:rsidRDefault="00576D56" w:rsidP="00AF2C0D">
            <w:pPr>
              <w:spacing w:after="0" w:line="240" w:lineRule="auto"/>
              <w:jc w:val="right"/>
              <w:rPr>
                <w:rFonts w:ascii="Times New Roman" w:hAnsi="Times New Roman" w:cs="Times New Roman"/>
              </w:rPr>
            </w:pPr>
            <w:r w:rsidRPr="00E47AA9">
              <w:rPr>
                <w:rFonts w:ascii="Times New Roman" w:hAnsi="Times New Roman" w:cs="Times New Roman"/>
              </w:rPr>
              <w:t>-6,9</w:t>
            </w:r>
            <w:r w:rsidR="00AF2C0D" w:rsidRPr="00E47AA9">
              <w:rPr>
                <w:rFonts w:ascii="Times New Roman" w:hAnsi="Times New Roman" w:cs="Times New Roman"/>
              </w:rPr>
              <w:t>8</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25680E54"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2C00858F" w14:textId="77777777" w:rsidTr="00576D56">
        <w:trPr>
          <w:trHeight w:val="28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583866" w14:textId="77777777" w:rsidR="00576D56" w:rsidRPr="00E47AA9" w:rsidRDefault="00576D56" w:rsidP="00576D56">
            <w:pPr>
              <w:spacing w:after="0" w:line="240" w:lineRule="auto"/>
              <w:rPr>
                <w:rFonts w:ascii="Times New Roman" w:hAnsi="Times New Roman" w:cs="Times New Roman"/>
                <w:bCs/>
              </w:rPr>
            </w:pPr>
            <w:r w:rsidRPr="00E47AA9">
              <w:rPr>
                <w:rFonts w:ascii="Times New Roman" w:hAnsi="Times New Roman" w:cs="Times New Roman"/>
                <w:bCs/>
              </w:rPr>
              <w:t>"Национальная программа "Цифровая экономика"</w:t>
            </w:r>
          </w:p>
        </w:tc>
        <w:tc>
          <w:tcPr>
            <w:tcW w:w="1134" w:type="dxa"/>
            <w:tcBorders>
              <w:top w:val="nil"/>
              <w:left w:val="single" w:sz="4" w:space="0" w:color="auto"/>
              <w:bottom w:val="single" w:sz="4" w:space="0" w:color="auto"/>
              <w:right w:val="single" w:sz="4" w:space="0" w:color="auto"/>
            </w:tcBorders>
            <w:shd w:val="clear" w:color="auto" w:fill="auto"/>
            <w:vAlign w:val="bottom"/>
          </w:tcPr>
          <w:p w14:paraId="4B7890B3"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102,84</w:t>
            </w:r>
          </w:p>
        </w:tc>
        <w:tc>
          <w:tcPr>
            <w:tcW w:w="1134" w:type="dxa"/>
            <w:tcBorders>
              <w:top w:val="nil"/>
              <w:left w:val="nil"/>
              <w:bottom w:val="single" w:sz="4" w:space="0" w:color="auto"/>
              <w:right w:val="single" w:sz="4" w:space="0" w:color="auto"/>
            </w:tcBorders>
            <w:shd w:val="clear" w:color="auto" w:fill="auto"/>
            <w:vAlign w:val="bottom"/>
          </w:tcPr>
          <w:p w14:paraId="6B53EF3A"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98,33</w:t>
            </w:r>
          </w:p>
        </w:tc>
        <w:tc>
          <w:tcPr>
            <w:tcW w:w="1134" w:type="dxa"/>
            <w:tcBorders>
              <w:top w:val="nil"/>
              <w:left w:val="nil"/>
              <w:bottom w:val="single" w:sz="4" w:space="0" w:color="auto"/>
              <w:right w:val="single" w:sz="4" w:space="0" w:color="auto"/>
            </w:tcBorders>
            <w:shd w:val="clear" w:color="auto" w:fill="auto"/>
            <w:noWrap/>
            <w:vAlign w:val="bottom"/>
          </w:tcPr>
          <w:p w14:paraId="0E0D79DC"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-4,51</w:t>
            </w:r>
          </w:p>
        </w:tc>
        <w:tc>
          <w:tcPr>
            <w:tcW w:w="1423" w:type="dxa"/>
            <w:tcBorders>
              <w:top w:val="nil"/>
              <w:left w:val="nil"/>
              <w:bottom w:val="single" w:sz="4" w:space="0" w:color="auto"/>
              <w:right w:val="single" w:sz="4" w:space="0" w:color="auto"/>
            </w:tcBorders>
            <w:shd w:val="clear" w:color="auto" w:fill="auto"/>
            <w:noWrap/>
            <w:vAlign w:val="bottom"/>
          </w:tcPr>
          <w:p w14:paraId="3608B514"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98,33</w:t>
            </w:r>
          </w:p>
        </w:tc>
        <w:tc>
          <w:tcPr>
            <w:tcW w:w="1275" w:type="dxa"/>
            <w:tcBorders>
              <w:top w:val="nil"/>
              <w:left w:val="nil"/>
              <w:bottom w:val="single" w:sz="4" w:space="0" w:color="auto"/>
              <w:right w:val="single" w:sz="4" w:space="0" w:color="auto"/>
            </w:tcBorders>
            <w:shd w:val="clear" w:color="auto" w:fill="auto"/>
            <w:noWrap/>
            <w:vAlign w:val="bottom"/>
          </w:tcPr>
          <w:p w14:paraId="0717970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-4,51</w:t>
            </w:r>
          </w:p>
        </w:tc>
        <w:tc>
          <w:tcPr>
            <w:tcW w:w="1134" w:type="dxa"/>
            <w:tcBorders>
              <w:top w:val="nil"/>
              <w:left w:val="nil"/>
              <w:bottom w:val="single" w:sz="4" w:space="0" w:color="auto"/>
              <w:right w:val="single" w:sz="4" w:space="0" w:color="auto"/>
            </w:tcBorders>
            <w:shd w:val="clear" w:color="auto" w:fill="auto"/>
            <w:noWrap/>
            <w:vAlign w:val="bottom"/>
          </w:tcPr>
          <w:p w14:paraId="2F09F4C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3267DFA9" w14:textId="77777777" w:rsidTr="00576D56">
        <w:trPr>
          <w:trHeight w:val="288"/>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107DD1" w14:textId="77777777" w:rsidR="00576D56" w:rsidRPr="00E47AA9" w:rsidRDefault="00576D56" w:rsidP="00576D56">
            <w:pPr>
              <w:spacing w:after="0" w:line="240" w:lineRule="auto"/>
              <w:rPr>
                <w:rFonts w:ascii="Times New Roman" w:hAnsi="Times New Roman" w:cs="Times New Roman"/>
                <w:bCs/>
              </w:rPr>
            </w:pPr>
            <w:r w:rsidRPr="00E47AA9">
              <w:rPr>
                <w:rFonts w:ascii="Times New Roman" w:hAnsi="Times New Roman" w:cs="Times New Roman"/>
                <w:bCs/>
              </w:rPr>
              <w:t>"Образование"</w:t>
            </w:r>
          </w:p>
        </w:tc>
        <w:tc>
          <w:tcPr>
            <w:tcW w:w="1134" w:type="dxa"/>
            <w:tcBorders>
              <w:top w:val="nil"/>
              <w:left w:val="single" w:sz="4" w:space="0" w:color="auto"/>
              <w:bottom w:val="single" w:sz="4" w:space="0" w:color="auto"/>
              <w:right w:val="single" w:sz="4" w:space="0" w:color="auto"/>
            </w:tcBorders>
            <w:shd w:val="clear" w:color="auto" w:fill="auto"/>
            <w:vAlign w:val="bottom"/>
          </w:tcPr>
          <w:p w14:paraId="32B77D9D"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4 437,91</w:t>
            </w:r>
          </w:p>
        </w:tc>
        <w:tc>
          <w:tcPr>
            <w:tcW w:w="1134" w:type="dxa"/>
            <w:tcBorders>
              <w:top w:val="nil"/>
              <w:left w:val="nil"/>
              <w:bottom w:val="single" w:sz="4" w:space="0" w:color="auto"/>
              <w:right w:val="single" w:sz="4" w:space="0" w:color="auto"/>
            </w:tcBorders>
            <w:shd w:val="clear" w:color="auto" w:fill="auto"/>
            <w:vAlign w:val="bottom"/>
          </w:tcPr>
          <w:p w14:paraId="445ABCD6"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2 813,67</w:t>
            </w:r>
          </w:p>
        </w:tc>
        <w:tc>
          <w:tcPr>
            <w:tcW w:w="1134" w:type="dxa"/>
            <w:tcBorders>
              <w:top w:val="nil"/>
              <w:left w:val="nil"/>
              <w:bottom w:val="single" w:sz="4" w:space="0" w:color="auto"/>
              <w:right w:val="single" w:sz="4" w:space="0" w:color="auto"/>
            </w:tcBorders>
            <w:shd w:val="clear" w:color="auto" w:fill="auto"/>
            <w:noWrap/>
            <w:vAlign w:val="bottom"/>
          </w:tcPr>
          <w:p w14:paraId="680B3E8C"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-1 624,24</w:t>
            </w:r>
          </w:p>
        </w:tc>
        <w:tc>
          <w:tcPr>
            <w:tcW w:w="1423" w:type="dxa"/>
            <w:tcBorders>
              <w:top w:val="nil"/>
              <w:left w:val="nil"/>
              <w:bottom w:val="single" w:sz="4" w:space="0" w:color="auto"/>
              <w:right w:val="single" w:sz="4" w:space="0" w:color="auto"/>
            </w:tcBorders>
            <w:shd w:val="clear" w:color="auto" w:fill="auto"/>
            <w:noWrap/>
            <w:vAlign w:val="bottom"/>
          </w:tcPr>
          <w:p w14:paraId="126B74C7"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2 790,98</w:t>
            </w:r>
          </w:p>
        </w:tc>
        <w:tc>
          <w:tcPr>
            <w:tcW w:w="1275" w:type="dxa"/>
            <w:tcBorders>
              <w:top w:val="nil"/>
              <w:left w:val="nil"/>
              <w:bottom w:val="single" w:sz="4" w:space="0" w:color="auto"/>
              <w:right w:val="single" w:sz="4" w:space="0" w:color="auto"/>
            </w:tcBorders>
            <w:shd w:val="clear" w:color="auto" w:fill="auto"/>
            <w:noWrap/>
            <w:vAlign w:val="bottom"/>
          </w:tcPr>
          <w:p w14:paraId="3F6BA9B2"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-1 646,93</w:t>
            </w:r>
          </w:p>
        </w:tc>
        <w:tc>
          <w:tcPr>
            <w:tcW w:w="1134" w:type="dxa"/>
            <w:tcBorders>
              <w:top w:val="nil"/>
              <w:left w:val="nil"/>
              <w:bottom w:val="single" w:sz="4" w:space="0" w:color="auto"/>
              <w:right w:val="single" w:sz="4" w:space="0" w:color="auto"/>
            </w:tcBorders>
            <w:shd w:val="clear" w:color="auto" w:fill="auto"/>
            <w:noWrap/>
            <w:vAlign w:val="bottom"/>
          </w:tcPr>
          <w:p w14:paraId="2059DC5F" w14:textId="667F7F3A" w:rsidR="00576D56" w:rsidRPr="00E47AA9" w:rsidRDefault="00576D56" w:rsidP="009579F6">
            <w:pPr>
              <w:spacing w:after="0" w:line="240" w:lineRule="auto"/>
              <w:jc w:val="right"/>
              <w:rPr>
                <w:rFonts w:ascii="Times New Roman" w:hAnsi="Times New Roman" w:cs="Times New Roman"/>
              </w:rPr>
            </w:pPr>
            <w:r w:rsidRPr="00E47AA9">
              <w:rPr>
                <w:rFonts w:ascii="Times New Roman" w:hAnsi="Times New Roman" w:cs="Times New Roman"/>
              </w:rPr>
              <w:t>-22,6</w:t>
            </w:r>
            <w:r w:rsidR="009579F6" w:rsidRPr="00E47AA9">
              <w:rPr>
                <w:rFonts w:ascii="Times New Roman" w:hAnsi="Times New Roman" w:cs="Times New Roman"/>
              </w:rPr>
              <w:t>9</w:t>
            </w:r>
          </w:p>
        </w:tc>
      </w:tr>
      <w:tr w:rsidR="00E47AA9" w:rsidRPr="00E47AA9" w14:paraId="0ABC5273" w14:textId="77777777" w:rsidTr="00576D56">
        <w:trPr>
          <w:trHeight w:val="28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FC243E" w14:textId="77777777" w:rsidR="00576D56" w:rsidRPr="00E47AA9" w:rsidRDefault="00576D56" w:rsidP="00576D56">
            <w:pPr>
              <w:spacing w:after="0" w:line="240" w:lineRule="auto"/>
              <w:rPr>
                <w:rFonts w:ascii="Times New Roman" w:hAnsi="Times New Roman" w:cs="Times New Roman"/>
                <w:bCs/>
              </w:rPr>
            </w:pPr>
            <w:r w:rsidRPr="00E47AA9">
              <w:rPr>
                <w:rFonts w:ascii="Times New Roman" w:hAnsi="Times New Roman" w:cs="Times New Roman"/>
                <w:bCs/>
              </w:rPr>
              <w:t>"Жилье и городская среда"</w:t>
            </w:r>
          </w:p>
        </w:tc>
        <w:tc>
          <w:tcPr>
            <w:tcW w:w="1134" w:type="dxa"/>
            <w:tcBorders>
              <w:top w:val="nil"/>
              <w:left w:val="single" w:sz="4" w:space="0" w:color="auto"/>
              <w:bottom w:val="single" w:sz="4" w:space="0" w:color="auto"/>
              <w:right w:val="single" w:sz="4" w:space="0" w:color="auto"/>
            </w:tcBorders>
            <w:shd w:val="clear" w:color="auto" w:fill="auto"/>
            <w:vAlign w:val="bottom"/>
          </w:tcPr>
          <w:p w14:paraId="4507542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2 579,89</w:t>
            </w:r>
          </w:p>
        </w:tc>
        <w:tc>
          <w:tcPr>
            <w:tcW w:w="1134" w:type="dxa"/>
            <w:tcBorders>
              <w:top w:val="nil"/>
              <w:left w:val="nil"/>
              <w:bottom w:val="single" w:sz="4" w:space="0" w:color="auto"/>
              <w:right w:val="single" w:sz="4" w:space="0" w:color="auto"/>
            </w:tcBorders>
            <w:shd w:val="clear" w:color="auto" w:fill="auto"/>
            <w:vAlign w:val="bottom"/>
          </w:tcPr>
          <w:p w14:paraId="4534897A"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2 724,19</w:t>
            </w:r>
          </w:p>
        </w:tc>
        <w:tc>
          <w:tcPr>
            <w:tcW w:w="1134" w:type="dxa"/>
            <w:tcBorders>
              <w:top w:val="nil"/>
              <w:left w:val="nil"/>
              <w:bottom w:val="single" w:sz="4" w:space="0" w:color="auto"/>
              <w:right w:val="single" w:sz="4" w:space="0" w:color="auto"/>
            </w:tcBorders>
            <w:shd w:val="clear" w:color="auto" w:fill="auto"/>
            <w:noWrap/>
            <w:vAlign w:val="bottom"/>
          </w:tcPr>
          <w:p w14:paraId="0B8AEC55"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144,30</w:t>
            </w:r>
          </w:p>
        </w:tc>
        <w:tc>
          <w:tcPr>
            <w:tcW w:w="1423" w:type="dxa"/>
            <w:tcBorders>
              <w:top w:val="nil"/>
              <w:left w:val="nil"/>
              <w:bottom w:val="single" w:sz="4" w:space="0" w:color="auto"/>
              <w:right w:val="single" w:sz="4" w:space="0" w:color="auto"/>
            </w:tcBorders>
            <w:shd w:val="clear" w:color="auto" w:fill="auto"/>
            <w:noWrap/>
            <w:vAlign w:val="bottom"/>
          </w:tcPr>
          <w:p w14:paraId="6B9938A4"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2 724,19</w:t>
            </w:r>
          </w:p>
        </w:tc>
        <w:tc>
          <w:tcPr>
            <w:tcW w:w="1275" w:type="dxa"/>
            <w:tcBorders>
              <w:top w:val="nil"/>
              <w:left w:val="nil"/>
              <w:bottom w:val="single" w:sz="4" w:space="0" w:color="auto"/>
              <w:right w:val="single" w:sz="4" w:space="0" w:color="auto"/>
            </w:tcBorders>
            <w:shd w:val="clear" w:color="auto" w:fill="auto"/>
            <w:noWrap/>
            <w:vAlign w:val="bottom"/>
          </w:tcPr>
          <w:p w14:paraId="701EDB85"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144,30</w:t>
            </w:r>
          </w:p>
        </w:tc>
        <w:tc>
          <w:tcPr>
            <w:tcW w:w="1134" w:type="dxa"/>
            <w:tcBorders>
              <w:top w:val="nil"/>
              <w:left w:val="nil"/>
              <w:bottom w:val="single" w:sz="4" w:space="0" w:color="auto"/>
              <w:right w:val="single" w:sz="4" w:space="0" w:color="auto"/>
            </w:tcBorders>
            <w:shd w:val="clear" w:color="auto" w:fill="auto"/>
            <w:noWrap/>
            <w:vAlign w:val="bottom"/>
          </w:tcPr>
          <w:p w14:paraId="6AD8658A"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2B4B1719" w14:textId="77777777" w:rsidTr="00576D56">
        <w:trPr>
          <w:trHeight w:val="306"/>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3CE3B" w14:textId="77777777" w:rsidR="00576D56" w:rsidRPr="00E47AA9" w:rsidRDefault="00576D56" w:rsidP="00576D56">
            <w:pPr>
              <w:spacing w:after="0" w:line="240" w:lineRule="auto"/>
              <w:rPr>
                <w:rFonts w:ascii="Times New Roman" w:hAnsi="Times New Roman" w:cs="Times New Roman"/>
                <w:bCs/>
              </w:rPr>
            </w:pPr>
            <w:r w:rsidRPr="00E47AA9">
              <w:rPr>
                <w:rFonts w:ascii="Times New Roman" w:hAnsi="Times New Roman" w:cs="Times New Roman"/>
                <w:bCs/>
              </w:rPr>
              <w:t>"Экология"</w:t>
            </w:r>
          </w:p>
        </w:tc>
        <w:tc>
          <w:tcPr>
            <w:tcW w:w="1134" w:type="dxa"/>
            <w:tcBorders>
              <w:top w:val="nil"/>
              <w:left w:val="single" w:sz="4" w:space="0" w:color="auto"/>
              <w:bottom w:val="single" w:sz="4" w:space="0" w:color="auto"/>
              <w:right w:val="single" w:sz="4" w:space="0" w:color="auto"/>
            </w:tcBorders>
            <w:shd w:val="clear" w:color="auto" w:fill="auto"/>
            <w:vAlign w:val="bottom"/>
          </w:tcPr>
          <w:p w14:paraId="0DFBA014"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437,48</w:t>
            </w:r>
          </w:p>
        </w:tc>
        <w:tc>
          <w:tcPr>
            <w:tcW w:w="1134" w:type="dxa"/>
            <w:tcBorders>
              <w:top w:val="nil"/>
              <w:left w:val="nil"/>
              <w:bottom w:val="single" w:sz="4" w:space="0" w:color="auto"/>
              <w:right w:val="single" w:sz="4" w:space="0" w:color="auto"/>
            </w:tcBorders>
            <w:shd w:val="clear" w:color="auto" w:fill="auto"/>
            <w:vAlign w:val="bottom"/>
          </w:tcPr>
          <w:p w14:paraId="0938CF73" w14:textId="384C329D" w:rsidR="00576D56" w:rsidRPr="00E47AA9" w:rsidRDefault="00576D56" w:rsidP="009579F6">
            <w:pPr>
              <w:spacing w:after="0" w:line="240" w:lineRule="auto"/>
              <w:jc w:val="right"/>
              <w:rPr>
                <w:rFonts w:ascii="Times New Roman" w:hAnsi="Times New Roman" w:cs="Times New Roman"/>
              </w:rPr>
            </w:pPr>
            <w:r w:rsidRPr="00E47AA9">
              <w:rPr>
                <w:rFonts w:ascii="Times New Roman" w:hAnsi="Times New Roman" w:cs="Times New Roman"/>
              </w:rPr>
              <w:t>435,</w:t>
            </w:r>
            <w:r w:rsidR="009579F6" w:rsidRPr="00E47AA9">
              <w:rPr>
                <w:rFonts w:ascii="Times New Roman" w:hAnsi="Times New Roman" w:cs="Times New Roman"/>
              </w:rPr>
              <w:t>20</w:t>
            </w:r>
          </w:p>
        </w:tc>
        <w:tc>
          <w:tcPr>
            <w:tcW w:w="1134" w:type="dxa"/>
            <w:tcBorders>
              <w:top w:val="nil"/>
              <w:left w:val="nil"/>
              <w:bottom w:val="single" w:sz="4" w:space="0" w:color="auto"/>
              <w:right w:val="single" w:sz="4" w:space="0" w:color="auto"/>
            </w:tcBorders>
            <w:shd w:val="clear" w:color="auto" w:fill="auto"/>
            <w:noWrap/>
            <w:vAlign w:val="bottom"/>
          </w:tcPr>
          <w:p w14:paraId="637B1A62"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-2,28</w:t>
            </w:r>
          </w:p>
        </w:tc>
        <w:tc>
          <w:tcPr>
            <w:tcW w:w="1423" w:type="dxa"/>
            <w:tcBorders>
              <w:top w:val="nil"/>
              <w:left w:val="nil"/>
              <w:bottom w:val="single" w:sz="4" w:space="0" w:color="auto"/>
              <w:right w:val="single" w:sz="4" w:space="0" w:color="auto"/>
            </w:tcBorders>
            <w:shd w:val="clear" w:color="auto" w:fill="auto"/>
            <w:noWrap/>
            <w:vAlign w:val="bottom"/>
          </w:tcPr>
          <w:p w14:paraId="04B016DE" w14:textId="54292397" w:rsidR="00576D56" w:rsidRPr="00E47AA9" w:rsidRDefault="00576D56" w:rsidP="009579F6">
            <w:pPr>
              <w:spacing w:after="0" w:line="240" w:lineRule="auto"/>
              <w:jc w:val="right"/>
              <w:rPr>
                <w:rFonts w:ascii="Times New Roman" w:hAnsi="Times New Roman" w:cs="Times New Roman"/>
              </w:rPr>
            </w:pPr>
            <w:r w:rsidRPr="00E47AA9">
              <w:rPr>
                <w:rFonts w:ascii="Times New Roman" w:hAnsi="Times New Roman" w:cs="Times New Roman"/>
              </w:rPr>
              <w:t>435,</w:t>
            </w:r>
            <w:r w:rsidR="009579F6" w:rsidRPr="00E47AA9">
              <w:rPr>
                <w:rFonts w:ascii="Times New Roman" w:hAnsi="Times New Roman" w:cs="Times New Roman"/>
              </w:rPr>
              <w:t>20</w:t>
            </w:r>
          </w:p>
        </w:tc>
        <w:tc>
          <w:tcPr>
            <w:tcW w:w="1275" w:type="dxa"/>
            <w:tcBorders>
              <w:top w:val="nil"/>
              <w:left w:val="nil"/>
              <w:bottom w:val="single" w:sz="4" w:space="0" w:color="auto"/>
              <w:right w:val="single" w:sz="4" w:space="0" w:color="auto"/>
            </w:tcBorders>
            <w:shd w:val="clear" w:color="auto" w:fill="auto"/>
            <w:noWrap/>
            <w:vAlign w:val="bottom"/>
          </w:tcPr>
          <w:p w14:paraId="726A0063"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-2,28</w:t>
            </w:r>
          </w:p>
        </w:tc>
        <w:tc>
          <w:tcPr>
            <w:tcW w:w="1134" w:type="dxa"/>
            <w:tcBorders>
              <w:top w:val="nil"/>
              <w:left w:val="nil"/>
              <w:bottom w:val="single" w:sz="4" w:space="0" w:color="auto"/>
              <w:right w:val="single" w:sz="4" w:space="0" w:color="auto"/>
            </w:tcBorders>
            <w:shd w:val="clear" w:color="auto" w:fill="auto"/>
            <w:noWrap/>
            <w:vAlign w:val="bottom"/>
          </w:tcPr>
          <w:p w14:paraId="679DC994"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43984B61" w14:textId="77777777" w:rsidTr="00576D56">
        <w:trPr>
          <w:trHeight w:val="28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C1D5DF" w14:textId="77777777" w:rsidR="00576D56" w:rsidRPr="00E47AA9" w:rsidRDefault="00576D56" w:rsidP="00576D56">
            <w:pPr>
              <w:spacing w:after="0" w:line="240" w:lineRule="auto"/>
              <w:rPr>
                <w:rFonts w:ascii="Times New Roman" w:hAnsi="Times New Roman" w:cs="Times New Roman"/>
                <w:bCs/>
              </w:rPr>
            </w:pPr>
            <w:r w:rsidRPr="00E47AA9">
              <w:rPr>
                <w:rFonts w:ascii="Times New Roman" w:hAnsi="Times New Roman" w:cs="Times New Roman"/>
                <w:bCs/>
              </w:rPr>
              <w:t>"Малое и среднее предпринимательство и поддержка индивидуальной предпринимательской инициативы"</w:t>
            </w:r>
          </w:p>
        </w:tc>
        <w:tc>
          <w:tcPr>
            <w:tcW w:w="1134" w:type="dxa"/>
            <w:tcBorders>
              <w:top w:val="nil"/>
              <w:left w:val="single" w:sz="4" w:space="0" w:color="auto"/>
              <w:bottom w:val="single" w:sz="4" w:space="0" w:color="auto"/>
              <w:right w:val="single" w:sz="4" w:space="0" w:color="auto"/>
            </w:tcBorders>
            <w:shd w:val="clear" w:color="auto" w:fill="auto"/>
            <w:vAlign w:val="bottom"/>
          </w:tcPr>
          <w:p w14:paraId="7936CA43"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912,58</w:t>
            </w:r>
          </w:p>
        </w:tc>
        <w:tc>
          <w:tcPr>
            <w:tcW w:w="1134" w:type="dxa"/>
            <w:tcBorders>
              <w:top w:val="nil"/>
              <w:left w:val="nil"/>
              <w:bottom w:val="single" w:sz="4" w:space="0" w:color="auto"/>
              <w:right w:val="single" w:sz="4" w:space="0" w:color="auto"/>
            </w:tcBorders>
            <w:shd w:val="clear" w:color="auto" w:fill="auto"/>
            <w:vAlign w:val="bottom"/>
          </w:tcPr>
          <w:p w14:paraId="45FA6F17"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1 223,27</w:t>
            </w:r>
          </w:p>
        </w:tc>
        <w:tc>
          <w:tcPr>
            <w:tcW w:w="1134" w:type="dxa"/>
            <w:tcBorders>
              <w:top w:val="nil"/>
              <w:left w:val="nil"/>
              <w:bottom w:val="single" w:sz="4" w:space="0" w:color="auto"/>
              <w:right w:val="single" w:sz="4" w:space="0" w:color="auto"/>
            </w:tcBorders>
            <w:shd w:val="clear" w:color="auto" w:fill="auto"/>
            <w:noWrap/>
            <w:vAlign w:val="bottom"/>
          </w:tcPr>
          <w:p w14:paraId="33849DD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310,69</w:t>
            </w:r>
          </w:p>
        </w:tc>
        <w:tc>
          <w:tcPr>
            <w:tcW w:w="1423" w:type="dxa"/>
            <w:tcBorders>
              <w:top w:val="nil"/>
              <w:left w:val="nil"/>
              <w:bottom w:val="single" w:sz="4" w:space="0" w:color="auto"/>
              <w:right w:val="single" w:sz="4" w:space="0" w:color="auto"/>
            </w:tcBorders>
            <w:shd w:val="clear" w:color="auto" w:fill="auto"/>
            <w:noWrap/>
            <w:vAlign w:val="bottom"/>
          </w:tcPr>
          <w:p w14:paraId="01A8552B" w14:textId="4BE86439" w:rsidR="00576D56" w:rsidRPr="00E47AA9" w:rsidRDefault="00576D56" w:rsidP="009579F6">
            <w:pPr>
              <w:spacing w:after="0" w:line="240" w:lineRule="auto"/>
              <w:jc w:val="right"/>
              <w:rPr>
                <w:rFonts w:ascii="Times New Roman" w:hAnsi="Times New Roman" w:cs="Times New Roman"/>
              </w:rPr>
            </w:pPr>
            <w:r w:rsidRPr="00E47AA9">
              <w:rPr>
                <w:rFonts w:ascii="Times New Roman" w:hAnsi="Times New Roman" w:cs="Times New Roman"/>
              </w:rPr>
              <w:t>1 211,4</w:t>
            </w:r>
            <w:r w:rsidR="009579F6" w:rsidRPr="00E47AA9">
              <w:rPr>
                <w:rFonts w:ascii="Times New Roman" w:hAnsi="Times New Roman" w:cs="Times New Roman"/>
              </w:rPr>
              <w:t>1</w:t>
            </w:r>
          </w:p>
        </w:tc>
        <w:tc>
          <w:tcPr>
            <w:tcW w:w="1275" w:type="dxa"/>
            <w:tcBorders>
              <w:top w:val="nil"/>
              <w:left w:val="nil"/>
              <w:bottom w:val="single" w:sz="4" w:space="0" w:color="auto"/>
              <w:right w:val="single" w:sz="4" w:space="0" w:color="auto"/>
            </w:tcBorders>
            <w:shd w:val="clear" w:color="auto" w:fill="auto"/>
            <w:noWrap/>
            <w:vAlign w:val="bottom"/>
          </w:tcPr>
          <w:p w14:paraId="31D8031A" w14:textId="507B55C7" w:rsidR="00576D56" w:rsidRPr="00E47AA9" w:rsidRDefault="00576D56" w:rsidP="009579F6">
            <w:pPr>
              <w:spacing w:after="0" w:line="240" w:lineRule="auto"/>
              <w:jc w:val="right"/>
              <w:rPr>
                <w:rFonts w:ascii="Times New Roman" w:hAnsi="Times New Roman" w:cs="Times New Roman"/>
              </w:rPr>
            </w:pPr>
            <w:r w:rsidRPr="00E47AA9">
              <w:rPr>
                <w:rFonts w:ascii="Times New Roman" w:hAnsi="Times New Roman" w:cs="Times New Roman"/>
              </w:rPr>
              <w:t>298,8</w:t>
            </w:r>
            <w:r w:rsidR="009579F6" w:rsidRPr="00E47AA9">
              <w:rPr>
                <w:rFonts w:ascii="Times New Roman" w:hAnsi="Times New Roman" w:cs="Times New Roman"/>
              </w:rPr>
              <w:t>3</w:t>
            </w:r>
          </w:p>
        </w:tc>
        <w:tc>
          <w:tcPr>
            <w:tcW w:w="1134" w:type="dxa"/>
            <w:tcBorders>
              <w:top w:val="nil"/>
              <w:left w:val="nil"/>
              <w:bottom w:val="single" w:sz="4" w:space="0" w:color="auto"/>
              <w:right w:val="single" w:sz="4" w:space="0" w:color="auto"/>
            </w:tcBorders>
            <w:shd w:val="clear" w:color="auto" w:fill="auto"/>
            <w:noWrap/>
            <w:vAlign w:val="bottom"/>
          </w:tcPr>
          <w:p w14:paraId="46FBC3EE" w14:textId="03B80EA7" w:rsidR="00576D56" w:rsidRPr="00E47AA9" w:rsidRDefault="00576D56" w:rsidP="009579F6">
            <w:pPr>
              <w:spacing w:after="0" w:line="240" w:lineRule="auto"/>
              <w:jc w:val="right"/>
              <w:rPr>
                <w:rFonts w:ascii="Times New Roman" w:hAnsi="Times New Roman" w:cs="Times New Roman"/>
              </w:rPr>
            </w:pPr>
            <w:r w:rsidRPr="00E47AA9">
              <w:rPr>
                <w:rFonts w:ascii="Times New Roman" w:hAnsi="Times New Roman" w:cs="Times New Roman"/>
              </w:rPr>
              <w:t>-11,8</w:t>
            </w:r>
            <w:r w:rsidR="009579F6" w:rsidRPr="00E47AA9">
              <w:rPr>
                <w:rFonts w:ascii="Times New Roman" w:hAnsi="Times New Roman" w:cs="Times New Roman"/>
              </w:rPr>
              <w:t>6</w:t>
            </w:r>
          </w:p>
        </w:tc>
      </w:tr>
      <w:tr w:rsidR="00E47AA9" w:rsidRPr="00E47AA9" w14:paraId="4856ED03" w14:textId="77777777" w:rsidTr="00576D56">
        <w:trPr>
          <w:trHeight w:val="28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0962A" w14:textId="77777777" w:rsidR="00576D56" w:rsidRPr="00E47AA9" w:rsidRDefault="00576D56" w:rsidP="00576D56">
            <w:pPr>
              <w:spacing w:after="0" w:line="240" w:lineRule="auto"/>
              <w:rPr>
                <w:rFonts w:ascii="Times New Roman" w:hAnsi="Times New Roman" w:cs="Times New Roman"/>
                <w:bCs/>
              </w:rPr>
            </w:pPr>
            <w:r w:rsidRPr="00E47AA9">
              <w:rPr>
                <w:rFonts w:ascii="Times New Roman" w:hAnsi="Times New Roman" w:cs="Times New Roman"/>
                <w:bCs/>
              </w:rPr>
              <w:lastRenderedPageBreak/>
              <w:t>"Туризм и индустрия гостеприимства"</w:t>
            </w:r>
          </w:p>
        </w:tc>
        <w:tc>
          <w:tcPr>
            <w:tcW w:w="1134" w:type="dxa"/>
            <w:tcBorders>
              <w:top w:val="nil"/>
              <w:left w:val="single" w:sz="4" w:space="0" w:color="auto"/>
              <w:bottom w:val="single" w:sz="4" w:space="0" w:color="auto"/>
              <w:right w:val="single" w:sz="4" w:space="0" w:color="auto"/>
            </w:tcBorders>
            <w:shd w:val="clear" w:color="auto" w:fill="auto"/>
            <w:vAlign w:val="bottom"/>
          </w:tcPr>
          <w:p w14:paraId="79DD9F7F"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114,02</w:t>
            </w:r>
          </w:p>
        </w:tc>
        <w:tc>
          <w:tcPr>
            <w:tcW w:w="1134" w:type="dxa"/>
            <w:tcBorders>
              <w:top w:val="nil"/>
              <w:left w:val="nil"/>
              <w:bottom w:val="single" w:sz="4" w:space="0" w:color="auto"/>
              <w:right w:val="single" w:sz="4" w:space="0" w:color="auto"/>
            </w:tcBorders>
            <w:shd w:val="clear" w:color="auto" w:fill="auto"/>
            <w:vAlign w:val="bottom"/>
          </w:tcPr>
          <w:p w14:paraId="463CCDF6"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142,29</w:t>
            </w:r>
          </w:p>
        </w:tc>
        <w:tc>
          <w:tcPr>
            <w:tcW w:w="1134" w:type="dxa"/>
            <w:tcBorders>
              <w:top w:val="nil"/>
              <w:left w:val="nil"/>
              <w:bottom w:val="single" w:sz="4" w:space="0" w:color="auto"/>
              <w:right w:val="single" w:sz="4" w:space="0" w:color="auto"/>
            </w:tcBorders>
            <w:shd w:val="clear" w:color="auto" w:fill="auto"/>
            <w:noWrap/>
            <w:vAlign w:val="bottom"/>
          </w:tcPr>
          <w:p w14:paraId="25B635E7"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28,27</w:t>
            </w:r>
          </w:p>
        </w:tc>
        <w:tc>
          <w:tcPr>
            <w:tcW w:w="1423" w:type="dxa"/>
            <w:tcBorders>
              <w:top w:val="nil"/>
              <w:left w:val="nil"/>
              <w:bottom w:val="single" w:sz="4" w:space="0" w:color="auto"/>
              <w:right w:val="single" w:sz="4" w:space="0" w:color="auto"/>
            </w:tcBorders>
            <w:shd w:val="clear" w:color="auto" w:fill="auto"/>
            <w:noWrap/>
            <w:vAlign w:val="bottom"/>
          </w:tcPr>
          <w:p w14:paraId="5A3EA91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170,73</w:t>
            </w:r>
          </w:p>
        </w:tc>
        <w:tc>
          <w:tcPr>
            <w:tcW w:w="1275" w:type="dxa"/>
            <w:tcBorders>
              <w:top w:val="nil"/>
              <w:left w:val="nil"/>
              <w:bottom w:val="single" w:sz="4" w:space="0" w:color="auto"/>
              <w:right w:val="single" w:sz="4" w:space="0" w:color="auto"/>
            </w:tcBorders>
            <w:shd w:val="clear" w:color="auto" w:fill="auto"/>
            <w:noWrap/>
            <w:vAlign w:val="bottom"/>
          </w:tcPr>
          <w:p w14:paraId="30E9F72E" w14:textId="79C236BC" w:rsidR="00576D56" w:rsidRPr="00E47AA9" w:rsidRDefault="00576D56" w:rsidP="009579F6">
            <w:pPr>
              <w:spacing w:after="0" w:line="240" w:lineRule="auto"/>
              <w:jc w:val="right"/>
              <w:rPr>
                <w:rFonts w:ascii="Times New Roman" w:hAnsi="Times New Roman" w:cs="Times New Roman"/>
              </w:rPr>
            </w:pPr>
            <w:r w:rsidRPr="00E47AA9">
              <w:rPr>
                <w:rFonts w:ascii="Times New Roman" w:hAnsi="Times New Roman" w:cs="Times New Roman"/>
              </w:rPr>
              <w:t>56,7</w:t>
            </w:r>
            <w:r w:rsidR="009579F6" w:rsidRPr="00E47AA9">
              <w:rPr>
                <w:rFonts w:ascii="Times New Roman" w:hAnsi="Times New Roman" w:cs="Times New Roman"/>
              </w:rPr>
              <w:t>1</w:t>
            </w:r>
          </w:p>
        </w:tc>
        <w:tc>
          <w:tcPr>
            <w:tcW w:w="1134" w:type="dxa"/>
            <w:tcBorders>
              <w:top w:val="nil"/>
              <w:left w:val="nil"/>
              <w:bottom w:val="single" w:sz="4" w:space="0" w:color="auto"/>
              <w:right w:val="single" w:sz="4" w:space="0" w:color="auto"/>
            </w:tcBorders>
            <w:shd w:val="clear" w:color="auto" w:fill="auto"/>
            <w:noWrap/>
            <w:vAlign w:val="bottom"/>
          </w:tcPr>
          <w:p w14:paraId="1ABC640C"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28,44</w:t>
            </w:r>
          </w:p>
        </w:tc>
      </w:tr>
      <w:tr w:rsidR="00E47AA9" w:rsidRPr="00E47AA9" w14:paraId="38B909F4" w14:textId="77777777" w:rsidTr="00576D56">
        <w:trPr>
          <w:trHeight w:val="28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F5EF6" w14:textId="77777777" w:rsidR="00576D56" w:rsidRPr="00E47AA9" w:rsidRDefault="00576D56" w:rsidP="00576D56">
            <w:pPr>
              <w:spacing w:after="0" w:line="240" w:lineRule="auto"/>
              <w:rPr>
                <w:rFonts w:ascii="Times New Roman" w:hAnsi="Times New Roman" w:cs="Times New Roman"/>
                <w:bCs/>
              </w:rPr>
            </w:pPr>
            <w:r w:rsidRPr="00E47AA9">
              <w:rPr>
                <w:rFonts w:ascii="Times New Roman" w:hAnsi="Times New Roman" w:cs="Times New Roman"/>
                <w:bCs/>
              </w:rPr>
              <w:t>"Производительность труда"</w:t>
            </w:r>
          </w:p>
        </w:tc>
        <w:tc>
          <w:tcPr>
            <w:tcW w:w="1134" w:type="dxa"/>
            <w:tcBorders>
              <w:top w:val="nil"/>
              <w:left w:val="single" w:sz="4" w:space="0" w:color="auto"/>
              <w:bottom w:val="single" w:sz="4" w:space="0" w:color="auto"/>
              <w:right w:val="single" w:sz="4" w:space="0" w:color="auto"/>
            </w:tcBorders>
            <w:shd w:val="clear" w:color="auto" w:fill="auto"/>
            <w:vAlign w:val="bottom"/>
          </w:tcPr>
          <w:p w14:paraId="337AD92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59,49</w:t>
            </w:r>
          </w:p>
        </w:tc>
        <w:tc>
          <w:tcPr>
            <w:tcW w:w="1134" w:type="dxa"/>
            <w:tcBorders>
              <w:top w:val="nil"/>
              <w:left w:val="nil"/>
              <w:bottom w:val="single" w:sz="4" w:space="0" w:color="auto"/>
              <w:right w:val="single" w:sz="4" w:space="0" w:color="auto"/>
            </w:tcBorders>
            <w:shd w:val="clear" w:color="auto" w:fill="auto"/>
            <w:vAlign w:val="bottom"/>
          </w:tcPr>
          <w:p w14:paraId="0AE9D2EA"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61,69</w:t>
            </w:r>
          </w:p>
        </w:tc>
        <w:tc>
          <w:tcPr>
            <w:tcW w:w="1134" w:type="dxa"/>
            <w:tcBorders>
              <w:top w:val="nil"/>
              <w:left w:val="nil"/>
              <w:bottom w:val="single" w:sz="4" w:space="0" w:color="auto"/>
              <w:right w:val="single" w:sz="4" w:space="0" w:color="auto"/>
            </w:tcBorders>
            <w:shd w:val="clear" w:color="auto" w:fill="auto"/>
            <w:noWrap/>
            <w:vAlign w:val="bottom"/>
          </w:tcPr>
          <w:p w14:paraId="474D0664"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2,20</w:t>
            </w:r>
          </w:p>
        </w:tc>
        <w:tc>
          <w:tcPr>
            <w:tcW w:w="1423" w:type="dxa"/>
            <w:tcBorders>
              <w:top w:val="nil"/>
              <w:left w:val="nil"/>
              <w:bottom w:val="single" w:sz="4" w:space="0" w:color="auto"/>
              <w:right w:val="single" w:sz="4" w:space="0" w:color="auto"/>
            </w:tcBorders>
            <w:shd w:val="clear" w:color="auto" w:fill="auto"/>
            <w:noWrap/>
            <w:vAlign w:val="bottom"/>
          </w:tcPr>
          <w:p w14:paraId="70FB0AAF"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61,69</w:t>
            </w:r>
          </w:p>
        </w:tc>
        <w:tc>
          <w:tcPr>
            <w:tcW w:w="1275" w:type="dxa"/>
            <w:tcBorders>
              <w:top w:val="nil"/>
              <w:left w:val="nil"/>
              <w:bottom w:val="single" w:sz="4" w:space="0" w:color="auto"/>
              <w:right w:val="single" w:sz="4" w:space="0" w:color="auto"/>
            </w:tcBorders>
            <w:shd w:val="clear" w:color="auto" w:fill="auto"/>
            <w:noWrap/>
            <w:vAlign w:val="bottom"/>
          </w:tcPr>
          <w:p w14:paraId="69D5CC0A"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2,20</w:t>
            </w:r>
          </w:p>
        </w:tc>
        <w:tc>
          <w:tcPr>
            <w:tcW w:w="1134" w:type="dxa"/>
            <w:tcBorders>
              <w:top w:val="nil"/>
              <w:left w:val="nil"/>
              <w:bottom w:val="single" w:sz="4" w:space="0" w:color="auto"/>
              <w:right w:val="single" w:sz="4" w:space="0" w:color="auto"/>
            </w:tcBorders>
            <w:shd w:val="clear" w:color="auto" w:fill="auto"/>
            <w:noWrap/>
            <w:vAlign w:val="bottom"/>
          </w:tcPr>
          <w:p w14:paraId="4A018E33"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7FDD1DA4" w14:textId="77777777" w:rsidTr="00576D56">
        <w:trPr>
          <w:trHeight w:val="27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F9DCC" w14:textId="77777777" w:rsidR="00576D56" w:rsidRPr="00E47AA9" w:rsidRDefault="00576D56" w:rsidP="00576D56">
            <w:pPr>
              <w:spacing w:after="0" w:line="240" w:lineRule="auto"/>
              <w:rPr>
                <w:rFonts w:ascii="Times New Roman" w:hAnsi="Times New Roman" w:cs="Times New Roman"/>
                <w:bCs/>
              </w:rPr>
            </w:pPr>
            <w:r w:rsidRPr="00E47AA9">
              <w:rPr>
                <w:rFonts w:ascii="Times New Roman" w:hAnsi="Times New Roman" w:cs="Times New Roman"/>
                <w:bCs/>
              </w:rPr>
              <w:t>"Здравоохранение"</w:t>
            </w:r>
          </w:p>
        </w:tc>
        <w:tc>
          <w:tcPr>
            <w:tcW w:w="1134" w:type="dxa"/>
            <w:tcBorders>
              <w:top w:val="nil"/>
              <w:left w:val="single" w:sz="4" w:space="0" w:color="auto"/>
              <w:bottom w:val="single" w:sz="4" w:space="0" w:color="auto"/>
              <w:right w:val="single" w:sz="4" w:space="0" w:color="auto"/>
            </w:tcBorders>
            <w:shd w:val="clear" w:color="auto" w:fill="auto"/>
            <w:vAlign w:val="bottom"/>
          </w:tcPr>
          <w:p w14:paraId="2B1571E1"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3 934,85</w:t>
            </w:r>
          </w:p>
        </w:tc>
        <w:tc>
          <w:tcPr>
            <w:tcW w:w="1134" w:type="dxa"/>
            <w:tcBorders>
              <w:top w:val="nil"/>
              <w:left w:val="nil"/>
              <w:bottom w:val="single" w:sz="4" w:space="0" w:color="auto"/>
              <w:right w:val="single" w:sz="4" w:space="0" w:color="auto"/>
            </w:tcBorders>
            <w:shd w:val="clear" w:color="auto" w:fill="auto"/>
            <w:vAlign w:val="bottom"/>
          </w:tcPr>
          <w:p w14:paraId="70BE8540"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4 842,19</w:t>
            </w:r>
          </w:p>
        </w:tc>
        <w:tc>
          <w:tcPr>
            <w:tcW w:w="1134" w:type="dxa"/>
            <w:tcBorders>
              <w:top w:val="nil"/>
              <w:left w:val="nil"/>
              <w:bottom w:val="single" w:sz="4" w:space="0" w:color="auto"/>
              <w:right w:val="single" w:sz="4" w:space="0" w:color="auto"/>
            </w:tcBorders>
            <w:shd w:val="clear" w:color="auto" w:fill="auto"/>
            <w:noWrap/>
            <w:vAlign w:val="bottom"/>
          </w:tcPr>
          <w:p w14:paraId="580AD126"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907,33</w:t>
            </w:r>
          </w:p>
        </w:tc>
        <w:tc>
          <w:tcPr>
            <w:tcW w:w="1423" w:type="dxa"/>
            <w:tcBorders>
              <w:top w:val="nil"/>
              <w:left w:val="nil"/>
              <w:bottom w:val="single" w:sz="4" w:space="0" w:color="auto"/>
              <w:right w:val="single" w:sz="4" w:space="0" w:color="auto"/>
            </w:tcBorders>
            <w:shd w:val="clear" w:color="auto" w:fill="auto"/>
            <w:noWrap/>
            <w:vAlign w:val="bottom"/>
          </w:tcPr>
          <w:p w14:paraId="3206840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4 974,15</w:t>
            </w:r>
          </w:p>
        </w:tc>
        <w:tc>
          <w:tcPr>
            <w:tcW w:w="1275" w:type="dxa"/>
            <w:tcBorders>
              <w:top w:val="nil"/>
              <w:left w:val="nil"/>
              <w:bottom w:val="single" w:sz="4" w:space="0" w:color="auto"/>
              <w:right w:val="single" w:sz="4" w:space="0" w:color="auto"/>
            </w:tcBorders>
            <w:shd w:val="clear" w:color="auto" w:fill="auto"/>
            <w:noWrap/>
            <w:vAlign w:val="bottom"/>
          </w:tcPr>
          <w:p w14:paraId="3F040FF5"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1 039,30</w:t>
            </w:r>
          </w:p>
        </w:tc>
        <w:tc>
          <w:tcPr>
            <w:tcW w:w="1134" w:type="dxa"/>
            <w:tcBorders>
              <w:top w:val="nil"/>
              <w:left w:val="nil"/>
              <w:bottom w:val="single" w:sz="4" w:space="0" w:color="auto"/>
              <w:right w:val="single" w:sz="4" w:space="0" w:color="auto"/>
            </w:tcBorders>
            <w:shd w:val="clear" w:color="auto" w:fill="auto"/>
            <w:noWrap/>
            <w:vAlign w:val="bottom"/>
          </w:tcPr>
          <w:p w14:paraId="19E4F6CF" w14:textId="59B85087" w:rsidR="00576D56" w:rsidRPr="00E47AA9" w:rsidRDefault="00576D56" w:rsidP="009579F6">
            <w:pPr>
              <w:spacing w:after="0" w:line="240" w:lineRule="auto"/>
              <w:jc w:val="right"/>
              <w:rPr>
                <w:rFonts w:ascii="Times New Roman" w:hAnsi="Times New Roman" w:cs="Times New Roman"/>
              </w:rPr>
            </w:pPr>
            <w:r w:rsidRPr="00E47AA9">
              <w:rPr>
                <w:rFonts w:ascii="Times New Roman" w:hAnsi="Times New Roman" w:cs="Times New Roman"/>
              </w:rPr>
              <w:t>131,9</w:t>
            </w:r>
            <w:r w:rsidR="009579F6" w:rsidRPr="00E47AA9">
              <w:rPr>
                <w:rFonts w:ascii="Times New Roman" w:hAnsi="Times New Roman" w:cs="Times New Roman"/>
              </w:rPr>
              <w:t>6</w:t>
            </w:r>
          </w:p>
        </w:tc>
      </w:tr>
      <w:tr w:rsidR="00E47AA9" w:rsidRPr="00E47AA9" w14:paraId="0D313A95" w14:textId="77777777" w:rsidTr="00576D56">
        <w:trPr>
          <w:trHeight w:val="279"/>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C7107E" w14:textId="77777777" w:rsidR="00576D56" w:rsidRPr="00E47AA9" w:rsidRDefault="00576D56" w:rsidP="00576D56">
            <w:pPr>
              <w:spacing w:after="0" w:line="240" w:lineRule="auto"/>
              <w:rPr>
                <w:rFonts w:ascii="Times New Roman" w:hAnsi="Times New Roman" w:cs="Times New Roman"/>
                <w:bCs/>
              </w:rPr>
            </w:pPr>
            <w:r w:rsidRPr="00E47AA9">
              <w:rPr>
                <w:rFonts w:ascii="Times New Roman" w:hAnsi="Times New Roman" w:cs="Times New Roman"/>
                <w:bCs/>
              </w:rPr>
              <w:t>"Демография"</w:t>
            </w:r>
          </w:p>
        </w:tc>
        <w:tc>
          <w:tcPr>
            <w:tcW w:w="1134" w:type="dxa"/>
            <w:tcBorders>
              <w:top w:val="nil"/>
              <w:left w:val="single" w:sz="4" w:space="0" w:color="auto"/>
              <w:bottom w:val="single" w:sz="4" w:space="0" w:color="auto"/>
              <w:right w:val="single" w:sz="4" w:space="0" w:color="auto"/>
            </w:tcBorders>
            <w:shd w:val="clear" w:color="auto" w:fill="auto"/>
            <w:vAlign w:val="bottom"/>
          </w:tcPr>
          <w:p w14:paraId="4FD08B9D"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4 057,93</w:t>
            </w:r>
          </w:p>
        </w:tc>
        <w:tc>
          <w:tcPr>
            <w:tcW w:w="1134" w:type="dxa"/>
            <w:tcBorders>
              <w:top w:val="nil"/>
              <w:left w:val="nil"/>
              <w:bottom w:val="single" w:sz="4" w:space="0" w:color="auto"/>
              <w:right w:val="single" w:sz="4" w:space="0" w:color="auto"/>
            </w:tcBorders>
            <w:shd w:val="clear" w:color="auto" w:fill="auto"/>
            <w:vAlign w:val="bottom"/>
          </w:tcPr>
          <w:p w14:paraId="0E88D7B6"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3 397,66</w:t>
            </w:r>
          </w:p>
        </w:tc>
        <w:tc>
          <w:tcPr>
            <w:tcW w:w="1134" w:type="dxa"/>
            <w:tcBorders>
              <w:top w:val="nil"/>
              <w:left w:val="nil"/>
              <w:bottom w:val="single" w:sz="4" w:space="0" w:color="auto"/>
              <w:right w:val="single" w:sz="4" w:space="0" w:color="auto"/>
            </w:tcBorders>
            <w:shd w:val="clear" w:color="auto" w:fill="auto"/>
            <w:noWrap/>
            <w:vAlign w:val="bottom"/>
          </w:tcPr>
          <w:p w14:paraId="32C81425"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-660,27</w:t>
            </w:r>
          </w:p>
        </w:tc>
        <w:tc>
          <w:tcPr>
            <w:tcW w:w="1423" w:type="dxa"/>
            <w:tcBorders>
              <w:top w:val="nil"/>
              <w:left w:val="nil"/>
              <w:bottom w:val="single" w:sz="4" w:space="0" w:color="auto"/>
              <w:right w:val="single" w:sz="4" w:space="0" w:color="auto"/>
            </w:tcBorders>
            <w:shd w:val="clear" w:color="auto" w:fill="auto"/>
            <w:noWrap/>
            <w:vAlign w:val="bottom"/>
          </w:tcPr>
          <w:p w14:paraId="40B99DAB"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3 321,88</w:t>
            </w:r>
          </w:p>
        </w:tc>
        <w:tc>
          <w:tcPr>
            <w:tcW w:w="1275" w:type="dxa"/>
            <w:tcBorders>
              <w:top w:val="nil"/>
              <w:left w:val="nil"/>
              <w:bottom w:val="single" w:sz="4" w:space="0" w:color="auto"/>
              <w:right w:val="single" w:sz="4" w:space="0" w:color="auto"/>
            </w:tcBorders>
            <w:shd w:val="clear" w:color="auto" w:fill="auto"/>
            <w:noWrap/>
            <w:vAlign w:val="bottom"/>
          </w:tcPr>
          <w:p w14:paraId="2BE274E0" w14:textId="13706999" w:rsidR="00576D56" w:rsidRPr="00E47AA9" w:rsidRDefault="00576D56" w:rsidP="009579F6">
            <w:pPr>
              <w:spacing w:after="0" w:line="240" w:lineRule="auto"/>
              <w:jc w:val="right"/>
              <w:rPr>
                <w:rFonts w:ascii="Times New Roman" w:hAnsi="Times New Roman" w:cs="Times New Roman"/>
              </w:rPr>
            </w:pPr>
            <w:r w:rsidRPr="00E47AA9">
              <w:rPr>
                <w:rFonts w:ascii="Times New Roman" w:hAnsi="Times New Roman" w:cs="Times New Roman"/>
              </w:rPr>
              <w:t>-736,0</w:t>
            </w:r>
            <w:r w:rsidR="009579F6" w:rsidRPr="00E47AA9">
              <w:rPr>
                <w:rFonts w:ascii="Times New Roman" w:hAnsi="Times New Roman" w:cs="Times New Roman"/>
              </w:rPr>
              <w:t>5</w:t>
            </w:r>
          </w:p>
        </w:tc>
        <w:tc>
          <w:tcPr>
            <w:tcW w:w="1134" w:type="dxa"/>
            <w:tcBorders>
              <w:top w:val="nil"/>
              <w:left w:val="nil"/>
              <w:bottom w:val="single" w:sz="4" w:space="0" w:color="auto"/>
              <w:right w:val="single" w:sz="4" w:space="0" w:color="auto"/>
            </w:tcBorders>
            <w:shd w:val="clear" w:color="auto" w:fill="auto"/>
            <w:noWrap/>
            <w:vAlign w:val="bottom"/>
          </w:tcPr>
          <w:p w14:paraId="29AA815B"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-75,78</w:t>
            </w:r>
          </w:p>
        </w:tc>
      </w:tr>
      <w:tr w:rsidR="00E47AA9" w:rsidRPr="00E47AA9" w14:paraId="31352695" w14:textId="77777777" w:rsidTr="00576D56">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11449" w14:textId="77777777" w:rsidR="00576D56" w:rsidRPr="00E47AA9" w:rsidRDefault="00576D56" w:rsidP="00576D56">
            <w:pPr>
              <w:spacing w:after="0" w:line="240" w:lineRule="auto"/>
              <w:rPr>
                <w:rFonts w:ascii="Times New Roman" w:hAnsi="Times New Roman" w:cs="Times New Roman"/>
                <w:bCs/>
              </w:rPr>
            </w:pPr>
            <w:r w:rsidRPr="00E47AA9">
              <w:rPr>
                <w:rFonts w:ascii="Times New Roman" w:hAnsi="Times New Roman" w:cs="Times New Roman"/>
                <w:bCs/>
              </w:rPr>
              <w:t>"Безопасные качественные дороги"</w:t>
            </w:r>
          </w:p>
        </w:tc>
        <w:tc>
          <w:tcPr>
            <w:tcW w:w="1134" w:type="dxa"/>
            <w:tcBorders>
              <w:top w:val="nil"/>
              <w:left w:val="single" w:sz="4" w:space="0" w:color="auto"/>
              <w:bottom w:val="single" w:sz="4" w:space="0" w:color="auto"/>
              <w:right w:val="single" w:sz="4" w:space="0" w:color="auto"/>
            </w:tcBorders>
            <w:shd w:val="clear" w:color="auto" w:fill="auto"/>
            <w:vAlign w:val="bottom"/>
          </w:tcPr>
          <w:p w14:paraId="22940A2A"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3 843,07</w:t>
            </w:r>
          </w:p>
        </w:tc>
        <w:tc>
          <w:tcPr>
            <w:tcW w:w="1134" w:type="dxa"/>
            <w:tcBorders>
              <w:top w:val="nil"/>
              <w:left w:val="nil"/>
              <w:bottom w:val="single" w:sz="4" w:space="0" w:color="auto"/>
              <w:right w:val="single" w:sz="4" w:space="0" w:color="auto"/>
            </w:tcBorders>
            <w:shd w:val="clear" w:color="auto" w:fill="auto"/>
            <w:vAlign w:val="bottom"/>
          </w:tcPr>
          <w:p w14:paraId="2456B857"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4 123,63</w:t>
            </w:r>
          </w:p>
        </w:tc>
        <w:tc>
          <w:tcPr>
            <w:tcW w:w="1134" w:type="dxa"/>
            <w:tcBorders>
              <w:top w:val="nil"/>
              <w:left w:val="nil"/>
              <w:bottom w:val="single" w:sz="4" w:space="0" w:color="auto"/>
              <w:right w:val="single" w:sz="4" w:space="0" w:color="auto"/>
            </w:tcBorders>
            <w:shd w:val="clear" w:color="auto" w:fill="auto"/>
            <w:noWrap/>
            <w:vAlign w:val="bottom"/>
          </w:tcPr>
          <w:p w14:paraId="2DEA953C"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280,56</w:t>
            </w:r>
          </w:p>
        </w:tc>
        <w:tc>
          <w:tcPr>
            <w:tcW w:w="1423" w:type="dxa"/>
            <w:tcBorders>
              <w:top w:val="nil"/>
              <w:left w:val="nil"/>
              <w:bottom w:val="single" w:sz="4" w:space="0" w:color="auto"/>
              <w:right w:val="single" w:sz="4" w:space="0" w:color="auto"/>
            </w:tcBorders>
            <w:shd w:val="clear" w:color="auto" w:fill="auto"/>
            <w:noWrap/>
            <w:vAlign w:val="bottom"/>
          </w:tcPr>
          <w:p w14:paraId="1B6BD80B"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4 123,63</w:t>
            </w:r>
          </w:p>
        </w:tc>
        <w:tc>
          <w:tcPr>
            <w:tcW w:w="1275" w:type="dxa"/>
            <w:tcBorders>
              <w:top w:val="nil"/>
              <w:left w:val="nil"/>
              <w:bottom w:val="single" w:sz="4" w:space="0" w:color="auto"/>
              <w:right w:val="single" w:sz="4" w:space="0" w:color="auto"/>
            </w:tcBorders>
            <w:shd w:val="clear" w:color="auto" w:fill="auto"/>
            <w:noWrap/>
            <w:vAlign w:val="bottom"/>
          </w:tcPr>
          <w:p w14:paraId="134BEF26"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280,56</w:t>
            </w:r>
          </w:p>
        </w:tc>
        <w:tc>
          <w:tcPr>
            <w:tcW w:w="1134" w:type="dxa"/>
            <w:tcBorders>
              <w:top w:val="nil"/>
              <w:left w:val="nil"/>
              <w:bottom w:val="single" w:sz="4" w:space="0" w:color="auto"/>
              <w:right w:val="single" w:sz="4" w:space="0" w:color="auto"/>
            </w:tcBorders>
            <w:shd w:val="clear" w:color="auto" w:fill="auto"/>
            <w:noWrap/>
            <w:vAlign w:val="bottom"/>
          </w:tcPr>
          <w:p w14:paraId="63222D6A"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44240F1A" w14:textId="77777777" w:rsidTr="00576D56">
        <w:trPr>
          <w:trHeight w:val="28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F15EB42" w14:textId="77777777" w:rsidR="00576D56" w:rsidRPr="00E47AA9" w:rsidRDefault="00576D56" w:rsidP="00576D56">
            <w:pPr>
              <w:spacing w:after="0" w:line="240" w:lineRule="auto"/>
              <w:rPr>
                <w:rFonts w:ascii="Times New Roman" w:hAnsi="Times New Roman" w:cs="Times New Roman"/>
                <w:bCs/>
              </w:rPr>
            </w:pPr>
            <w:r w:rsidRPr="00E47AA9">
              <w:rPr>
                <w:rFonts w:ascii="Times New Roman" w:hAnsi="Times New Roman" w:cs="Times New Roman"/>
                <w:bCs/>
              </w:rPr>
              <w:t>"Международная кооперация и экспорт"</w:t>
            </w:r>
          </w:p>
        </w:tc>
        <w:tc>
          <w:tcPr>
            <w:tcW w:w="1134" w:type="dxa"/>
            <w:tcBorders>
              <w:top w:val="nil"/>
              <w:left w:val="single" w:sz="4" w:space="0" w:color="auto"/>
              <w:bottom w:val="single" w:sz="4" w:space="0" w:color="auto"/>
              <w:right w:val="single" w:sz="4" w:space="0" w:color="auto"/>
            </w:tcBorders>
            <w:shd w:val="clear" w:color="auto" w:fill="auto"/>
            <w:vAlign w:val="bottom"/>
          </w:tcPr>
          <w:p w14:paraId="66EF279A"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31,50</w:t>
            </w:r>
          </w:p>
        </w:tc>
        <w:tc>
          <w:tcPr>
            <w:tcW w:w="1134" w:type="dxa"/>
            <w:tcBorders>
              <w:top w:val="nil"/>
              <w:left w:val="nil"/>
              <w:bottom w:val="single" w:sz="4" w:space="0" w:color="auto"/>
              <w:right w:val="single" w:sz="4" w:space="0" w:color="auto"/>
            </w:tcBorders>
            <w:shd w:val="clear" w:color="auto" w:fill="auto"/>
            <w:vAlign w:val="bottom"/>
          </w:tcPr>
          <w:p w14:paraId="7FCF3CF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31,50</w:t>
            </w:r>
          </w:p>
        </w:tc>
        <w:tc>
          <w:tcPr>
            <w:tcW w:w="1134" w:type="dxa"/>
            <w:tcBorders>
              <w:top w:val="nil"/>
              <w:left w:val="nil"/>
              <w:bottom w:val="single" w:sz="4" w:space="0" w:color="auto"/>
              <w:right w:val="single" w:sz="4" w:space="0" w:color="auto"/>
            </w:tcBorders>
            <w:shd w:val="clear" w:color="auto" w:fill="auto"/>
            <w:noWrap/>
            <w:vAlign w:val="bottom"/>
          </w:tcPr>
          <w:p w14:paraId="4C630A3A"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0,00</w:t>
            </w:r>
          </w:p>
        </w:tc>
        <w:tc>
          <w:tcPr>
            <w:tcW w:w="1423" w:type="dxa"/>
            <w:tcBorders>
              <w:top w:val="nil"/>
              <w:left w:val="nil"/>
              <w:bottom w:val="single" w:sz="4" w:space="0" w:color="auto"/>
              <w:right w:val="single" w:sz="4" w:space="0" w:color="auto"/>
            </w:tcBorders>
            <w:shd w:val="clear" w:color="auto" w:fill="auto"/>
            <w:noWrap/>
            <w:vAlign w:val="bottom"/>
          </w:tcPr>
          <w:p w14:paraId="0E8C30F5"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31,50</w:t>
            </w:r>
          </w:p>
        </w:tc>
        <w:tc>
          <w:tcPr>
            <w:tcW w:w="1275" w:type="dxa"/>
            <w:tcBorders>
              <w:top w:val="nil"/>
              <w:left w:val="nil"/>
              <w:bottom w:val="single" w:sz="4" w:space="0" w:color="auto"/>
              <w:right w:val="single" w:sz="4" w:space="0" w:color="auto"/>
            </w:tcBorders>
            <w:shd w:val="clear" w:color="auto" w:fill="auto"/>
            <w:noWrap/>
            <w:vAlign w:val="bottom"/>
          </w:tcPr>
          <w:p w14:paraId="333EF155"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0,00</w:t>
            </w:r>
          </w:p>
        </w:tc>
        <w:tc>
          <w:tcPr>
            <w:tcW w:w="1134" w:type="dxa"/>
            <w:tcBorders>
              <w:top w:val="nil"/>
              <w:left w:val="nil"/>
              <w:bottom w:val="single" w:sz="4" w:space="0" w:color="auto"/>
              <w:right w:val="single" w:sz="4" w:space="0" w:color="auto"/>
            </w:tcBorders>
            <w:shd w:val="clear" w:color="auto" w:fill="auto"/>
            <w:noWrap/>
            <w:vAlign w:val="bottom"/>
          </w:tcPr>
          <w:p w14:paraId="10BD2AEA"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6B9B5390" w14:textId="77777777" w:rsidTr="00576D56">
        <w:trPr>
          <w:trHeight w:val="285"/>
        </w:trPr>
        <w:tc>
          <w:tcPr>
            <w:tcW w:w="2552" w:type="dxa"/>
            <w:tcBorders>
              <w:top w:val="single" w:sz="4" w:space="0" w:color="auto"/>
              <w:left w:val="single" w:sz="4" w:space="0" w:color="auto"/>
              <w:bottom w:val="single" w:sz="4" w:space="0" w:color="auto"/>
              <w:right w:val="single" w:sz="4" w:space="0" w:color="auto"/>
            </w:tcBorders>
            <w:shd w:val="clear" w:color="auto" w:fill="auto"/>
            <w:vAlign w:val="bottom"/>
          </w:tcPr>
          <w:p w14:paraId="366425D9" w14:textId="77777777" w:rsidR="00576D56" w:rsidRPr="00E47AA9" w:rsidRDefault="00576D56" w:rsidP="00576D56">
            <w:pPr>
              <w:spacing w:after="0" w:line="240" w:lineRule="auto"/>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Всего по НП</w:t>
            </w:r>
          </w:p>
        </w:tc>
        <w:tc>
          <w:tcPr>
            <w:tcW w:w="1134" w:type="dxa"/>
            <w:tcBorders>
              <w:top w:val="nil"/>
              <w:left w:val="single" w:sz="4" w:space="0" w:color="auto"/>
              <w:bottom w:val="single" w:sz="4" w:space="0" w:color="auto"/>
              <w:right w:val="single" w:sz="4" w:space="0" w:color="auto"/>
            </w:tcBorders>
            <w:shd w:val="clear" w:color="auto" w:fill="auto"/>
            <w:vAlign w:val="bottom"/>
          </w:tcPr>
          <w:p w14:paraId="3B0CC1A9"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21 183,80</w:t>
            </w:r>
          </w:p>
        </w:tc>
        <w:tc>
          <w:tcPr>
            <w:tcW w:w="1134" w:type="dxa"/>
            <w:tcBorders>
              <w:top w:val="nil"/>
              <w:left w:val="nil"/>
              <w:bottom w:val="single" w:sz="4" w:space="0" w:color="auto"/>
              <w:right w:val="single" w:sz="4" w:space="0" w:color="auto"/>
            </w:tcBorders>
            <w:shd w:val="clear" w:color="auto" w:fill="auto"/>
            <w:vAlign w:val="bottom"/>
          </w:tcPr>
          <w:p w14:paraId="736E4356" w14:textId="33F44F71" w:rsidR="00576D56" w:rsidRPr="00E47AA9" w:rsidRDefault="00576D56" w:rsidP="009579F6">
            <w:pPr>
              <w:spacing w:after="0" w:line="240" w:lineRule="auto"/>
              <w:jc w:val="right"/>
              <w:rPr>
                <w:rFonts w:ascii="Times New Roman" w:hAnsi="Times New Roman" w:cs="Times New Roman"/>
                <w:b/>
                <w:bCs/>
              </w:rPr>
            </w:pPr>
            <w:r w:rsidRPr="00E47AA9">
              <w:rPr>
                <w:rFonts w:ascii="Times New Roman" w:hAnsi="Times New Roman" w:cs="Times New Roman"/>
                <w:b/>
                <w:bCs/>
              </w:rPr>
              <w:t>20 558,8</w:t>
            </w:r>
            <w:r w:rsidR="009579F6" w:rsidRPr="00E47AA9">
              <w:rPr>
                <w:rFonts w:ascii="Times New Roman" w:hAnsi="Times New Roman" w:cs="Times New Roman"/>
                <w:b/>
                <w:bCs/>
              </w:rPr>
              <w:t>9</w:t>
            </w:r>
          </w:p>
        </w:tc>
        <w:tc>
          <w:tcPr>
            <w:tcW w:w="1134" w:type="dxa"/>
            <w:tcBorders>
              <w:top w:val="nil"/>
              <w:left w:val="nil"/>
              <w:bottom w:val="single" w:sz="4" w:space="0" w:color="auto"/>
              <w:right w:val="single" w:sz="4" w:space="0" w:color="auto"/>
            </w:tcBorders>
            <w:shd w:val="clear" w:color="auto" w:fill="auto"/>
            <w:noWrap/>
            <w:vAlign w:val="bottom"/>
          </w:tcPr>
          <w:p w14:paraId="681A3D5D" w14:textId="7AC46C46" w:rsidR="00576D56" w:rsidRPr="00E47AA9" w:rsidRDefault="00576D56" w:rsidP="009579F6">
            <w:pPr>
              <w:spacing w:after="0" w:line="240" w:lineRule="auto"/>
              <w:jc w:val="right"/>
              <w:rPr>
                <w:rFonts w:ascii="Times New Roman" w:hAnsi="Times New Roman" w:cs="Times New Roman"/>
                <w:b/>
                <w:bCs/>
              </w:rPr>
            </w:pPr>
            <w:r w:rsidRPr="00E47AA9">
              <w:rPr>
                <w:rFonts w:ascii="Times New Roman" w:hAnsi="Times New Roman" w:cs="Times New Roman"/>
                <w:b/>
                <w:bCs/>
              </w:rPr>
              <w:t>-624,9</w:t>
            </w:r>
            <w:r w:rsidR="009579F6" w:rsidRPr="00E47AA9">
              <w:rPr>
                <w:rFonts w:ascii="Times New Roman" w:hAnsi="Times New Roman" w:cs="Times New Roman"/>
                <w:b/>
                <w:bCs/>
              </w:rPr>
              <w:t>3</w:t>
            </w:r>
          </w:p>
        </w:tc>
        <w:tc>
          <w:tcPr>
            <w:tcW w:w="1423" w:type="dxa"/>
            <w:tcBorders>
              <w:top w:val="nil"/>
              <w:left w:val="nil"/>
              <w:bottom w:val="single" w:sz="4" w:space="0" w:color="auto"/>
              <w:right w:val="single" w:sz="4" w:space="0" w:color="auto"/>
            </w:tcBorders>
            <w:shd w:val="clear" w:color="auto" w:fill="auto"/>
            <w:noWrap/>
            <w:vAlign w:val="bottom"/>
          </w:tcPr>
          <w:p w14:paraId="51B11431"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20 608,96</w:t>
            </w:r>
          </w:p>
        </w:tc>
        <w:tc>
          <w:tcPr>
            <w:tcW w:w="1275" w:type="dxa"/>
            <w:tcBorders>
              <w:top w:val="nil"/>
              <w:left w:val="nil"/>
              <w:bottom w:val="single" w:sz="4" w:space="0" w:color="auto"/>
              <w:right w:val="single" w:sz="4" w:space="0" w:color="auto"/>
            </w:tcBorders>
            <w:shd w:val="clear" w:color="auto" w:fill="auto"/>
            <w:noWrap/>
            <w:vAlign w:val="bottom"/>
          </w:tcPr>
          <w:p w14:paraId="11607BDD"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-574,84</w:t>
            </w:r>
          </w:p>
        </w:tc>
        <w:tc>
          <w:tcPr>
            <w:tcW w:w="1134" w:type="dxa"/>
            <w:tcBorders>
              <w:top w:val="nil"/>
              <w:left w:val="nil"/>
              <w:bottom w:val="single" w:sz="4" w:space="0" w:color="auto"/>
              <w:right w:val="single" w:sz="4" w:space="0" w:color="auto"/>
            </w:tcBorders>
            <w:shd w:val="clear" w:color="auto" w:fill="auto"/>
            <w:noWrap/>
            <w:vAlign w:val="bottom"/>
          </w:tcPr>
          <w:p w14:paraId="3D7C7B84" w14:textId="57A86AE3" w:rsidR="00576D56" w:rsidRPr="00E47AA9" w:rsidRDefault="00576D56" w:rsidP="009579F6">
            <w:pPr>
              <w:spacing w:after="0" w:line="240" w:lineRule="auto"/>
              <w:jc w:val="right"/>
              <w:rPr>
                <w:rFonts w:ascii="Times New Roman" w:hAnsi="Times New Roman" w:cs="Times New Roman"/>
                <w:b/>
                <w:bCs/>
              </w:rPr>
            </w:pPr>
            <w:r w:rsidRPr="00E47AA9">
              <w:rPr>
                <w:rFonts w:ascii="Times New Roman" w:hAnsi="Times New Roman" w:cs="Times New Roman"/>
                <w:b/>
                <w:bCs/>
              </w:rPr>
              <w:t>50,0</w:t>
            </w:r>
            <w:r w:rsidR="009579F6" w:rsidRPr="00E47AA9">
              <w:rPr>
                <w:rFonts w:ascii="Times New Roman" w:hAnsi="Times New Roman" w:cs="Times New Roman"/>
                <w:b/>
                <w:bCs/>
              </w:rPr>
              <w:t>7</w:t>
            </w:r>
          </w:p>
        </w:tc>
      </w:tr>
    </w:tbl>
    <w:p w14:paraId="40E1A8A2" w14:textId="77777777" w:rsidR="00576D56" w:rsidRPr="00E47AA9" w:rsidRDefault="00576D56" w:rsidP="00576D56">
      <w:pPr>
        <w:spacing w:after="0" w:line="240" w:lineRule="auto"/>
        <w:ind w:firstLine="709"/>
        <w:jc w:val="both"/>
        <w:rPr>
          <w:rFonts w:ascii="Times New Roman" w:hAnsi="Times New Roman" w:cs="Times New Roman"/>
          <w:sz w:val="28"/>
          <w:szCs w:val="28"/>
        </w:rPr>
      </w:pPr>
    </w:p>
    <w:p w14:paraId="2C0F294B" w14:textId="77777777" w:rsidR="00576D56" w:rsidRPr="00E47AA9" w:rsidRDefault="00576D56" w:rsidP="00576D56">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Объем исполненных расходов в целях реализации НП за 2024 год составил 19054,63 млн рублей, или 92,46 % уточненных бюджетных назначений (20608,96 млн рублей). Доля расходов на НП в общем объеме исполненных расходов составила 8,04 %. </w:t>
      </w:r>
    </w:p>
    <w:p w14:paraId="5CAFDEF0" w14:textId="77777777" w:rsidR="00576D56" w:rsidRPr="00E47AA9" w:rsidRDefault="00576D56" w:rsidP="00576D56">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Исполнение бюджетных назначений по национальным проектам за 2024 год представлено в таблице.</w:t>
      </w:r>
    </w:p>
    <w:tbl>
      <w:tblPr>
        <w:tblW w:w="9357" w:type="dxa"/>
        <w:tblLayout w:type="fixed"/>
        <w:tblLook w:val="04A0" w:firstRow="1" w:lastRow="0" w:firstColumn="1" w:lastColumn="0" w:noHBand="0" w:noVBand="1"/>
      </w:tblPr>
      <w:tblGrid>
        <w:gridCol w:w="3686"/>
        <w:gridCol w:w="1559"/>
        <w:gridCol w:w="1418"/>
        <w:gridCol w:w="850"/>
        <w:gridCol w:w="1844"/>
      </w:tblGrid>
      <w:tr w:rsidR="00E47AA9" w:rsidRPr="00E47AA9" w14:paraId="1D03D413" w14:textId="77777777" w:rsidTr="00576D56">
        <w:trPr>
          <w:trHeight w:val="215"/>
          <w:tblHeader/>
        </w:trPr>
        <w:tc>
          <w:tcPr>
            <w:tcW w:w="3686" w:type="dxa"/>
            <w:tcBorders>
              <w:bottom w:val="single" w:sz="4" w:space="0" w:color="auto"/>
            </w:tcBorders>
            <w:shd w:val="clear" w:color="auto" w:fill="auto"/>
            <w:vAlign w:val="center"/>
          </w:tcPr>
          <w:p w14:paraId="62087BF8"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p>
        </w:tc>
        <w:tc>
          <w:tcPr>
            <w:tcW w:w="1559" w:type="dxa"/>
            <w:tcBorders>
              <w:bottom w:val="single" w:sz="4" w:space="0" w:color="auto"/>
            </w:tcBorders>
            <w:shd w:val="clear" w:color="auto" w:fill="auto"/>
            <w:vAlign w:val="center"/>
          </w:tcPr>
          <w:p w14:paraId="7A88D0AD"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p>
        </w:tc>
        <w:tc>
          <w:tcPr>
            <w:tcW w:w="1418" w:type="dxa"/>
            <w:tcBorders>
              <w:bottom w:val="single" w:sz="4" w:space="0" w:color="auto"/>
            </w:tcBorders>
            <w:shd w:val="clear" w:color="auto" w:fill="auto"/>
            <w:vAlign w:val="center"/>
          </w:tcPr>
          <w:p w14:paraId="6DBA7927"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p>
        </w:tc>
        <w:tc>
          <w:tcPr>
            <w:tcW w:w="850" w:type="dxa"/>
            <w:tcBorders>
              <w:bottom w:val="single" w:sz="4" w:space="0" w:color="auto"/>
            </w:tcBorders>
            <w:shd w:val="clear" w:color="auto" w:fill="auto"/>
            <w:vAlign w:val="center"/>
          </w:tcPr>
          <w:p w14:paraId="25C6B432"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p>
        </w:tc>
        <w:tc>
          <w:tcPr>
            <w:tcW w:w="1844" w:type="dxa"/>
            <w:tcBorders>
              <w:bottom w:val="single" w:sz="4" w:space="0" w:color="auto"/>
            </w:tcBorders>
            <w:shd w:val="clear" w:color="auto" w:fill="auto"/>
            <w:vAlign w:val="center"/>
          </w:tcPr>
          <w:p w14:paraId="52FBB2B6" w14:textId="77777777" w:rsidR="00576D56" w:rsidRPr="00E47AA9" w:rsidRDefault="00576D56" w:rsidP="00576D56">
            <w:pPr>
              <w:spacing w:after="0" w:line="240" w:lineRule="auto"/>
              <w:jc w:val="right"/>
              <w:rPr>
                <w:rFonts w:ascii="Times New Roman" w:eastAsia="Times New Roman" w:hAnsi="Times New Roman" w:cs="Times New Roman"/>
                <w:sz w:val="24"/>
                <w:szCs w:val="20"/>
                <w:lang w:eastAsia="ru-RU"/>
              </w:rPr>
            </w:pPr>
            <w:r w:rsidRPr="00E47AA9">
              <w:rPr>
                <w:rFonts w:ascii="Times New Roman" w:hAnsi="Times New Roman" w:cs="Times New Roman"/>
                <w:sz w:val="24"/>
                <w:szCs w:val="20"/>
              </w:rPr>
              <w:t>(млн рублей)</w:t>
            </w:r>
          </w:p>
        </w:tc>
      </w:tr>
      <w:tr w:rsidR="00E47AA9" w:rsidRPr="00E47AA9" w14:paraId="19FDAE37" w14:textId="77777777" w:rsidTr="00576D56">
        <w:trPr>
          <w:trHeight w:val="843"/>
          <w:tblHeader/>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EB9C38"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Наименование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D4D67B"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Уточненные бюджетные назначения </w:t>
            </w:r>
          </w:p>
          <w:p w14:paraId="0B34E0C3"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на 2024 год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69F5589"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Исполнено </w:t>
            </w:r>
          </w:p>
          <w:p w14:paraId="29A12131"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за 2024 год</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5832606"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исп.</w:t>
            </w:r>
          </w:p>
        </w:tc>
        <w:tc>
          <w:tcPr>
            <w:tcW w:w="1844" w:type="dxa"/>
            <w:tcBorders>
              <w:top w:val="single" w:sz="4" w:space="0" w:color="auto"/>
              <w:left w:val="nil"/>
              <w:bottom w:val="single" w:sz="4" w:space="0" w:color="auto"/>
              <w:right w:val="single" w:sz="4" w:space="0" w:color="auto"/>
            </w:tcBorders>
            <w:shd w:val="clear" w:color="auto" w:fill="auto"/>
            <w:vAlign w:val="center"/>
            <w:hideMark/>
          </w:tcPr>
          <w:p w14:paraId="33568A20" w14:textId="77777777" w:rsidR="00576D56" w:rsidRPr="00E47AA9" w:rsidRDefault="00576D56" w:rsidP="00576D56">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Неисполненные бюджетные назначения</w:t>
            </w:r>
          </w:p>
        </w:tc>
      </w:tr>
      <w:tr w:rsidR="00E47AA9" w:rsidRPr="00E47AA9" w14:paraId="562E3ED0" w14:textId="77777777" w:rsidTr="00576D56">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34113D7C" w14:textId="77777777" w:rsidR="00576D56" w:rsidRPr="00E47AA9" w:rsidRDefault="00576D56" w:rsidP="00576D56">
            <w:pPr>
              <w:spacing w:after="0" w:line="240" w:lineRule="auto"/>
              <w:rPr>
                <w:rFonts w:ascii="Times New Roman" w:hAnsi="Times New Roman" w:cs="Times New Roman"/>
              </w:rPr>
            </w:pPr>
            <w:r w:rsidRPr="00E47AA9">
              <w:rPr>
                <w:rFonts w:ascii="Times New Roman" w:hAnsi="Times New Roman" w:cs="Times New Roman"/>
              </w:rPr>
              <w:t>Национальный проект "Культура"</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709F28" w14:textId="6713E58E" w:rsidR="00576D56" w:rsidRPr="00E47AA9" w:rsidRDefault="00576D56" w:rsidP="00AF2C0D">
            <w:pPr>
              <w:spacing w:after="0" w:line="240" w:lineRule="auto"/>
              <w:jc w:val="right"/>
              <w:rPr>
                <w:rFonts w:ascii="Times New Roman" w:hAnsi="Times New Roman" w:cs="Times New Roman"/>
              </w:rPr>
            </w:pPr>
            <w:r w:rsidRPr="00E47AA9">
              <w:rPr>
                <w:rFonts w:ascii="Times New Roman" w:hAnsi="Times New Roman" w:cs="Times New Roman"/>
              </w:rPr>
              <w:t>665,2</w:t>
            </w:r>
            <w:r w:rsidR="00AF2C0D" w:rsidRPr="00E47AA9">
              <w:rPr>
                <w:rFonts w:ascii="Times New Roman" w:hAnsi="Times New Roman" w:cs="Times New Roman"/>
              </w:rPr>
              <w:t>7</w:t>
            </w:r>
          </w:p>
        </w:tc>
        <w:tc>
          <w:tcPr>
            <w:tcW w:w="1418" w:type="dxa"/>
            <w:tcBorders>
              <w:top w:val="single" w:sz="4" w:space="0" w:color="auto"/>
              <w:left w:val="nil"/>
              <w:bottom w:val="single" w:sz="4" w:space="0" w:color="auto"/>
              <w:right w:val="single" w:sz="4" w:space="0" w:color="auto"/>
            </w:tcBorders>
            <w:shd w:val="clear" w:color="auto" w:fill="auto"/>
            <w:noWrap/>
            <w:vAlign w:val="bottom"/>
          </w:tcPr>
          <w:p w14:paraId="3F968498"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662,77</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C698481"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99,62</w:t>
            </w:r>
          </w:p>
        </w:tc>
        <w:tc>
          <w:tcPr>
            <w:tcW w:w="1844" w:type="dxa"/>
            <w:tcBorders>
              <w:top w:val="single" w:sz="4" w:space="0" w:color="auto"/>
              <w:left w:val="nil"/>
              <w:bottom w:val="single" w:sz="4" w:space="0" w:color="auto"/>
              <w:right w:val="single" w:sz="4" w:space="0" w:color="auto"/>
            </w:tcBorders>
            <w:shd w:val="clear" w:color="auto" w:fill="auto"/>
            <w:noWrap/>
            <w:vAlign w:val="bottom"/>
          </w:tcPr>
          <w:p w14:paraId="470CEEB4" w14:textId="03607705" w:rsidR="00576D56" w:rsidRPr="00E47AA9" w:rsidRDefault="00576D56" w:rsidP="00AF2C0D">
            <w:pPr>
              <w:spacing w:after="0" w:line="240" w:lineRule="auto"/>
              <w:jc w:val="right"/>
              <w:rPr>
                <w:rFonts w:ascii="Times New Roman" w:hAnsi="Times New Roman" w:cs="Times New Roman"/>
              </w:rPr>
            </w:pPr>
            <w:r w:rsidRPr="00E47AA9">
              <w:rPr>
                <w:rFonts w:ascii="Times New Roman" w:hAnsi="Times New Roman" w:cs="Times New Roman"/>
              </w:rPr>
              <w:t>2,5</w:t>
            </w:r>
            <w:r w:rsidR="00AF2C0D" w:rsidRPr="00E47AA9">
              <w:rPr>
                <w:rFonts w:ascii="Times New Roman" w:hAnsi="Times New Roman" w:cs="Times New Roman"/>
              </w:rPr>
              <w:t>0</w:t>
            </w:r>
          </w:p>
        </w:tc>
      </w:tr>
      <w:tr w:rsidR="00E47AA9" w:rsidRPr="00E47AA9" w14:paraId="6D3AC989" w14:textId="77777777" w:rsidTr="00576D56">
        <w:trPr>
          <w:trHeight w:val="300"/>
        </w:trPr>
        <w:tc>
          <w:tcPr>
            <w:tcW w:w="3686" w:type="dxa"/>
            <w:tcBorders>
              <w:top w:val="nil"/>
              <w:left w:val="single" w:sz="4" w:space="0" w:color="auto"/>
              <w:bottom w:val="single" w:sz="4" w:space="0" w:color="auto"/>
              <w:right w:val="single" w:sz="4" w:space="0" w:color="auto"/>
            </w:tcBorders>
            <w:shd w:val="clear" w:color="auto" w:fill="auto"/>
            <w:vAlign w:val="center"/>
          </w:tcPr>
          <w:p w14:paraId="472CA015" w14:textId="77777777" w:rsidR="00576D56" w:rsidRPr="00E47AA9" w:rsidRDefault="00576D56" w:rsidP="00576D56">
            <w:pPr>
              <w:spacing w:after="0" w:line="240" w:lineRule="auto"/>
              <w:rPr>
                <w:rFonts w:ascii="Times New Roman" w:hAnsi="Times New Roman" w:cs="Times New Roman"/>
              </w:rPr>
            </w:pPr>
            <w:r w:rsidRPr="00E47AA9">
              <w:rPr>
                <w:rFonts w:ascii="Times New Roman" w:hAnsi="Times New Roman" w:cs="Times New Roman"/>
              </w:rPr>
              <w:t>Национальный проект "Национальная программа "Цифровая экономика Российской Федерации"</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16061C66"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98,33</w:t>
            </w:r>
          </w:p>
        </w:tc>
        <w:tc>
          <w:tcPr>
            <w:tcW w:w="1418" w:type="dxa"/>
            <w:tcBorders>
              <w:top w:val="nil"/>
              <w:left w:val="nil"/>
              <w:bottom w:val="single" w:sz="4" w:space="0" w:color="auto"/>
              <w:right w:val="single" w:sz="4" w:space="0" w:color="auto"/>
            </w:tcBorders>
            <w:shd w:val="clear" w:color="auto" w:fill="auto"/>
            <w:noWrap/>
            <w:vAlign w:val="bottom"/>
          </w:tcPr>
          <w:p w14:paraId="037C3592"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98,33</w:t>
            </w:r>
          </w:p>
        </w:tc>
        <w:tc>
          <w:tcPr>
            <w:tcW w:w="850" w:type="dxa"/>
            <w:tcBorders>
              <w:top w:val="nil"/>
              <w:left w:val="nil"/>
              <w:bottom w:val="single" w:sz="4" w:space="0" w:color="auto"/>
              <w:right w:val="single" w:sz="4" w:space="0" w:color="auto"/>
            </w:tcBorders>
            <w:shd w:val="clear" w:color="auto" w:fill="auto"/>
            <w:noWrap/>
            <w:vAlign w:val="bottom"/>
          </w:tcPr>
          <w:p w14:paraId="4F1FE493"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100,00</w:t>
            </w:r>
          </w:p>
        </w:tc>
        <w:tc>
          <w:tcPr>
            <w:tcW w:w="1844" w:type="dxa"/>
            <w:tcBorders>
              <w:top w:val="nil"/>
              <w:left w:val="nil"/>
              <w:bottom w:val="single" w:sz="4" w:space="0" w:color="auto"/>
              <w:right w:val="single" w:sz="4" w:space="0" w:color="auto"/>
            </w:tcBorders>
            <w:shd w:val="clear" w:color="auto" w:fill="auto"/>
            <w:noWrap/>
            <w:vAlign w:val="bottom"/>
          </w:tcPr>
          <w:p w14:paraId="1590C0A2"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2A236D6D" w14:textId="77777777" w:rsidTr="00576D56">
        <w:trPr>
          <w:trHeight w:val="300"/>
        </w:trPr>
        <w:tc>
          <w:tcPr>
            <w:tcW w:w="3686" w:type="dxa"/>
            <w:tcBorders>
              <w:top w:val="nil"/>
              <w:left w:val="single" w:sz="4" w:space="0" w:color="auto"/>
              <w:bottom w:val="single" w:sz="4" w:space="0" w:color="auto"/>
              <w:right w:val="single" w:sz="4" w:space="0" w:color="auto"/>
            </w:tcBorders>
            <w:shd w:val="clear" w:color="auto" w:fill="auto"/>
            <w:vAlign w:val="center"/>
          </w:tcPr>
          <w:p w14:paraId="03527FF0" w14:textId="77777777" w:rsidR="00576D56" w:rsidRPr="00E47AA9" w:rsidRDefault="00576D56" w:rsidP="00576D56">
            <w:pPr>
              <w:spacing w:after="0" w:line="240" w:lineRule="auto"/>
              <w:rPr>
                <w:rFonts w:ascii="Times New Roman" w:hAnsi="Times New Roman" w:cs="Times New Roman"/>
              </w:rPr>
            </w:pPr>
            <w:r w:rsidRPr="00E47AA9">
              <w:rPr>
                <w:rFonts w:ascii="Times New Roman" w:hAnsi="Times New Roman" w:cs="Times New Roman"/>
              </w:rPr>
              <w:t>Национальный проект "Образование"</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0F02D4B6"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2 790,98</w:t>
            </w:r>
          </w:p>
        </w:tc>
        <w:tc>
          <w:tcPr>
            <w:tcW w:w="1418" w:type="dxa"/>
            <w:tcBorders>
              <w:top w:val="nil"/>
              <w:left w:val="nil"/>
              <w:bottom w:val="single" w:sz="4" w:space="0" w:color="auto"/>
              <w:right w:val="single" w:sz="4" w:space="0" w:color="auto"/>
            </w:tcBorders>
            <w:shd w:val="clear" w:color="auto" w:fill="auto"/>
            <w:noWrap/>
            <w:vAlign w:val="bottom"/>
          </w:tcPr>
          <w:p w14:paraId="7AA6F846"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2 748,31</w:t>
            </w:r>
          </w:p>
        </w:tc>
        <w:tc>
          <w:tcPr>
            <w:tcW w:w="850" w:type="dxa"/>
            <w:tcBorders>
              <w:top w:val="nil"/>
              <w:left w:val="nil"/>
              <w:bottom w:val="single" w:sz="4" w:space="0" w:color="auto"/>
              <w:right w:val="single" w:sz="4" w:space="0" w:color="auto"/>
            </w:tcBorders>
            <w:shd w:val="clear" w:color="auto" w:fill="auto"/>
            <w:noWrap/>
            <w:vAlign w:val="bottom"/>
          </w:tcPr>
          <w:p w14:paraId="728F8213"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98,47</w:t>
            </w:r>
          </w:p>
        </w:tc>
        <w:tc>
          <w:tcPr>
            <w:tcW w:w="1844" w:type="dxa"/>
            <w:tcBorders>
              <w:top w:val="nil"/>
              <w:left w:val="nil"/>
              <w:bottom w:val="single" w:sz="4" w:space="0" w:color="auto"/>
              <w:right w:val="single" w:sz="4" w:space="0" w:color="auto"/>
            </w:tcBorders>
            <w:shd w:val="clear" w:color="auto" w:fill="auto"/>
            <w:noWrap/>
            <w:vAlign w:val="bottom"/>
          </w:tcPr>
          <w:p w14:paraId="067DFB6E" w14:textId="0E74E345"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42,6</w:t>
            </w:r>
            <w:r w:rsidR="00441326" w:rsidRPr="00E47AA9">
              <w:rPr>
                <w:rFonts w:ascii="Times New Roman" w:hAnsi="Times New Roman" w:cs="Times New Roman"/>
              </w:rPr>
              <w:t>7</w:t>
            </w:r>
          </w:p>
        </w:tc>
      </w:tr>
      <w:tr w:rsidR="00E47AA9" w:rsidRPr="00E47AA9" w14:paraId="7E6B4004" w14:textId="77777777" w:rsidTr="00576D56">
        <w:trPr>
          <w:trHeight w:val="174"/>
        </w:trPr>
        <w:tc>
          <w:tcPr>
            <w:tcW w:w="3686" w:type="dxa"/>
            <w:tcBorders>
              <w:top w:val="nil"/>
              <w:left w:val="single" w:sz="4" w:space="0" w:color="auto"/>
              <w:bottom w:val="single" w:sz="4" w:space="0" w:color="auto"/>
              <w:right w:val="single" w:sz="4" w:space="0" w:color="auto"/>
            </w:tcBorders>
            <w:shd w:val="clear" w:color="auto" w:fill="auto"/>
            <w:vAlign w:val="center"/>
          </w:tcPr>
          <w:p w14:paraId="2C29A67F" w14:textId="77777777" w:rsidR="00576D56" w:rsidRPr="00E47AA9" w:rsidRDefault="00576D56" w:rsidP="00576D56">
            <w:pPr>
              <w:spacing w:after="0" w:line="240" w:lineRule="auto"/>
              <w:rPr>
                <w:rFonts w:ascii="Times New Roman" w:hAnsi="Times New Roman" w:cs="Times New Roman"/>
              </w:rPr>
            </w:pPr>
            <w:r w:rsidRPr="00E47AA9">
              <w:rPr>
                <w:rFonts w:ascii="Times New Roman" w:hAnsi="Times New Roman" w:cs="Times New Roman"/>
              </w:rPr>
              <w:t>Национальный проект "Жилье и городская среда"</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54E51CF1"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2 724,19</w:t>
            </w:r>
          </w:p>
        </w:tc>
        <w:tc>
          <w:tcPr>
            <w:tcW w:w="1418" w:type="dxa"/>
            <w:tcBorders>
              <w:top w:val="nil"/>
              <w:left w:val="nil"/>
              <w:bottom w:val="single" w:sz="4" w:space="0" w:color="auto"/>
              <w:right w:val="single" w:sz="4" w:space="0" w:color="auto"/>
            </w:tcBorders>
            <w:shd w:val="clear" w:color="auto" w:fill="auto"/>
            <w:noWrap/>
            <w:vAlign w:val="bottom"/>
          </w:tcPr>
          <w:p w14:paraId="74943C57"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2 678,08</w:t>
            </w:r>
          </w:p>
        </w:tc>
        <w:tc>
          <w:tcPr>
            <w:tcW w:w="850" w:type="dxa"/>
            <w:tcBorders>
              <w:top w:val="nil"/>
              <w:left w:val="nil"/>
              <w:bottom w:val="single" w:sz="4" w:space="0" w:color="auto"/>
              <w:right w:val="single" w:sz="4" w:space="0" w:color="auto"/>
            </w:tcBorders>
            <w:shd w:val="clear" w:color="auto" w:fill="auto"/>
            <w:noWrap/>
            <w:vAlign w:val="bottom"/>
          </w:tcPr>
          <w:p w14:paraId="75DBB9EE"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98,31</w:t>
            </w:r>
          </w:p>
        </w:tc>
        <w:tc>
          <w:tcPr>
            <w:tcW w:w="1844" w:type="dxa"/>
            <w:tcBorders>
              <w:top w:val="nil"/>
              <w:left w:val="nil"/>
              <w:bottom w:val="single" w:sz="4" w:space="0" w:color="auto"/>
              <w:right w:val="single" w:sz="4" w:space="0" w:color="auto"/>
            </w:tcBorders>
            <w:shd w:val="clear" w:color="auto" w:fill="auto"/>
            <w:noWrap/>
            <w:vAlign w:val="bottom"/>
          </w:tcPr>
          <w:p w14:paraId="0978E80F"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46,11</w:t>
            </w:r>
          </w:p>
        </w:tc>
      </w:tr>
      <w:tr w:rsidR="00E47AA9" w:rsidRPr="00E47AA9" w14:paraId="5F5E62D5" w14:textId="77777777" w:rsidTr="00576D56">
        <w:trPr>
          <w:trHeight w:val="235"/>
        </w:trPr>
        <w:tc>
          <w:tcPr>
            <w:tcW w:w="3686" w:type="dxa"/>
            <w:tcBorders>
              <w:top w:val="nil"/>
              <w:left w:val="single" w:sz="4" w:space="0" w:color="auto"/>
              <w:bottom w:val="single" w:sz="4" w:space="0" w:color="auto"/>
              <w:right w:val="single" w:sz="4" w:space="0" w:color="auto"/>
            </w:tcBorders>
            <w:shd w:val="clear" w:color="auto" w:fill="auto"/>
            <w:vAlign w:val="center"/>
          </w:tcPr>
          <w:p w14:paraId="7383DEF9" w14:textId="77777777" w:rsidR="00576D56" w:rsidRPr="00E47AA9" w:rsidRDefault="00576D56" w:rsidP="00576D56">
            <w:pPr>
              <w:spacing w:after="0" w:line="240" w:lineRule="auto"/>
              <w:rPr>
                <w:rFonts w:ascii="Times New Roman" w:hAnsi="Times New Roman" w:cs="Times New Roman"/>
              </w:rPr>
            </w:pPr>
            <w:r w:rsidRPr="00E47AA9">
              <w:rPr>
                <w:rFonts w:ascii="Times New Roman" w:hAnsi="Times New Roman" w:cs="Times New Roman"/>
              </w:rPr>
              <w:t>Национальный проект "Экология"</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250DEAAC" w14:textId="3F0DEDE8" w:rsidR="00576D56" w:rsidRPr="00E47AA9" w:rsidRDefault="00576D56" w:rsidP="007961F6">
            <w:pPr>
              <w:spacing w:after="0" w:line="240" w:lineRule="auto"/>
              <w:jc w:val="right"/>
              <w:rPr>
                <w:rFonts w:ascii="Times New Roman" w:hAnsi="Times New Roman" w:cs="Times New Roman"/>
              </w:rPr>
            </w:pPr>
            <w:r w:rsidRPr="00E47AA9">
              <w:rPr>
                <w:rFonts w:ascii="Times New Roman" w:hAnsi="Times New Roman" w:cs="Times New Roman"/>
              </w:rPr>
              <w:t>435,</w:t>
            </w:r>
            <w:r w:rsidR="007961F6" w:rsidRPr="00E47AA9">
              <w:rPr>
                <w:rFonts w:ascii="Times New Roman" w:hAnsi="Times New Roman" w:cs="Times New Roman"/>
              </w:rPr>
              <w:t>20</w:t>
            </w:r>
          </w:p>
        </w:tc>
        <w:tc>
          <w:tcPr>
            <w:tcW w:w="1418" w:type="dxa"/>
            <w:tcBorders>
              <w:top w:val="nil"/>
              <w:left w:val="nil"/>
              <w:bottom w:val="single" w:sz="4" w:space="0" w:color="auto"/>
              <w:right w:val="single" w:sz="4" w:space="0" w:color="auto"/>
            </w:tcBorders>
            <w:shd w:val="clear" w:color="auto" w:fill="auto"/>
            <w:noWrap/>
            <w:vAlign w:val="bottom"/>
          </w:tcPr>
          <w:p w14:paraId="21F097D6"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387,75</w:t>
            </w:r>
          </w:p>
        </w:tc>
        <w:tc>
          <w:tcPr>
            <w:tcW w:w="850" w:type="dxa"/>
            <w:tcBorders>
              <w:top w:val="nil"/>
              <w:left w:val="nil"/>
              <w:bottom w:val="single" w:sz="4" w:space="0" w:color="auto"/>
              <w:right w:val="single" w:sz="4" w:space="0" w:color="auto"/>
            </w:tcBorders>
            <w:shd w:val="clear" w:color="auto" w:fill="auto"/>
            <w:noWrap/>
            <w:vAlign w:val="bottom"/>
          </w:tcPr>
          <w:p w14:paraId="25FDADEF"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89,10</w:t>
            </w:r>
          </w:p>
        </w:tc>
        <w:tc>
          <w:tcPr>
            <w:tcW w:w="1844" w:type="dxa"/>
            <w:tcBorders>
              <w:top w:val="nil"/>
              <w:left w:val="nil"/>
              <w:bottom w:val="single" w:sz="4" w:space="0" w:color="auto"/>
              <w:right w:val="single" w:sz="4" w:space="0" w:color="auto"/>
            </w:tcBorders>
            <w:shd w:val="clear" w:color="auto" w:fill="auto"/>
            <w:noWrap/>
            <w:vAlign w:val="bottom"/>
          </w:tcPr>
          <w:p w14:paraId="10065E5A"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47,44</w:t>
            </w:r>
          </w:p>
        </w:tc>
      </w:tr>
      <w:tr w:rsidR="00E47AA9" w:rsidRPr="00E47AA9" w14:paraId="379C0CA6" w14:textId="77777777" w:rsidTr="00576D56">
        <w:trPr>
          <w:trHeight w:val="300"/>
        </w:trPr>
        <w:tc>
          <w:tcPr>
            <w:tcW w:w="3686" w:type="dxa"/>
            <w:tcBorders>
              <w:top w:val="nil"/>
              <w:left w:val="single" w:sz="4" w:space="0" w:color="auto"/>
              <w:bottom w:val="single" w:sz="4" w:space="0" w:color="auto"/>
              <w:right w:val="single" w:sz="4" w:space="0" w:color="auto"/>
            </w:tcBorders>
            <w:shd w:val="clear" w:color="auto" w:fill="auto"/>
            <w:vAlign w:val="center"/>
          </w:tcPr>
          <w:p w14:paraId="430271CD" w14:textId="77777777" w:rsidR="00576D56" w:rsidRPr="00E47AA9" w:rsidRDefault="00576D56" w:rsidP="00576D56">
            <w:pPr>
              <w:spacing w:after="0" w:line="240" w:lineRule="auto"/>
              <w:rPr>
                <w:rFonts w:ascii="Times New Roman" w:hAnsi="Times New Roman" w:cs="Times New Roman"/>
              </w:rPr>
            </w:pPr>
            <w:r w:rsidRPr="00E47AA9">
              <w:rPr>
                <w:rFonts w:ascii="Times New Roman" w:hAnsi="Times New Roman" w:cs="Times New Roman"/>
              </w:rPr>
              <w:t>Национальный проект "Малое и среднее предпринимательство и поддержка индивидуальной предпринимательской инициативы"</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4FD498F1" w14:textId="26923647" w:rsidR="00576D56" w:rsidRPr="00E47AA9" w:rsidRDefault="00576D56" w:rsidP="007961F6">
            <w:pPr>
              <w:spacing w:after="0" w:line="240" w:lineRule="auto"/>
              <w:jc w:val="right"/>
              <w:rPr>
                <w:rFonts w:ascii="Times New Roman" w:hAnsi="Times New Roman" w:cs="Times New Roman"/>
              </w:rPr>
            </w:pPr>
            <w:r w:rsidRPr="00E47AA9">
              <w:rPr>
                <w:rFonts w:ascii="Times New Roman" w:hAnsi="Times New Roman" w:cs="Times New Roman"/>
              </w:rPr>
              <w:t>1 211,4</w:t>
            </w:r>
            <w:r w:rsidR="007961F6" w:rsidRPr="00E47AA9">
              <w:rPr>
                <w:rFonts w:ascii="Times New Roman" w:hAnsi="Times New Roman" w:cs="Times New Roman"/>
              </w:rPr>
              <w:t>1</w:t>
            </w:r>
          </w:p>
        </w:tc>
        <w:tc>
          <w:tcPr>
            <w:tcW w:w="1418" w:type="dxa"/>
            <w:tcBorders>
              <w:top w:val="nil"/>
              <w:left w:val="nil"/>
              <w:bottom w:val="single" w:sz="4" w:space="0" w:color="auto"/>
              <w:right w:val="single" w:sz="4" w:space="0" w:color="auto"/>
            </w:tcBorders>
            <w:shd w:val="clear" w:color="auto" w:fill="auto"/>
            <w:noWrap/>
            <w:vAlign w:val="bottom"/>
          </w:tcPr>
          <w:p w14:paraId="29FC3CBB" w14:textId="6F25FE3A" w:rsidR="00576D56" w:rsidRPr="00E47AA9" w:rsidRDefault="00576D56" w:rsidP="007961F6">
            <w:pPr>
              <w:spacing w:after="0" w:line="240" w:lineRule="auto"/>
              <w:jc w:val="right"/>
              <w:rPr>
                <w:rFonts w:ascii="Times New Roman" w:hAnsi="Times New Roman" w:cs="Times New Roman"/>
              </w:rPr>
            </w:pPr>
            <w:r w:rsidRPr="00E47AA9">
              <w:rPr>
                <w:rFonts w:ascii="Times New Roman" w:hAnsi="Times New Roman" w:cs="Times New Roman"/>
              </w:rPr>
              <w:t>1 210,4</w:t>
            </w:r>
            <w:r w:rsidR="007961F6" w:rsidRPr="00E47AA9">
              <w:rPr>
                <w:rFonts w:ascii="Times New Roman" w:hAnsi="Times New Roman" w:cs="Times New Roman"/>
              </w:rPr>
              <w:t>1</w:t>
            </w:r>
          </w:p>
        </w:tc>
        <w:tc>
          <w:tcPr>
            <w:tcW w:w="850" w:type="dxa"/>
            <w:tcBorders>
              <w:top w:val="nil"/>
              <w:left w:val="nil"/>
              <w:bottom w:val="single" w:sz="4" w:space="0" w:color="auto"/>
              <w:right w:val="single" w:sz="4" w:space="0" w:color="auto"/>
            </w:tcBorders>
            <w:shd w:val="clear" w:color="auto" w:fill="auto"/>
            <w:noWrap/>
            <w:vAlign w:val="bottom"/>
          </w:tcPr>
          <w:p w14:paraId="4CB289FB"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99,92</w:t>
            </w:r>
          </w:p>
        </w:tc>
        <w:tc>
          <w:tcPr>
            <w:tcW w:w="1844" w:type="dxa"/>
            <w:tcBorders>
              <w:top w:val="nil"/>
              <w:left w:val="nil"/>
              <w:bottom w:val="single" w:sz="4" w:space="0" w:color="auto"/>
              <w:right w:val="single" w:sz="4" w:space="0" w:color="auto"/>
            </w:tcBorders>
            <w:shd w:val="clear" w:color="auto" w:fill="auto"/>
            <w:noWrap/>
            <w:vAlign w:val="bottom"/>
          </w:tcPr>
          <w:p w14:paraId="786436ED"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1,00</w:t>
            </w:r>
          </w:p>
        </w:tc>
      </w:tr>
      <w:tr w:rsidR="00E47AA9" w:rsidRPr="00E47AA9" w14:paraId="48EFEB16" w14:textId="77777777" w:rsidTr="00576D56">
        <w:trPr>
          <w:trHeight w:val="300"/>
        </w:trPr>
        <w:tc>
          <w:tcPr>
            <w:tcW w:w="3686" w:type="dxa"/>
            <w:tcBorders>
              <w:top w:val="nil"/>
              <w:left w:val="single" w:sz="4" w:space="0" w:color="auto"/>
              <w:bottom w:val="single" w:sz="4" w:space="0" w:color="auto"/>
              <w:right w:val="single" w:sz="4" w:space="0" w:color="auto"/>
            </w:tcBorders>
            <w:shd w:val="clear" w:color="auto" w:fill="auto"/>
            <w:vAlign w:val="center"/>
          </w:tcPr>
          <w:p w14:paraId="789DFB2B" w14:textId="77777777" w:rsidR="00576D56" w:rsidRPr="00E47AA9" w:rsidRDefault="00576D56" w:rsidP="00576D56">
            <w:pPr>
              <w:spacing w:after="0" w:line="240" w:lineRule="auto"/>
              <w:rPr>
                <w:rFonts w:ascii="Times New Roman" w:hAnsi="Times New Roman" w:cs="Times New Roman"/>
              </w:rPr>
            </w:pPr>
            <w:r w:rsidRPr="00E47AA9">
              <w:rPr>
                <w:rFonts w:ascii="Times New Roman" w:hAnsi="Times New Roman" w:cs="Times New Roman"/>
              </w:rPr>
              <w:t>Национальный проект "Туризм и индустрия гостеприимства"</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5FB989AB"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170,73</w:t>
            </w:r>
          </w:p>
        </w:tc>
        <w:tc>
          <w:tcPr>
            <w:tcW w:w="1418" w:type="dxa"/>
            <w:tcBorders>
              <w:top w:val="nil"/>
              <w:left w:val="nil"/>
              <w:bottom w:val="single" w:sz="4" w:space="0" w:color="auto"/>
              <w:right w:val="single" w:sz="4" w:space="0" w:color="auto"/>
            </w:tcBorders>
            <w:shd w:val="clear" w:color="auto" w:fill="auto"/>
            <w:noWrap/>
            <w:vAlign w:val="bottom"/>
          </w:tcPr>
          <w:p w14:paraId="6BE3586F"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170,73</w:t>
            </w:r>
          </w:p>
        </w:tc>
        <w:tc>
          <w:tcPr>
            <w:tcW w:w="850" w:type="dxa"/>
            <w:tcBorders>
              <w:top w:val="nil"/>
              <w:left w:val="nil"/>
              <w:bottom w:val="single" w:sz="4" w:space="0" w:color="auto"/>
              <w:right w:val="single" w:sz="4" w:space="0" w:color="auto"/>
            </w:tcBorders>
            <w:shd w:val="clear" w:color="auto" w:fill="auto"/>
            <w:noWrap/>
            <w:vAlign w:val="bottom"/>
          </w:tcPr>
          <w:p w14:paraId="0BC48912"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100,00</w:t>
            </w:r>
          </w:p>
        </w:tc>
        <w:tc>
          <w:tcPr>
            <w:tcW w:w="1844" w:type="dxa"/>
            <w:tcBorders>
              <w:top w:val="nil"/>
              <w:left w:val="nil"/>
              <w:bottom w:val="single" w:sz="4" w:space="0" w:color="auto"/>
              <w:right w:val="single" w:sz="4" w:space="0" w:color="auto"/>
            </w:tcBorders>
            <w:shd w:val="clear" w:color="auto" w:fill="auto"/>
            <w:noWrap/>
            <w:vAlign w:val="bottom"/>
          </w:tcPr>
          <w:p w14:paraId="0DCB3D00"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32930E5B" w14:textId="77777777" w:rsidTr="00576D56">
        <w:trPr>
          <w:trHeight w:val="329"/>
        </w:trPr>
        <w:tc>
          <w:tcPr>
            <w:tcW w:w="3686" w:type="dxa"/>
            <w:tcBorders>
              <w:top w:val="nil"/>
              <w:left w:val="single" w:sz="4" w:space="0" w:color="auto"/>
              <w:bottom w:val="single" w:sz="4" w:space="0" w:color="auto"/>
              <w:right w:val="single" w:sz="4" w:space="0" w:color="auto"/>
            </w:tcBorders>
            <w:shd w:val="clear" w:color="auto" w:fill="auto"/>
            <w:vAlign w:val="center"/>
          </w:tcPr>
          <w:p w14:paraId="371A8CC6" w14:textId="77777777" w:rsidR="00576D56" w:rsidRPr="00E47AA9" w:rsidRDefault="00576D56" w:rsidP="00576D56">
            <w:pPr>
              <w:spacing w:after="0" w:line="240" w:lineRule="auto"/>
              <w:rPr>
                <w:rFonts w:ascii="Times New Roman" w:hAnsi="Times New Roman" w:cs="Times New Roman"/>
              </w:rPr>
            </w:pPr>
            <w:r w:rsidRPr="00E47AA9">
              <w:rPr>
                <w:rFonts w:ascii="Times New Roman" w:hAnsi="Times New Roman" w:cs="Times New Roman"/>
              </w:rPr>
              <w:t>Национальный проект "Производительность труда"</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10976358"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61,69</w:t>
            </w:r>
          </w:p>
        </w:tc>
        <w:tc>
          <w:tcPr>
            <w:tcW w:w="1418" w:type="dxa"/>
            <w:tcBorders>
              <w:top w:val="nil"/>
              <w:left w:val="nil"/>
              <w:bottom w:val="single" w:sz="4" w:space="0" w:color="auto"/>
              <w:right w:val="single" w:sz="4" w:space="0" w:color="auto"/>
            </w:tcBorders>
            <w:shd w:val="clear" w:color="auto" w:fill="auto"/>
            <w:noWrap/>
            <w:vAlign w:val="bottom"/>
          </w:tcPr>
          <w:p w14:paraId="1ACAF186"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61,69</w:t>
            </w:r>
          </w:p>
        </w:tc>
        <w:tc>
          <w:tcPr>
            <w:tcW w:w="850" w:type="dxa"/>
            <w:tcBorders>
              <w:top w:val="nil"/>
              <w:left w:val="nil"/>
              <w:bottom w:val="single" w:sz="4" w:space="0" w:color="auto"/>
              <w:right w:val="single" w:sz="4" w:space="0" w:color="auto"/>
            </w:tcBorders>
            <w:shd w:val="clear" w:color="auto" w:fill="auto"/>
            <w:noWrap/>
            <w:vAlign w:val="bottom"/>
          </w:tcPr>
          <w:p w14:paraId="76A07140"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100,00</w:t>
            </w:r>
          </w:p>
        </w:tc>
        <w:tc>
          <w:tcPr>
            <w:tcW w:w="1844" w:type="dxa"/>
            <w:tcBorders>
              <w:top w:val="nil"/>
              <w:left w:val="nil"/>
              <w:bottom w:val="single" w:sz="4" w:space="0" w:color="auto"/>
              <w:right w:val="single" w:sz="4" w:space="0" w:color="auto"/>
            </w:tcBorders>
            <w:shd w:val="clear" w:color="auto" w:fill="auto"/>
            <w:noWrap/>
            <w:vAlign w:val="bottom"/>
          </w:tcPr>
          <w:p w14:paraId="0425A0B6"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6ECB70EB" w14:textId="77777777" w:rsidTr="00576D56">
        <w:trPr>
          <w:trHeight w:val="148"/>
        </w:trPr>
        <w:tc>
          <w:tcPr>
            <w:tcW w:w="3686" w:type="dxa"/>
            <w:tcBorders>
              <w:top w:val="nil"/>
              <w:left w:val="single" w:sz="4" w:space="0" w:color="auto"/>
              <w:bottom w:val="single" w:sz="4" w:space="0" w:color="auto"/>
              <w:right w:val="single" w:sz="4" w:space="0" w:color="auto"/>
            </w:tcBorders>
            <w:shd w:val="clear" w:color="auto" w:fill="auto"/>
            <w:vAlign w:val="center"/>
          </w:tcPr>
          <w:p w14:paraId="4E9A814A" w14:textId="77777777" w:rsidR="00576D56" w:rsidRPr="00E47AA9" w:rsidRDefault="00576D56" w:rsidP="00576D56">
            <w:pPr>
              <w:spacing w:after="0" w:line="240" w:lineRule="auto"/>
              <w:rPr>
                <w:rFonts w:ascii="Times New Roman" w:hAnsi="Times New Roman" w:cs="Times New Roman"/>
              </w:rPr>
            </w:pPr>
            <w:r w:rsidRPr="00E47AA9">
              <w:rPr>
                <w:rFonts w:ascii="Times New Roman" w:hAnsi="Times New Roman" w:cs="Times New Roman"/>
              </w:rPr>
              <w:t>Национальный проект "Здравоохранение"</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185ED19F"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4 974,15</w:t>
            </w:r>
          </w:p>
        </w:tc>
        <w:tc>
          <w:tcPr>
            <w:tcW w:w="1418" w:type="dxa"/>
            <w:tcBorders>
              <w:top w:val="nil"/>
              <w:left w:val="nil"/>
              <w:bottom w:val="single" w:sz="4" w:space="0" w:color="auto"/>
              <w:right w:val="single" w:sz="4" w:space="0" w:color="auto"/>
            </w:tcBorders>
            <w:shd w:val="clear" w:color="auto" w:fill="auto"/>
            <w:noWrap/>
            <w:vAlign w:val="bottom"/>
          </w:tcPr>
          <w:p w14:paraId="089C7D28"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4 070,15</w:t>
            </w:r>
          </w:p>
        </w:tc>
        <w:tc>
          <w:tcPr>
            <w:tcW w:w="850" w:type="dxa"/>
            <w:tcBorders>
              <w:top w:val="nil"/>
              <w:left w:val="nil"/>
              <w:bottom w:val="single" w:sz="4" w:space="0" w:color="auto"/>
              <w:right w:val="single" w:sz="4" w:space="0" w:color="auto"/>
            </w:tcBorders>
            <w:shd w:val="clear" w:color="auto" w:fill="auto"/>
            <w:noWrap/>
            <w:vAlign w:val="bottom"/>
          </w:tcPr>
          <w:p w14:paraId="767A2A70"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81,83</w:t>
            </w:r>
          </w:p>
        </w:tc>
        <w:tc>
          <w:tcPr>
            <w:tcW w:w="1844" w:type="dxa"/>
            <w:tcBorders>
              <w:top w:val="nil"/>
              <w:left w:val="nil"/>
              <w:bottom w:val="single" w:sz="4" w:space="0" w:color="auto"/>
              <w:right w:val="single" w:sz="4" w:space="0" w:color="auto"/>
            </w:tcBorders>
            <w:shd w:val="clear" w:color="auto" w:fill="auto"/>
            <w:noWrap/>
            <w:vAlign w:val="bottom"/>
          </w:tcPr>
          <w:p w14:paraId="47BB12C2"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904,00</w:t>
            </w:r>
          </w:p>
        </w:tc>
      </w:tr>
      <w:tr w:rsidR="00E47AA9" w:rsidRPr="00E47AA9" w14:paraId="415409C6" w14:textId="77777777" w:rsidTr="00576D56">
        <w:trPr>
          <w:trHeight w:val="181"/>
        </w:trPr>
        <w:tc>
          <w:tcPr>
            <w:tcW w:w="3686" w:type="dxa"/>
            <w:tcBorders>
              <w:top w:val="nil"/>
              <w:left w:val="single" w:sz="4" w:space="0" w:color="auto"/>
              <w:bottom w:val="single" w:sz="4" w:space="0" w:color="auto"/>
              <w:right w:val="single" w:sz="4" w:space="0" w:color="auto"/>
            </w:tcBorders>
            <w:shd w:val="clear" w:color="auto" w:fill="auto"/>
            <w:vAlign w:val="center"/>
          </w:tcPr>
          <w:p w14:paraId="0DB7DC6A" w14:textId="77777777" w:rsidR="00576D56" w:rsidRPr="00E47AA9" w:rsidRDefault="00576D56" w:rsidP="00576D56">
            <w:pPr>
              <w:spacing w:after="0" w:line="240" w:lineRule="auto"/>
              <w:rPr>
                <w:rFonts w:ascii="Times New Roman" w:hAnsi="Times New Roman" w:cs="Times New Roman"/>
              </w:rPr>
            </w:pPr>
            <w:r w:rsidRPr="00E47AA9">
              <w:rPr>
                <w:rFonts w:ascii="Times New Roman" w:hAnsi="Times New Roman" w:cs="Times New Roman"/>
              </w:rPr>
              <w:lastRenderedPageBreak/>
              <w:t>Национальный проект "Демография"</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618F777E"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3 321,88</w:t>
            </w:r>
          </w:p>
        </w:tc>
        <w:tc>
          <w:tcPr>
            <w:tcW w:w="1418" w:type="dxa"/>
            <w:tcBorders>
              <w:top w:val="nil"/>
              <w:left w:val="nil"/>
              <w:bottom w:val="single" w:sz="4" w:space="0" w:color="auto"/>
              <w:right w:val="single" w:sz="4" w:space="0" w:color="auto"/>
            </w:tcBorders>
            <w:shd w:val="clear" w:color="auto" w:fill="auto"/>
            <w:noWrap/>
            <w:vAlign w:val="bottom"/>
          </w:tcPr>
          <w:p w14:paraId="57E80453"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3 243,89</w:t>
            </w:r>
          </w:p>
        </w:tc>
        <w:tc>
          <w:tcPr>
            <w:tcW w:w="850" w:type="dxa"/>
            <w:tcBorders>
              <w:top w:val="nil"/>
              <w:left w:val="nil"/>
              <w:bottom w:val="single" w:sz="4" w:space="0" w:color="auto"/>
              <w:right w:val="single" w:sz="4" w:space="0" w:color="auto"/>
            </w:tcBorders>
            <w:shd w:val="clear" w:color="auto" w:fill="auto"/>
            <w:noWrap/>
            <w:vAlign w:val="bottom"/>
          </w:tcPr>
          <w:p w14:paraId="7AFABF0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97,65</w:t>
            </w:r>
          </w:p>
        </w:tc>
        <w:tc>
          <w:tcPr>
            <w:tcW w:w="1844" w:type="dxa"/>
            <w:tcBorders>
              <w:top w:val="nil"/>
              <w:left w:val="nil"/>
              <w:bottom w:val="single" w:sz="4" w:space="0" w:color="auto"/>
              <w:right w:val="single" w:sz="4" w:space="0" w:color="auto"/>
            </w:tcBorders>
            <w:shd w:val="clear" w:color="auto" w:fill="auto"/>
            <w:noWrap/>
            <w:vAlign w:val="bottom"/>
          </w:tcPr>
          <w:p w14:paraId="007FC924"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77,99</w:t>
            </w:r>
          </w:p>
        </w:tc>
      </w:tr>
      <w:tr w:rsidR="00E47AA9" w:rsidRPr="00E47AA9" w14:paraId="708DD9CA" w14:textId="77777777" w:rsidTr="00576D56">
        <w:trPr>
          <w:trHeight w:val="245"/>
        </w:trPr>
        <w:tc>
          <w:tcPr>
            <w:tcW w:w="3686" w:type="dxa"/>
            <w:tcBorders>
              <w:top w:val="nil"/>
              <w:left w:val="single" w:sz="4" w:space="0" w:color="auto"/>
              <w:bottom w:val="single" w:sz="4" w:space="0" w:color="auto"/>
              <w:right w:val="single" w:sz="4" w:space="0" w:color="auto"/>
            </w:tcBorders>
            <w:shd w:val="clear" w:color="auto" w:fill="auto"/>
            <w:vAlign w:val="center"/>
          </w:tcPr>
          <w:p w14:paraId="5007C466" w14:textId="77777777" w:rsidR="00576D56" w:rsidRPr="00E47AA9" w:rsidRDefault="00576D56" w:rsidP="00576D56">
            <w:pPr>
              <w:spacing w:after="0" w:line="240" w:lineRule="auto"/>
              <w:rPr>
                <w:rFonts w:ascii="Times New Roman" w:hAnsi="Times New Roman" w:cs="Times New Roman"/>
              </w:rPr>
            </w:pPr>
            <w:r w:rsidRPr="00E47AA9">
              <w:rPr>
                <w:rFonts w:ascii="Times New Roman" w:hAnsi="Times New Roman" w:cs="Times New Roman"/>
              </w:rPr>
              <w:t>Национальный проект "Безопасные качественные дороги"</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55066FB2"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4 123,63</w:t>
            </w:r>
          </w:p>
        </w:tc>
        <w:tc>
          <w:tcPr>
            <w:tcW w:w="1418" w:type="dxa"/>
            <w:tcBorders>
              <w:top w:val="nil"/>
              <w:left w:val="nil"/>
              <w:bottom w:val="single" w:sz="4" w:space="0" w:color="auto"/>
              <w:right w:val="single" w:sz="4" w:space="0" w:color="auto"/>
            </w:tcBorders>
            <w:shd w:val="clear" w:color="auto" w:fill="auto"/>
            <w:noWrap/>
            <w:vAlign w:val="bottom"/>
          </w:tcPr>
          <w:p w14:paraId="72F7D60E"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3 706,77</w:t>
            </w:r>
          </w:p>
        </w:tc>
        <w:tc>
          <w:tcPr>
            <w:tcW w:w="850" w:type="dxa"/>
            <w:tcBorders>
              <w:top w:val="nil"/>
              <w:left w:val="nil"/>
              <w:bottom w:val="single" w:sz="4" w:space="0" w:color="auto"/>
              <w:right w:val="single" w:sz="4" w:space="0" w:color="auto"/>
            </w:tcBorders>
            <w:shd w:val="clear" w:color="auto" w:fill="auto"/>
            <w:noWrap/>
            <w:vAlign w:val="bottom"/>
          </w:tcPr>
          <w:p w14:paraId="28DBC17C"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89,89</w:t>
            </w:r>
          </w:p>
        </w:tc>
        <w:tc>
          <w:tcPr>
            <w:tcW w:w="1844" w:type="dxa"/>
            <w:tcBorders>
              <w:top w:val="nil"/>
              <w:left w:val="nil"/>
              <w:bottom w:val="single" w:sz="4" w:space="0" w:color="auto"/>
              <w:right w:val="single" w:sz="4" w:space="0" w:color="auto"/>
            </w:tcBorders>
            <w:shd w:val="clear" w:color="auto" w:fill="auto"/>
            <w:noWrap/>
            <w:vAlign w:val="bottom"/>
          </w:tcPr>
          <w:p w14:paraId="119A8931"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416,86</w:t>
            </w:r>
          </w:p>
        </w:tc>
      </w:tr>
      <w:tr w:rsidR="00E47AA9" w:rsidRPr="00E47AA9" w14:paraId="41B81A09" w14:textId="77777777" w:rsidTr="00576D56">
        <w:trPr>
          <w:trHeight w:val="300"/>
        </w:trPr>
        <w:tc>
          <w:tcPr>
            <w:tcW w:w="3686" w:type="dxa"/>
            <w:tcBorders>
              <w:top w:val="nil"/>
              <w:left w:val="single" w:sz="4" w:space="0" w:color="auto"/>
              <w:bottom w:val="single" w:sz="4" w:space="0" w:color="auto"/>
              <w:right w:val="single" w:sz="4" w:space="0" w:color="auto"/>
            </w:tcBorders>
            <w:shd w:val="clear" w:color="auto" w:fill="auto"/>
            <w:vAlign w:val="center"/>
            <w:hideMark/>
          </w:tcPr>
          <w:p w14:paraId="0CE9150B" w14:textId="77777777" w:rsidR="00576D56" w:rsidRPr="00E47AA9" w:rsidRDefault="00576D56" w:rsidP="00576D56">
            <w:pPr>
              <w:spacing w:after="0" w:line="240" w:lineRule="auto"/>
              <w:rPr>
                <w:rFonts w:ascii="Times New Roman" w:hAnsi="Times New Roman" w:cs="Times New Roman"/>
              </w:rPr>
            </w:pPr>
            <w:r w:rsidRPr="00E47AA9">
              <w:rPr>
                <w:rFonts w:ascii="Times New Roman" w:hAnsi="Times New Roman" w:cs="Times New Roman"/>
              </w:rPr>
              <w:t>Национальный проект "Беспилотные авиационные системы"</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64D907CF"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31,50</w:t>
            </w:r>
          </w:p>
        </w:tc>
        <w:tc>
          <w:tcPr>
            <w:tcW w:w="1418" w:type="dxa"/>
            <w:tcBorders>
              <w:top w:val="nil"/>
              <w:left w:val="nil"/>
              <w:bottom w:val="single" w:sz="4" w:space="0" w:color="auto"/>
              <w:right w:val="single" w:sz="4" w:space="0" w:color="auto"/>
            </w:tcBorders>
            <w:shd w:val="clear" w:color="auto" w:fill="auto"/>
            <w:noWrap/>
            <w:vAlign w:val="bottom"/>
          </w:tcPr>
          <w:p w14:paraId="750D6E9B"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15,75</w:t>
            </w:r>
          </w:p>
        </w:tc>
        <w:tc>
          <w:tcPr>
            <w:tcW w:w="850" w:type="dxa"/>
            <w:tcBorders>
              <w:top w:val="nil"/>
              <w:left w:val="nil"/>
              <w:bottom w:val="single" w:sz="4" w:space="0" w:color="auto"/>
              <w:right w:val="single" w:sz="4" w:space="0" w:color="auto"/>
            </w:tcBorders>
            <w:shd w:val="clear" w:color="auto" w:fill="auto"/>
            <w:noWrap/>
            <w:vAlign w:val="bottom"/>
          </w:tcPr>
          <w:p w14:paraId="1F592B6B"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50,00</w:t>
            </w:r>
          </w:p>
        </w:tc>
        <w:tc>
          <w:tcPr>
            <w:tcW w:w="1844" w:type="dxa"/>
            <w:tcBorders>
              <w:top w:val="nil"/>
              <w:left w:val="nil"/>
              <w:bottom w:val="single" w:sz="4" w:space="0" w:color="auto"/>
              <w:right w:val="single" w:sz="4" w:space="0" w:color="auto"/>
            </w:tcBorders>
            <w:shd w:val="clear" w:color="auto" w:fill="auto"/>
            <w:noWrap/>
            <w:vAlign w:val="bottom"/>
          </w:tcPr>
          <w:p w14:paraId="3AE36C22"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15,75</w:t>
            </w:r>
          </w:p>
        </w:tc>
      </w:tr>
      <w:tr w:rsidR="00576D56" w:rsidRPr="00E47AA9" w14:paraId="6144DB5F" w14:textId="77777777" w:rsidTr="00576D56">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4ECBA243" w14:textId="77777777" w:rsidR="00576D56" w:rsidRPr="00E47AA9" w:rsidRDefault="00576D56" w:rsidP="00576D56">
            <w:pPr>
              <w:spacing w:after="0" w:line="240" w:lineRule="auto"/>
              <w:rPr>
                <w:rFonts w:ascii="Times New Roman" w:hAnsi="Times New Roman" w:cs="Times New Roman"/>
                <w:b/>
                <w:bCs/>
              </w:rPr>
            </w:pPr>
            <w:r w:rsidRPr="00E47AA9">
              <w:rPr>
                <w:rFonts w:ascii="Times New Roman" w:hAnsi="Times New Roman" w:cs="Times New Roman"/>
                <w:b/>
                <w:bCs/>
              </w:rPr>
              <w:t>Всего по НП</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751CB9C1"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20 608,96</w:t>
            </w:r>
          </w:p>
        </w:tc>
        <w:tc>
          <w:tcPr>
            <w:tcW w:w="1418" w:type="dxa"/>
            <w:tcBorders>
              <w:top w:val="nil"/>
              <w:left w:val="nil"/>
              <w:bottom w:val="single" w:sz="4" w:space="0" w:color="auto"/>
              <w:right w:val="single" w:sz="4" w:space="0" w:color="auto"/>
            </w:tcBorders>
            <w:shd w:val="clear" w:color="auto" w:fill="auto"/>
            <w:noWrap/>
            <w:vAlign w:val="bottom"/>
          </w:tcPr>
          <w:p w14:paraId="6A0F2403"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19 054,63</w:t>
            </w:r>
          </w:p>
        </w:tc>
        <w:tc>
          <w:tcPr>
            <w:tcW w:w="850" w:type="dxa"/>
            <w:tcBorders>
              <w:top w:val="nil"/>
              <w:left w:val="nil"/>
              <w:bottom w:val="single" w:sz="4" w:space="0" w:color="auto"/>
              <w:right w:val="single" w:sz="4" w:space="0" w:color="auto"/>
            </w:tcBorders>
            <w:shd w:val="clear" w:color="auto" w:fill="auto"/>
            <w:noWrap/>
            <w:vAlign w:val="bottom"/>
          </w:tcPr>
          <w:p w14:paraId="61E56D84"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92,46</w:t>
            </w:r>
          </w:p>
        </w:tc>
        <w:tc>
          <w:tcPr>
            <w:tcW w:w="1844" w:type="dxa"/>
            <w:tcBorders>
              <w:top w:val="nil"/>
              <w:left w:val="nil"/>
              <w:bottom w:val="single" w:sz="4" w:space="0" w:color="auto"/>
              <w:right w:val="single" w:sz="4" w:space="0" w:color="auto"/>
            </w:tcBorders>
            <w:shd w:val="clear" w:color="auto" w:fill="auto"/>
            <w:noWrap/>
            <w:vAlign w:val="bottom"/>
          </w:tcPr>
          <w:p w14:paraId="39A74668"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1 554,33</w:t>
            </w:r>
          </w:p>
        </w:tc>
      </w:tr>
    </w:tbl>
    <w:p w14:paraId="29A0B251" w14:textId="77777777" w:rsidR="00576D56" w:rsidRPr="00CC237C" w:rsidRDefault="00576D56" w:rsidP="00576D56">
      <w:pPr>
        <w:spacing w:after="0" w:line="240" w:lineRule="auto"/>
        <w:ind w:firstLine="709"/>
        <w:jc w:val="both"/>
        <w:rPr>
          <w:rFonts w:ascii="Times New Roman" w:hAnsi="Times New Roman" w:cs="Times New Roman"/>
          <w:sz w:val="20"/>
          <w:szCs w:val="20"/>
        </w:rPr>
      </w:pPr>
    </w:p>
    <w:p w14:paraId="44C5619F" w14:textId="47D88AD3" w:rsidR="00576D56" w:rsidRPr="00E47AA9" w:rsidRDefault="00576D56" w:rsidP="00576D56">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По итогам 2024 год</w:t>
      </w:r>
      <w:r w:rsidR="00864865" w:rsidRPr="00E47AA9">
        <w:rPr>
          <w:rFonts w:ascii="Times New Roman" w:hAnsi="Times New Roman" w:cs="Times New Roman"/>
          <w:sz w:val="28"/>
          <w:szCs w:val="28"/>
        </w:rPr>
        <w:t>а</w:t>
      </w:r>
      <w:r w:rsidRPr="00E47AA9">
        <w:rPr>
          <w:rFonts w:ascii="Times New Roman" w:hAnsi="Times New Roman" w:cs="Times New Roman"/>
          <w:sz w:val="28"/>
          <w:szCs w:val="28"/>
        </w:rPr>
        <w:t xml:space="preserve"> </w:t>
      </w:r>
      <w:r w:rsidR="00975AEF">
        <w:rPr>
          <w:rFonts w:ascii="Times New Roman" w:hAnsi="Times New Roman" w:cs="Times New Roman"/>
          <w:sz w:val="28"/>
          <w:szCs w:val="28"/>
        </w:rPr>
        <w:t xml:space="preserve">превысили средний уровень исполнения расходы по 8 </w:t>
      </w:r>
      <w:r w:rsidR="00975AEF" w:rsidRPr="00E47AA9">
        <w:rPr>
          <w:rFonts w:ascii="Times New Roman" w:hAnsi="Times New Roman" w:cs="Times New Roman"/>
          <w:sz w:val="28"/>
          <w:szCs w:val="28"/>
        </w:rPr>
        <w:t>национальным проектам</w:t>
      </w:r>
      <w:r w:rsidR="00975AEF">
        <w:rPr>
          <w:rFonts w:ascii="Times New Roman" w:hAnsi="Times New Roman" w:cs="Times New Roman"/>
          <w:sz w:val="28"/>
          <w:szCs w:val="28"/>
        </w:rPr>
        <w:t>, из них</w:t>
      </w:r>
      <w:r w:rsidR="00975AEF" w:rsidRPr="00E47AA9">
        <w:rPr>
          <w:rFonts w:ascii="Times New Roman" w:hAnsi="Times New Roman" w:cs="Times New Roman"/>
          <w:sz w:val="28"/>
          <w:szCs w:val="28"/>
        </w:rPr>
        <w:t xml:space="preserve"> </w:t>
      </w:r>
      <w:r w:rsidRPr="00E47AA9">
        <w:rPr>
          <w:rFonts w:ascii="Times New Roman" w:hAnsi="Times New Roman" w:cs="Times New Roman"/>
          <w:sz w:val="28"/>
          <w:szCs w:val="28"/>
        </w:rPr>
        <w:t>по 5 процент ис</w:t>
      </w:r>
      <w:r w:rsidR="00975AEF">
        <w:rPr>
          <w:rFonts w:ascii="Times New Roman" w:hAnsi="Times New Roman" w:cs="Times New Roman"/>
          <w:sz w:val="28"/>
          <w:szCs w:val="28"/>
        </w:rPr>
        <w:t>полнения составил от 99 до 100.</w:t>
      </w:r>
      <w:r w:rsidR="00CC237C">
        <w:rPr>
          <w:rFonts w:ascii="Times New Roman" w:hAnsi="Times New Roman" w:cs="Times New Roman"/>
          <w:sz w:val="28"/>
          <w:szCs w:val="28"/>
        </w:rPr>
        <w:t xml:space="preserve"> </w:t>
      </w:r>
      <w:r w:rsidRPr="00E47AA9">
        <w:rPr>
          <w:rFonts w:ascii="Times New Roman" w:hAnsi="Times New Roman" w:cs="Times New Roman"/>
          <w:sz w:val="28"/>
          <w:szCs w:val="28"/>
        </w:rPr>
        <w:t xml:space="preserve">Расходы </w:t>
      </w:r>
      <w:r w:rsidR="00975AEF">
        <w:rPr>
          <w:rFonts w:ascii="Times New Roman" w:hAnsi="Times New Roman" w:cs="Times New Roman"/>
          <w:sz w:val="28"/>
          <w:szCs w:val="28"/>
        </w:rPr>
        <w:t>четырех</w:t>
      </w:r>
      <w:r w:rsidRPr="00E47AA9">
        <w:rPr>
          <w:rFonts w:ascii="Times New Roman" w:hAnsi="Times New Roman" w:cs="Times New Roman"/>
          <w:sz w:val="28"/>
          <w:szCs w:val="28"/>
        </w:rPr>
        <w:t xml:space="preserve"> национальных проектов исполнены на уровне ниже среднего уровня 92,46 %</w:t>
      </w:r>
      <w:r w:rsidR="00B105E6">
        <w:rPr>
          <w:rFonts w:ascii="Times New Roman" w:hAnsi="Times New Roman" w:cs="Times New Roman"/>
          <w:sz w:val="28"/>
          <w:szCs w:val="28"/>
        </w:rPr>
        <w:t xml:space="preserve">: </w:t>
      </w:r>
      <w:r w:rsidRPr="00E47AA9">
        <w:rPr>
          <w:rFonts w:ascii="Times New Roman" w:hAnsi="Times New Roman" w:cs="Times New Roman"/>
          <w:sz w:val="28"/>
          <w:szCs w:val="28"/>
        </w:rPr>
        <w:t>"Экология" (89,10 %), "Здравоохранение" (81,83 %), "Безопасные качественных дороги" (89,89 %), "Беспилотные авиационные системы" (50,00 %).</w:t>
      </w:r>
      <w:r w:rsidR="00975AEF">
        <w:rPr>
          <w:rFonts w:ascii="Times New Roman" w:hAnsi="Times New Roman" w:cs="Times New Roman"/>
          <w:sz w:val="28"/>
          <w:szCs w:val="28"/>
        </w:rPr>
        <w:t xml:space="preserve"> </w:t>
      </w:r>
    </w:p>
    <w:p w14:paraId="633EF96F" w14:textId="77777777" w:rsidR="00576D56" w:rsidRPr="00E47AA9" w:rsidRDefault="00576D56" w:rsidP="00576D56">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Плановые и фактические значения расходов в разрезе национальных проектов за 2024 год представлены на диаграмме.</w:t>
      </w:r>
    </w:p>
    <w:p w14:paraId="01F40E04" w14:textId="77777777" w:rsidR="00576D56" w:rsidRPr="00E47AA9" w:rsidRDefault="00576D56" w:rsidP="00576D56">
      <w:pPr>
        <w:spacing w:after="0" w:line="240" w:lineRule="auto"/>
        <w:ind w:left="-567"/>
        <w:jc w:val="both"/>
        <w:rPr>
          <w:rFonts w:ascii="Times New Roman" w:hAnsi="Times New Roman" w:cs="Times New Roman"/>
          <w:sz w:val="28"/>
          <w:szCs w:val="28"/>
        </w:rPr>
      </w:pPr>
      <w:r w:rsidRPr="00E47AA9">
        <w:rPr>
          <w:rFonts w:ascii="Times New Roman" w:hAnsi="Times New Roman" w:cs="Times New Roman"/>
          <w:noProof/>
          <w:lang w:eastAsia="ru-RU"/>
        </w:rPr>
        <w:drawing>
          <wp:inline distT="0" distB="0" distL="0" distR="0" wp14:anchorId="6D1E576B" wp14:editId="2C3E5C72">
            <wp:extent cx="6686550" cy="5054321"/>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ACA5825" w14:textId="77777777" w:rsidR="00576D56" w:rsidRPr="00E47AA9" w:rsidRDefault="00576D56" w:rsidP="00576D56">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lastRenderedPageBreak/>
        <w:t>В приложении 3 к заключению содержатся основные результаты мониторинга реализации мероприятий национальных проектов через региональные проекты, с указанием государственных программ Приморского края, в состав которых они включены, за 2024 год.</w:t>
      </w:r>
    </w:p>
    <w:p w14:paraId="0FA428C3" w14:textId="77777777" w:rsidR="00576D56" w:rsidRPr="00E47AA9" w:rsidRDefault="00576D56" w:rsidP="009B23E7">
      <w:pPr>
        <w:spacing w:after="0" w:line="240" w:lineRule="auto"/>
        <w:jc w:val="center"/>
        <w:rPr>
          <w:rFonts w:ascii="Times New Roman" w:eastAsia="Calibri" w:hAnsi="Times New Roman" w:cs="Times New Roman"/>
          <w:b/>
          <w:sz w:val="28"/>
          <w:szCs w:val="28"/>
        </w:rPr>
      </w:pPr>
      <w:r w:rsidRPr="00E47AA9">
        <w:rPr>
          <w:rFonts w:ascii="Times New Roman" w:eastAsia="Calibri" w:hAnsi="Times New Roman" w:cs="Times New Roman"/>
          <w:b/>
          <w:sz w:val="28"/>
          <w:szCs w:val="28"/>
        </w:rPr>
        <w:t>5.1.2. Региональные проекты, не входящие в состав национальных проектов</w:t>
      </w:r>
    </w:p>
    <w:p w14:paraId="27BC767B" w14:textId="77777777" w:rsidR="00576D56" w:rsidRPr="00E47AA9" w:rsidRDefault="00576D56" w:rsidP="00576D56">
      <w:pPr>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 xml:space="preserve">Согласно первоначальной редакции закона о краевом бюджете на 2024 год запланирована реализация мероприятий 11 региональных проектов, не входящих в состав НП (далее – РПНВ), в структуре 7 государственных программ Приморского края. Объем первоначальных расходов составил 11848,50 млн рублей. </w:t>
      </w:r>
    </w:p>
    <w:p w14:paraId="041A1960" w14:textId="77777777" w:rsidR="00576D56" w:rsidRPr="00E47AA9" w:rsidRDefault="00576D56" w:rsidP="00576D56">
      <w:pPr>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В ходе корректировок краевого бюджета объем средств увеличен на 685,23 млн рублей и в действующей редакции закона о краевом бюджете составил 12533,73 млн рублей. В результате корректировок количество РПНВ увеличилось до 12, привлеченных государственных программ Приморского края до 8 (включены расходы по РПНВ "Бизнес-спринт (Я выбираю спорт)" ГП </w:t>
      </w:r>
      <w:r w:rsidRPr="00E47AA9">
        <w:rPr>
          <w:rFonts w:ascii="Times New Roman" w:eastAsia="Times New Roman" w:hAnsi="Times New Roman" w:cs="Times New Roman"/>
          <w:bCs/>
          <w:sz w:val="28"/>
          <w:szCs w:val="28"/>
          <w:lang w:eastAsia="ru-RU"/>
        </w:rPr>
        <w:t>"Развитие физической культуры и спорта в Приморском крае").</w:t>
      </w:r>
      <w:r w:rsidRPr="00E47AA9">
        <w:rPr>
          <w:rFonts w:ascii="Times New Roman" w:eastAsia="Calibri" w:hAnsi="Times New Roman" w:cs="Times New Roman"/>
          <w:sz w:val="28"/>
          <w:szCs w:val="28"/>
        </w:rPr>
        <w:t xml:space="preserve"> </w:t>
      </w:r>
    </w:p>
    <w:p w14:paraId="784C3B0C" w14:textId="77777777" w:rsidR="00576D56" w:rsidRPr="00E47AA9" w:rsidRDefault="00576D56" w:rsidP="00576D56">
      <w:pPr>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Уточненные бюджетные назначения на реализацию РПНВ составили 11847,63 млн рублей, что на 686,10 млн рублей меньше, чем утверждено законом о бюджете.</w:t>
      </w:r>
      <w:r w:rsidRPr="00E47AA9">
        <w:rPr>
          <w:rFonts w:ascii="Times New Roman" w:eastAsia="Calibri" w:hAnsi="Times New Roman" w:cs="Times New Roman"/>
          <w:sz w:val="28"/>
          <w:szCs w:val="28"/>
        </w:rPr>
        <w:t xml:space="preserve"> </w:t>
      </w:r>
    </w:p>
    <w:tbl>
      <w:tblPr>
        <w:tblW w:w="11911" w:type="dxa"/>
        <w:tblInd w:w="-993" w:type="dxa"/>
        <w:tblLayout w:type="fixed"/>
        <w:tblLook w:val="04A0" w:firstRow="1" w:lastRow="0" w:firstColumn="1" w:lastColumn="0" w:noHBand="0" w:noVBand="1"/>
      </w:tblPr>
      <w:tblGrid>
        <w:gridCol w:w="3970"/>
        <w:gridCol w:w="709"/>
        <w:gridCol w:w="1559"/>
        <w:gridCol w:w="1559"/>
        <w:gridCol w:w="1134"/>
        <w:gridCol w:w="1560"/>
        <w:gridCol w:w="1420"/>
      </w:tblGrid>
      <w:tr w:rsidR="00E47AA9" w:rsidRPr="00E47AA9" w14:paraId="490A1014" w14:textId="77777777" w:rsidTr="009C650D">
        <w:trPr>
          <w:gridAfter w:val="1"/>
          <w:wAfter w:w="1420" w:type="dxa"/>
          <w:trHeight w:val="20"/>
          <w:tblHeader/>
        </w:trPr>
        <w:tc>
          <w:tcPr>
            <w:tcW w:w="4679" w:type="dxa"/>
            <w:gridSpan w:val="2"/>
            <w:tcBorders>
              <w:top w:val="nil"/>
              <w:left w:val="nil"/>
              <w:bottom w:val="nil"/>
              <w:right w:val="nil"/>
            </w:tcBorders>
            <w:shd w:val="clear" w:color="auto" w:fill="auto"/>
            <w:vAlign w:val="center"/>
            <w:hideMark/>
          </w:tcPr>
          <w:p w14:paraId="1F822247" w14:textId="77777777" w:rsidR="00576D56" w:rsidRPr="00E47AA9" w:rsidRDefault="00576D56" w:rsidP="00576D56">
            <w:pPr>
              <w:spacing w:after="0" w:line="240" w:lineRule="auto"/>
              <w:rPr>
                <w:rFonts w:ascii="Times New Roman" w:eastAsia="Times New Roman" w:hAnsi="Times New Roman" w:cs="Times New Roman"/>
                <w:lang w:eastAsia="ru-RU"/>
              </w:rPr>
            </w:pPr>
            <w:bookmarkStart w:id="16" w:name="RANGE!A1:I24"/>
            <w:bookmarkEnd w:id="16"/>
          </w:p>
        </w:tc>
        <w:tc>
          <w:tcPr>
            <w:tcW w:w="1559" w:type="dxa"/>
            <w:tcBorders>
              <w:top w:val="nil"/>
              <w:left w:val="nil"/>
              <w:bottom w:val="nil"/>
              <w:right w:val="nil"/>
            </w:tcBorders>
            <w:shd w:val="clear" w:color="auto" w:fill="auto"/>
            <w:noWrap/>
            <w:vAlign w:val="bottom"/>
            <w:hideMark/>
          </w:tcPr>
          <w:p w14:paraId="5E69B0AB" w14:textId="77777777" w:rsidR="00576D56" w:rsidRPr="00E47AA9" w:rsidRDefault="00576D56" w:rsidP="00576D56">
            <w:pPr>
              <w:spacing w:after="0" w:line="240" w:lineRule="auto"/>
              <w:rPr>
                <w:rFonts w:ascii="Times New Roman" w:eastAsia="Times New Roman" w:hAnsi="Times New Roman" w:cs="Times New Roman"/>
                <w:lang w:eastAsia="ru-RU"/>
              </w:rPr>
            </w:pPr>
          </w:p>
        </w:tc>
        <w:tc>
          <w:tcPr>
            <w:tcW w:w="1559" w:type="dxa"/>
            <w:tcBorders>
              <w:top w:val="nil"/>
              <w:left w:val="nil"/>
              <w:bottom w:val="nil"/>
              <w:right w:val="nil"/>
            </w:tcBorders>
            <w:shd w:val="clear" w:color="auto" w:fill="auto"/>
            <w:noWrap/>
            <w:vAlign w:val="bottom"/>
            <w:hideMark/>
          </w:tcPr>
          <w:p w14:paraId="17AB76C7" w14:textId="77777777" w:rsidR="00576D56" w:rsidRPr="00E47AA9" w:rsidRDefault="00576D56" w:rsidP="00576D56">
            <w:pPr>
              <w:spacing w:after="0" w:line="240" w:lineRule="auto"/>
              <w:rPr>
                <w:rFonts w:ascii="Times New Roman" w:eastAsia="Times New Roman" w:hAnsi="Times New Roman" w:cs="Times New Roman"/>
                <w:lang w:eastAsia="ru-RU"/>
              </w:rPr>
            </w:pPr>
          </w:p>
        </w:tc>
        <w:tc>
          <w:tcPr>
            <w:tcW w:w="1134" w:type="dxa"/>
            <w:tcBorders>
              <w:top w:val="nil"/>
              <w:left w:val="nil"/>
              <w:bottom w:val="nil"/>
              <w:right w:val="nil"/>
            </w:tcBorders>
            <w:shd w:val="clear" w:color="auto" w:fill="auto"/>
            <w:noWrap/>
            <w:vAlign w:val="bottom"/>
            <w:hideMark/>
          </w:tcPr>
          <w:p w14:paraId="27F85DED" w14:textId="77777777" w:rsidR="00576D56" w:rsidRPr="00E47AA9" w:rsidRDefault="00576D56" w:rsidP="00576D56">
            <w:pPr>
              <w:spacing w:after="0" w:line="240" w:lineRule="auto"/>
              <w:rPr>
                <w:rFonts w:ascii="Times New Roman" w:eastAsia="Times New Roman" w:hAnsi="Times New Roman" w:cs="Times New Roman"/>
                <w:lang w:eastAsia="ru-RU"/>
              </w:rPr>
            </w:pPr>
          </w:p>
        </w:tc>
        <w:tc>
          <w:tcPr>
            <w:tcW w:w="1560" w:type="dxa"/>
            <w:tcBorders>
              <w:top w:val="nil"/>
              <w:left w:val="nil"/>
              <w:bottom w:val="nil"/>
              <w:right w:val="nil"/>
            </w:tcBorders>
            <w:shd w:val="clear" w:color="auto" w:fill="auto"/>
            <w:noWrap/>
            <w:vAlign w:val="bottom"/>
            <w:hideMark/>
          </w:tcPr>
          <w:p w14:paraId="7E381852" w14:textId="77777777" w:rsidR="00576D56" w:rsidRPr="00E47AA9" w:rsidRDefault="00576D56" w:rsidP="00576D56">
            <w:pPr>
              <w:spacing w:after="0" w:line="240" w:lineRule="auto"/>
              <w:jc w:val="right"/>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4"/>
                <w:szCs w:val="24"/>
                <w:lang w:eastAsia="ru-RU"/>
              </w:rPr>
              <w:t>(млн рублей)</w:t>
            </w:r>
          </w:p>
        </w:tc>
      </w:tr>
      <w:tr w:rsidR="00E47AA9" w:rsidRPr="00E47AA9" w14:paraId="6AC6E1F2" w14:textId="77777777" w:rsidTr="009C650D">
        <w:trPr>
          <w:gridAfter w:val="1"/>
          <w:wAfter w:w="1420" w:type="dxa"/>
          <w:trHeight w:val="20"/>
          <w:tblHeader/>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7A6B6" w14:textId="77777777" w:rsidR="00576D56" w:rsidRPr="00E47AA9" w:rsidRDefault="00576D56" w:rsidP="00576D56">
            <w:pPr>
              <w:spacing w:before="120" w:after="12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Наименование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6346A0" w14:textId="77777777" w:rsidR="00576D56" w:rsidRPr="00E47AA9" w:rsidRDefault="00576D56" w:rsidP="00576D56">
            <w:pPr>
              <w:spacing w:before="120" w:after="12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Код ГРБС</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90592" w14:textId="77777777" w:rsidR="00576D56" w:rsidRPr="00E47AA9" w:rsidRDefault="00576D56" w:rsidP="00576D56">
            <w:pPr>
              <w:spacing w:before="120" w:after="12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79AA4" w14:textId="77777777" w:rsidR="00576D56" w:rsidRPr="00E47AA9" w:rsidRDefault="00576D56" w:rsidP="00576D56">
            <w:pPr>
              <w:spacing w:before="120" w:after="12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745D51" w14:textId="77777777" w:rsidR="00576D56" w:rsidRPr="00E47AA9" w:rsidRDefault="00576D56" w:rsidP="00576D56">
            <w:pPr>
              <w:spacing w:before="120" w:after="12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2CE12B" w14:textId="77777777" w:rsidR="00576D56" w:rsidRPr="00E47AA9" w:rsidRDefault="00576D56" w:rsidP="009C650D">
            <w:pPr>
              <w:spacing w:before="120" w:after="120" w:line="240" w:lineRule="auto"/>
              <w:ind w:left="-108"/>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Неисполненные бюджетные назначения</w:t>
            </w:r>
          </w:p>
        </w:tc>
      </w:tr>
      <w:tr w:rsidR="00E47AA9" w:rsidRPr="00E47AA9" w14:paraId="7A0ACDD9" w14:textId="77777777" w:rsidTr="009C650D">
        <w:trPr>
          <w:gridAfter w:val="1"/>
          <w:wAfter w:w="1420" w:type="dxa"/>
          <w:trHeight w:val="20"/>
        </w:trPr>
        <w:tc>
          <w:tcPr>
            <w:tcW w:w="3970" w:type="dxa"/>
            <w:tcBorders>
              <w:top w:val="single" w:sz="4" w:space="0" w:color="auto"/>
              <w:left w:val="single" w:sz="4" w:space="0" w:color="auto"/>
              <w:bottom w:val="single" w:sz="4" w:space="0" w:color="auto"/>
              <w:right w:val="single" w:sz="4" w:space="0" w:color="auto"/>
            </w:tcBorders>
            <w:shd w:val="clear" w:color="000000" w:fill="DDEBF7"/>
            <w:vAlign w:val="bottom"/>
          </w:tcPr>
          <w:p w14:paraId="6AD6EB03" w14:textId="77777777" w:rsidR="00576D56" w:rsidRPr="00E47AA9" w:rsidRDefault="00576D56" w:rsidP="00576D56">
            <w:pPr>
              <w:spacing w:after="0" w:line="240" w:lineRule="auto"/>
              <w:rPr>
                <w:rFonts w:ascii="Times New Roman" w:hAnsi="Times New Roman" w:cs="Times New Roman"/>
                <w:b/>
                <w:bCs/>
              </w:rPr>
            </w:pPr>
            <w:r w:rsidRPr="00E47AA9">
              <w:rPr>
                <w:rFonts w:ascii="Times New Roman" w:hAnsi="Times New Roman" w:cs="Times New Roman"/>
                <w:b/>
                <w:bCs/>
              </w:rPr>
              <w:t>ГП "Развитие образования Приморского края"</w:t>
            </w:r>
          </w:p>
        </w:tc>
        <w:tc>
          <w:tcPr>
            <w:tcW w:w="709" w:type="dxa"/>
            <w:tcBorders>
              <w:top w:val="single" w:sz="4" w:space="0" w:color="auto"/>
              <w:left w:val="single" w:sz="4" w:space="0" w:color="auto"/>
              <w:bottom w:val="single" w:sz="4" w:space="0" w:color="auto"/>
              <w:right w:val="single" w:sz="4" w:space="0" w:color="auto"/>
            </w:tcBorders>
            <w:shd w:val="clear" w:color="000000" w:fill="DDEBF7"/>
            <w:vAlign w:val="bottom"/>
          </w:tcPr>
          <w:p w14:paraId="5202B3B8"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 </w:t>
            </w: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4CB58DC2"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403,87</w:t>
            </w: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6C0C253D"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402,62</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28FD863B"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99,69</w:t>
            </w:r>
          </w:p>
        </w:tc>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21133CA8"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1,25</w:t>
            </w:r>
          </w:p>
        </w:tc>
      </w:tr>
      <w:tr w:rsidR="00E47AA9" w:rsidRPr="00E47AA9" w14:paraId="044AEC2B"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auto" w:fill="auto"/>
            <w:vAlign w:val="bottom"/>
          </w:tcPr>
          <w:p w14:paraId="0B87EF5A" w14:textId="77777777" w:rsidR="00576D56" w:rsidRPr="00E47AA9" w:rsidRDefault="00576D56" w:rsidP="00576D56">
            <w:pPr>
              <w:spacing w:after="0"/>
              <w:rPr>
                <w:rFonts w:ascii="Times New Roman" w:hAnsi="Times New Roman" w:cs="Times New Roman"/>
              </w:rPr>
            </w:pPr>
            <w:r w:rsidRPr="00E47AA9">
              <w:rPr>
                <w:rFonts w:ascii="Times New Roman" w:hAnsi="Times New Roman" w:cs="Times New Roman"/>
              </w:rPr>
              <w:t>Региональный проект "Модернизация школьных систем образования в Приморском крае"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78F60A5C" w14:textId="77777777" w:rsidR="00576D56" w:rsidRPr="00E47AA9" w:rsidRDefault="00576D56" w:rsidP="00576D56">
            <w:pPr>
              <w:spacing w:after="0" w:line="240" w:lineRule="auto"/>
              <w:jc w:val="center"/>
              <w:rPr>
                <w:rFonts w:ascii="Times New Roman" w:hAnsi="Times New Roman" w:cs="Times New Roman"/>
                <w:sz w:val="20"/>
                <w:szCs w:val="20"/>
              </w:rPr>
            </w:pPr>
            <w:r w:rsidRPr="00E47AA9">
              <w:rPr>
                <w:rFonts w:ascii="Times New Roman" w:hAnsi="Times New Roman" w:cs="Times New Roman"/>
                <w:sz w:val="20"/>
                <w:szCs w:val="20"/>
              </w:rPr>
              <w:t>759</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F8743E"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403,87</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03C14"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402,62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5D7EAA"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99,69</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D130D3"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1,25</w:t>
            </w:r>
          </w:p>
        </w:tc>
      </w:tr>
      <w:tr w:rsidR="00E47AA9" w:rsidRPr="00E47AA9" w14:paraId="1CD43AFA"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000000" w:fill="DDEBF7"/>
            <w:vAlign w:val="bottom"/>
          </w:tcPr>
          <w:p w14:paraId="4952D51C" w14:textId="77777777" w:rsidR="00576D56" w:rsidRPr="00E47AA9" w:rsidRDefault="00576D56" w:rsidP="00576D56">
            <w:pPr>
              <w:spacing w:after="0"/>
              <w:rPr>
                <w:rFonts w:ascii="Times New Roman" w:hAnsi="Times New Roman" w:cs="Times New Roman"/>
                <w:b/>
                <w:bCs/>
              </w:rPr>
            </w:pPr>
            <w:r w:rsidRPr="00E47AA9">
              <w:rPr>
                <w:rFonts w:ascii="Times New Roman" w:hAnsi="Times New Roman" w:cs="Times New Roman"/>
                <w:b/>
                <w:bCs/>
              </w:rPr>
              <w:t>ГП "Социальная поддержка населения Приморского края"</w:t>
            </w:r>
          </w:p>
        </w:tc>
        <w:tc>
          <w:tcPr>
            <w:tcW w:w="709" w:type="dxa"/>
            <w:tcBorders>
              <w:top w:val="single" w:sz="4" w:space="0" w:color="auto"/>
              <w:left w:val="single" w:sz="4" w:space="0" w:color="auto"/>
              <w:bottom w:val="single" w:sz="4" w:space="0" w:color="auto"/>
              <w:right w:val="single" w:sz="4" w:space="0" w:color="auto"/>
            </w:tcBorders>
            <w:shd w:val="clear" w:color="000000" w:fill="DDEBF7"/>
            <w:vAlign w:val="bottom"/>
          </w:tcPr>
          <w:p w14:paraId="09C66273" w14:textId="77777777" w:rsidR="00576D56" w:rsidRPr="00E47AA9" w:rsidRDefault="00576D56" w:rsidP="00576D56">
            <w:pPr>
              <w:spacing w:after="0" w:line="240" w:lineRule="auto"/>
              <w:jc w:val="center"/>
              <w:rPr>
                <w:rFonts w:ascii="Times New Roman" w:hAnsi="Times New Roman" w:cs="Times New Roman"/>
                <w:b/>
                <w:bCs/>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1ABB9000"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5 765,61</w:t>
            </w: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289008A6"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5 764,81</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38A88812"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99,99</w:t>
            </w:r>
          </w:p>
        </w:tc>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3478E41F"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0,80</w:t>
            </w:r>
          </w:p>
        </w:tc>
      </w:tr>
      <w:tr w:rsidR="00E47AA9" w:rsidRPr="00E47AA9" w14:paraId="0A488361"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auto" w:fill="auto"/>
            <w:vAlign w:val="bottom"/>
          </w:tcPr>
          <w:p w14:paraId="14E747C3" w14:textId="77777777" w:rsidR="00576D56" w:rsidRPr="00E47AA9" w:rsidRDefault="00576D56" w:rsidP="00576D56">
            <w:pPr>
              <w:spacing w:after="0"/>
              <w:rPr>
                <w:rFonts w:ascii="Times New Roman" w:hAnsi="Times New Roman" w:cs="Times New Roman"/>
              </w:rPr>
            </w:pPr>
            <w:r w:rsidRPr="00E47AA9">
              <w:rPr>
                <w:rFonts w:ascii="Times New Roman" w:hAnsi="Times New Roman" w:cs="Times New Roman"/>
              </w:rPr>
              <w:t>Региональный проект "Репродуктивное здоровье"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07B8CD80" w14:textId="77777777" w:rsidR="00576D56" w:rsidRPr="00E47AA9" w:rsidRDefault="00576D56" w:rsidP="00576D56">
            <w:pPr>
              <w:spacing w:after="0" w:line="240" w:lineRule="auto"/>
              <w:jc w:val="center"/>
              <w:rPr>
                <w:rFonts w:ascii="Times New Roman" w:hAnsi="Times New Roman" w:cs="Times New Roman"/>
                <w:sz w:val="20"/>
                <w:szCs w:val="20"/>
              </w:rPr>
            </w:pPr>
            <w:r w:rsidRPr="00E47AA9">
              <w:rPr>
                <w:rFonts w:ascii="Times New Roman" w:hAnsi="Times New Roman" w:cs="Times New Roman"/>
                <w:sz w:val="20"/>
                <w:szCs w:val="20"/>
              </w:rPr>
              <w:t>760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B049D1"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716,01</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0CB81C"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715,45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FFD433"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99,92</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7C940D"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0,55</w:t>
            </w:r>
          </w:p>
        </w:tc>
      </w:tr>
      <w:tr w:rsidR="00E47AA9" w:rsidRPr="00E47AA9" w14:paraId="53B9ADC1"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auto" w:fill="auto"/>
            <w:vAlign w:val="bottom"/>
          </w:tcPr>
          <w:p w14:paraId="1AE4CCC0" w14:textId="77777777" w:rsidR="00576D56" w:rsidRPr="00E47AA9" w:rsidRDefault="00576D56" w:rsidP="00576D56">
            <w:pPr>
              <w:spacing w:after="0"/>
              <w:rPr>
                <w:rFonts w:ascii="Times New Roman" w:hAnsi="Times New Roman" w:cs="Times New Roman"/>
              </w:rPr>
            </w:pPr>
            <w:r w:rsidRPr="00E47AA9">
              <w:rPr>
                <w:rFonts w:ascii="Times New Roman" w:hAnsi="Times New Roman" w:cs="Times New Roman"/>
              </w:rPr>
              <w:t>Региональный проект "Реализация адресной социальной поддержки отдельным категориям граждан"</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568F912E" w14:textId="77777777" w:rsidR="00576D56" w:rsidRPr="00E47AA9" w:rsidRDefault="00576D56" w:rsidP="00576D56">
            <w:pPr>
              <w:spacing w:after="0" w:line="240" w:lineRule="auto"/>
              <w:jc w:val="center"/>
              <w:rPr>
                <w:rFonts w:ascii="Times New Roman" w:hAnsi="Times New Roman" w:cs="Times New Roman"/>
                <w:sz w:val="20"/>
                <w:szCs w:val="20"/>
              </w:rPr>
            </w:pPr>
            <w:r w:rsidRPr="00E47AA9">
              <w:rPr>
                <w:rFonts w:ascii="Times New Roman" w:hAnsi="Times New Roman" w:cs="Times New Roman"/>
                <w:sz w:val="20"/>
                <w:szCs w:val="20"/>
              </w:rPr>
              <w:t>760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C16AB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5 049,60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283352"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5 049,36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458AC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100,00</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EA0B20"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0,25</w:t>
            </w:r>
          </w:p>
        </w:tc>
      </w:tr>
      <w:tr w:rsidR="00E47AA9" w:rsidRPr="00E47AA9" w14:paraId="280326A2"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000000" w:fill="DDEBF7"/>
            <w:vAlign w:val="bottom"/>
          </w:tcPr>
          <w:p w14:paraId="154BAADE" w14:textId="77777777" w:rsidR="00576D56" w:rsidRPr="00E47AA9" w:rsidRDefault="00576D56" w:rsidP="00576D56">
            <w:pPr>
              <w:spacing w:after="0"/>
              <w:rPr>
                <w:rFonts w:ascii="Times New Roman" w:hAnsi="Times New Roman" w:cs="Times New Roman"/>
                <w:b/>
                <w:bCs/>
              </w:rPr>
            </w:pPr>
            <w:r w:rsidRPr="00E47AA9">
              <w:rPr>
                <w:rFonts w:ascii="Times New Roman" w:hAnsi="Times New Roman" w:cs="Times New Roman"/>
                <w:b/>
                <w:bCs/>
              </w:rPr>
              <w:t>ГП "Охрана окружающей среды"</w:t>
            </w:r>
          </w:p>
        </w:tc>
        <w:tc>
          <w:tcPr>
            <w:tcW w:w="709" w:type="dxa"/>
            <w:tcBorders>
              <w:top w:val="single" w:sz="4" w:space="0" w:color="auto"/>
              <w:left w:val="single" w:sz="4" w:space="0" w:color="auto"/>
              <w:bottom w:val="single" w:sz="4" w:space="0" w:color="auto"/>
              <w:right w:val="single" w:sz="4" w:space="0" w:color="auto"/>
            </w:tcBorders>
            <w:shd w:val="clear" w:color="000000" w:fill="DDEBF7"/>
            <w:vAlign w:val="bottom"/>
          </w:tcPr>
          <w:p w14:paraId="12E6D3C1" w14:textId="77777777" w:rsidR="00576D56" w:rsidRPr="00E47AA9" w:rsidRDefault="00576D56" w:rsidP="00576D56">
            <w:pPr>
              <w:spacing w:after="0" w:line="240" w:lineRule="auto"/>
              <w:jc w:val="center"/>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3C564311"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503,03</w:t>
            </w: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5457C69B"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377,50</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466B0392"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75,04</w:t>
            </w:r>
          </w:p>
        </w:tc>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1274DB06"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125,53</w:t>
            </w:r>
          </w:p>
        </w:tc>
      </w:tr>
      <w:tr w:rsidR="00E47AA9" w:rsidRPr="00E47AA9" w14:paraId="6D171E43"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auto" w:fill="auto"/>
            <w:vAlign w:val="bottom"/>
          </w:tcPr>
          <w:p w14:paraId="1BEDEA33" w14:textId="77777777" w:rsidR="00576D56" w:rsidRPr="00E47AA9" w:rsidRDefault="00576D56" w:rsidP="00576D56">
            <w:pPr>
              <w:spacing w:after="0"/>
              <w:rPr>
                <w:rFonts w:ascii="Times New Roman" w:hAnsi="Times New Roman" w:cs="Times New Roman"/>
              </w:rPr>
            </w:pPr>
            <w:r w:rsidRPr="00E47AA9">
              <w:rPr>
                <w:rFonts w:ascii="Times New Roman" w:hAnsi="Times New Roman" w:cs="Times New Roman"/>
              </w:rPr>
              <w:t>Региональный проект "Генеральная уборка (Приморский край)"</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113E55BC" w14:textId="77777777" w:rsidR="00576D56" w:rsidRPr="00E47AA9" w:rsidRDefault="00576D56" w:rsidP="00576D56">
            <w:pPr>
              <w:spacing w:after="0" w:line="240" w:lineRule="auto"/>
              <w:jc w:val="center"/>
              <w:rPr>
                <w:rFonts w:ascii="Times New Roman" w:hAnsi="Times New Roman" w:cs="Times New Roman"/>
                <w:sz w:val="20"/>
                <w:szCs w:val="20"/>
              </w:rPr>
            </w:pPr>
            <w:r w:rsidRPr="00E47AA9">
              <w:rPr>
                <w:rFonts w:ascii="Times New Roman" w:hAnsi="Times New Roman" w:cs="Times New Roman"/>
                <w:sz w:val="20"/>
                <w:szCs w:val="20"/>
              </w:rPr>
              <w:t>754</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BD16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110,00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4D60E5"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77,91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8AEA0F"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70,83</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423C7C"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32,09</w:t>
            </w:r>
          </w:p>
        </w:tc>
      </w:tr>
      <w:tr w:rsidR="00E47AA9" w:rsidRPr="00E47AA9" w14:paraId="49B8A6CF"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auto" w:fill="auto"/>
            <w:vAlign w:val="bottom"/>
          </w:tcPr>
          <w:p w14:paraId="2AF0D98A" w14:textId="77777777" w:rsidR="00576D56" w:rsidRPr="00E47AA9" w:rsidRDefault="00576D56" w:rsidP="00576D56">
            <w:pPr>
              <w:spacing w:after="0"/>
              <w:rPr>
                <w:rFonts w:ascii="Times New Roman" w:hAnsi="Times New Roman" w:cs="Times New Roman"/>
              </w:rPr>
            </w:pPr>
            <w:r w:rsidRPr="00E47AA9">
              <w:rPr>
                <w:rFonts w:ascii="Times New Roman" w:hAnsi="Times New Roman" w:cs="Times New Roman"/>
              </w:rPr>
              <w:t>Региональный проект "Защита от наводнений и иных негативных воздействий вод и обеспечения безопасности гидротехнических сооружений (Приморский край)"</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74D65DDE" w14:textId="77777777" w:rsidR="00576D56" w:rsidRPr="00E47AA9" w:rsidRDefault="00576D56" w:rsidP="00576D56">
            <w:pPr>
              <w:spacing w:after="0" w:line="240" w:lineRule="auto"/>
              <w:jc w:val="center"/>
              <w:rPr>
                <w:rFonts w:ascii="Times New Roman" w:hAnsi="Times New Roman" w:cs="Times New Roman"/>
                <w:sz w:val="20"/>
                <w:szCs w:val="20"/>
              </w:rPr>
            </w:pPr>
            <w:r w:rsidRPr="00E47AA9">
              <w:rPr>
                <w:rFonts w:ascii="Times New Roman" w:hAnsi="Times New Roman" w:cs="Times New Roman"/>
                <w:sz w:val="20"/>
                <w:szCs w:val="20"/>
              </w:rPr>
              <w:t>775, 812</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DC0C93"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393,03</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B5837"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299,59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D416A4"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76,22</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755131"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93,44</w:t>
            </w:r>
          </w:p>
        </w:tc>
      </w:tr>
      <w:tr w:rsidR="00E47AA9" w:rsidRPr="00E47AA9" w14:paraId="6AB94D6C"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000000" w:fill="DDEBF7"/>
            <w:vAlign w:val="bottom"/>
          </w:tcPr>
          <w:p w14:paraId="4BE41D27" w14:textId="77777777" w:rsidR="00576D56" w:rsidRPr="00E47AA9" w:rsidRDefault="00576D56" w:rsidP="00576D56">
            <w:pPr>
              <w:spacing w:after="0"/>
              <w:rPr>
                <w:rFonts w:ascii="Times New Roman" w:hAnsi="Times New Roman" w:cs="Times New Roman"/>
                <w:b/>
                <w:bCs/>
              </w:rPr>
            </w:pPr>
            <w:r w:rsidRPr="00E47AA9">
              <w:rPr>
                <w:rFonts w:ascii="Times New Roman" w:hAnsi="Times New Roman" w:cs="Times New Roman"/>
                <w:b/>
                <w:bCs/>
              </w:rPr>
              <w:t>ГП "Развитие физический культуры и спорта Приморского края"</w:t>
            </w:r>
          </w:p>
        </w:tc>
        <w:tc>
          <w:tcPr>
            <w:tcW w:w="709" w:type="dxa"/>
            <w:tcBorders>
              <w:top w:val="single" w:sz="4" w:space="0" w:color="auto"/>
              <w:left w:val="single" w:sz="4" w:space="0" w:color="auto"/>
              <w:bottom w:val="single" w:sz="4" w:space="0" w:color="auto"/>
              <w:right w:val="single" w:sz="4" w:space="0" w:color="auto"/>
            </w:tcBorders>
            <w:shd w:val="clear" w:color="000000" w:fill="DDEBF7"/>
            <w:vAlign w:val="bottom"/>
          </w:tcPr>
          <w:p w14:paraId="093F45BA" w14:textId="77777777" w:rsidR="00576D56" w:rsidRPr="00E47AA9" w:rsidRDefault="00576D56" w:rsidP="00576D56">
            <w:pPr>
              <w:spacing w:after="0" w:line="240" w:lineRule="auto"/>
              <w:jc w:val="center"/>
              <w:rPr>
                <w:rFonts w:ascii="Times New Roman" w:hAnsi="Times New Roman" w:cs="Times New Roman"/>
                <w:b/>
                <w:bCs/>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5B629AE7"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66,26</w:t>
            </w: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70DD81CE"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30,18</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7CC9BFA2"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45,55</w:t>
            </w:r>
          </w:p>
        </w:tc>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62C9972C"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36,08</w:t>
            </w:r>
          </w:p>
        </w:tc>
      </w:tr>
      <w:tr w:rsidR="00E47AA9" w:rsidRPr="00E47AA9" w14:paraId="58FDE644"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auto" w:fill="auto"/>
            <w:vAlign w:val="bottom"/>
          </w:tcPr>
          <w:p w14:paraId="61DC0B4A" w14:textId="77777777" w:rsidR="00576D56" w:rsidRPr="00E47AA9" w:rsidRDefault="00576D56" w:rsidP="00576D56">
            <w:pPr>
              <w:spacing w:after="0"/>
              <w:rPr>
                <w:rFonts w:ascii="Times New Roman" w:hAnsi="Times New Roman" w:cs="Times New Roman"/>
              </w:rPr>
            </w:pPr>
            <w:r w:rsidRPr="00E47AA9">
              <w:rPr>
                <w:rFonts w:ascii="Times New Roman" w:hAnsi="Times New Roman" w:cs="Times New Roman"/>
              </w:rPr>
              <w:lastRenderedPageBreak/>
              <w:t>Региональный проект "Бизнес-спринт (Я выбираю спорт)"</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51A9F4AB" w14:textId="77777777" w:rsidR="00576D56" w:rsidRPr="00E47AA9" w:rsidRDefault="00576D56" w:rsidP="00576D56">
            <w:pPr>
              <w:spacing w:after="0" w:line="240" w:lineRule="auto"/>
              <w:jc w:val="center"/>
              <w:rPr>
                <w:rFonts w:ascii="Times New Roman" w:hAnsi="Times New Roman" w:cs="Times New Roman"/>
                <w:sz w:val="20"/>
                <w:szCs w:val="20"/>
              </w:rPr>
            </w:pPr>
            <w:r w:rsidRPr="00E47AA9">
              <w:rPr>
                <w:rFonts w:ascii="Times New Roman" w:hAnsi="Times New Roman" w:cs="Times New Roman"/>
                <w:sz w:val="20"/>
                <w:szCs w:val="20"/>
              </w:rPr>
              <w:t>764</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1C155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66,26</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6BA6E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30,18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EF1F9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45,55</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9C087A"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36,08</w:t>
            </w:r>
          </w:p>
        </w:tc>
      </w:tr>
      <w:tr w:rsidR="00E47AA9" w:rsidRPr="00E47AA9" w14:paraId="3F151B9A"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000000" w:fill="DDEBF7"/>
            <w:vAlign w:val="bottom"/>
          </w:tcPr>
          <w:p w14:paraId="1F77B684" w14:textId="77777777" w:rsidR="00576D56" w:rsidRPr="00E47AA9" w:rsidRDefault="00576D56" w:rsidP="00576D56">
            <w:pPr>
              <w:spacing w:after="0"/>
              <w:rPr>
                <w:rFonts w:ascii="Times New Roman" w:hAnsi="Times New Roman" w:cs="Times New Roman"/>
                <w:b/>
                <w:bCs/>
              </w:rPr>
            </w:pPr>
            <w:r w:rsidRPr="00E47AA9">
              <w:rPr>
                <w:rFonts w:ascii="Times New Roman" w:hAnsi="Times New Roman" w:cs="Times New Roman"/>
                <w:b/>
                <w:bCs/>
              </w:rPr>
              <w:t>ГП "Развитие транспортного комплекса Приморского края"</w:t>
            </w:r>
          </w:p>
        </w:tc>
        <w:tc>
          <w:tcPr>
            <w:tcW w:w="709" w:type="dxa"/>
            <w:tcBorders>
              <w:top w:val="single" w:sz="4" w:space="0" w:color="auto"/>
              <w:left w:val="single" w:sz="4" w:space="0" w:color="auto"/>
              <w:bottom w:val="single" w:sz="4" w:space="0" w:color="auto"/>
              <w:right w:val="single" w:sz="4" w:space="0" w:color="auto"/>
            </w:tcBorders>
            <w:shd w:val="clear" w:color="000000" w:fill="DDEBF7"/>
            <w:vAlign w:val="bottom"/>
          </w:tcPr>
          <w:p w14:paraId="4EA1AA70" w14:textId="77777777" w:rsidR="00576D56" w:rsidRPr="00E47AA9" w:rsidRDefault="00576D56" w:rsidP="00576D56">
            <w:pPr>
              <w:spacing w:after="0" w:line="240" w:lineRule="auto"/>
              <w:jc w:val="center"/>
              <w:rPr>
                <w:rFonts w:ascii="Times New Roman" w:hAnsi="Times New Roman" w:cs="Times New Roman"/>
                <w:b/>
                <w:bCs/>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2B146547"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2 790,69</w:t>
            </w: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487E1F6C"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1 987,40</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298848C7"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71,22</w:t>
            </w:r>
          </w:p>
        </w:tc>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6C5CCC43"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803,29</w:t>
            </w:r>
          </w:p>
        </w:tc>
      </w:tr>
      <w:tr w:rsidR="00E47AA9" w:rsidRPr="00E47AA9" w14:paraId="1EC510D8"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auto" w:fill="auto"/>
            <w:vAlign w:val="bottom"/>
          </w:tcPr>
          <w:p w14:paraId="27D0C720" w14:textId="77777777" w:rsidR="00576D56" w:rsidRPr="00E47AA9" w:rsidRDefault="00576D56" w:rsidP="00576D56">
            <w:pPr>
              <w:spacing w:after="0"/>
              <w:rPr>
                <w:rFonts w:ascii="Times New Roman" w:hAnsi="Times New Roman" w:cs="Times New Roman"/>
              </w:rPr>
            </w:pPr>
            <w:r w:rsidRPr="00E47AA9">
              <w:rPr>
                <w:rFonts w:ascii="Times New Roman" w:hAnsi="Times New Roman" w:cs="Times New Roman"/>
              </w:rPr>
              <w:t>Региональный проект "Содействие развитию автомобильных дорог регионального, межмуниципального и местного значения (Приморский край)"</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0F73EAD9" w14:textId="77777777" w:rsidR="00576D56" w:rsidRPr="00E47AA9" w:rsidRDefault="00576D56" w:rsidP="00576D56">
            <w:pPr>
              <w:spacing w:after="0" w:line="240" w:lineRule="auto"/>
              <w:jc w:val="center"/>
              <w:rPr>
                <w:rFonts w:ascii="Times New Roman" w:hAnsi="Times New Roman" w:cs="Times New Roman"/>
                <w:sz w:val="20"/>
                <w:szCs w:val="20"/>
              </w:rPr>
            </w:pPr>
            <w:r w:rsidRPr="00E47AA9">
              <w:rPr>
                <w:rFonts w:ascii="Times New Roman" w:hAnsi="Times New Roman" w:cs="Times New Roman"/>
                <w:sz w:val="20"/>
                <w:szCs w:val="20"/>
              </w:rPr>
              <w:t>754</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05409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2 790,69</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8C2F81"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1 987,40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0766DF"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71,22</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0227FD"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803,29</w:t>
            </w:r>
          </w:p>
        </w:tc>
      </w:tr>
      <w:tr w:rsidR="00E47AA9" w:rsidRPr="00E47AA9" w14:paraId="0B310ED3"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000000" w:fill="DDEBF7"/>
            <w:vAlign w:val="bottom"/>
          </w:tcPr>
          <w:p w14:paraId="0923F295" w14:textId="77777777" w:rsidR="00576D56" w:rsidRPr="00E47AA9" w:rsidRDefault="00576D56" w:rsidP="00576D56">
            <w:pPr>
              <w:spacing w:after="0"/>
              <w:rPr>
                <w:rFonts w:ascii="Times New Roman" w:hAnsi="Times New Roman" w:cs="Times New Roman"/>
                <w:b/>
                <w:bCs/>
              </w:rPr>
            </w:pPr>
            <w:r w:rsidRPr="00E47AA9">
              <w:rPr>
                <w:rFonts w:ascii="Times New Roman" w:hAnsi="Times New Roman" w:cs="Times New Roman"/>
                <w:b/>
                <w:bCs/>
              </w:rPr>
              <w:t>ГП "Развитие сельского хозяйства и регулирование рынков сельскохозяйственной продукции, сырья и продовольствия"</w:t>
            </w:r>
          </w:p>
        </w:tc>
        <w:tc>
          <w:tcPr>
            <w:tcW w:w="709" w:type="dxa"/>
            <w:tcBorders>
              <w:top w:val="single" w:sz="4" w:space="0" w:color="auto"/>
              <w:left w:val="single" w:sz="4" w:space="0" w:color="auto"/>
              <w:bottom w:val="single" w:sz="4" w:space="0" w:color="auto"/>
              <w:right w:val="single" w:sz="4" w:space="0" w:color="auto"/>
            </w:tcBorders>
            <w:shd w:val="clear" w:color="000000" w:fill="DDEBF7"/>
            <w:vAlign w:val="bottom"/>
          </w:tcPr>
          <w:p w14:paraId="431DF5E0" w14:textId="77777777" w:rsidR="00576D56" w:rsidRPr="00E47AA9" w:rsidRDefault="00576D56" w:rsidP="00576D56">
            <w:pPr>
              <w:spacing w:after="0" w:line="240" w:lineRule="auto"/>
              <w:jc w:val="center"/>
              <w:rPr>
                <w:rFonts w:ascii="Times New Roman" w:hAnsi="Times New Roman" w:cs="Times New Roman"/>
                <w:b/>
                <w:bCs/>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6F6E719B"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1 061,20</w:t>
            </w: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7B094256"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1 048,41</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2D42E756"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98,79</w:t>
            </w:r>
          </w:p>
        </w:tc>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7AB19F16"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12,79</w:t>
            </w:r>
          </w:p>
        </w:tc>
      </w:tr>
      <w:tr w:rsidR="00E47AA9" w:rsidRPr="00E47AA9" w14:paraId="2EFC271F"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auto" w:fill="auto"/>
            <w:vAlign w:val="bottom"/>
          </w:tcPr>
          <w:p w14:paraId="741263A1" w14:textId="77777777" w:rsidR="00576D56" w:rsidRPr="00E47AA9" w:rsidRDefault="00576D56" w:rsidP="00576D56">
            <w:pPr>
              <w:spacing w:after="0"/>
              <w:rPr>
                <w:rFonts w:ascii="Times New Roman" w:hAnsi="Times New Roman" w:cs="Times New Roman"/>
              </w:rPr>
            </w:pPr>
            <w:r w:rsidRPr="00E47AA9">
              <w:rPr>
                <w:rFonts w:ascii="Times New Roman" w:hAnsi="Times New Roman" w:cs="Times New Roman"/>
              </w:rPr>
              <w:t>Региональный проект "Комплексное развитие сельских территорий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0085136D" w14:textId="77777777" w:rsidR="00576D56" w:rsidRPr="00E47AA9" w:rsidRDefault="00576D56" w:rsidP="00576D56">
            <w:pPr>
              <w:spacing w:after="0" w:line="240" w:lineRule="auto"/>
              <w:jc w:val="center"/>
              <w:rPr>
                <w:rFonts w:ascii="Times New Roman" w:hAnsi="Times New Roman" w:cs="Times New Roman"/>
                <w:sz w:val="20"/>
                <w:szCs w:val="20"/>
              </w:rPr>
            </w:pPr>
            <w:r w:rsidRPr="00E47AA9">
              <w:rPr>
                <w:rFonts w:ascii="Times New Roman" w:hAnsi="Times New Roman" w:cs="Times New Roman"/>
                <w:sz w:val="20"/>
                <w:szCs w:val="20"/>
              </w:rPr>
              <w:t>758, 759, 768, 775, 806</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6DA7F"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387,33</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38FFD3"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385,86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BAFDC8"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99,62</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A6C5BA"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1,48</w:t>
            </w:r>
          </w:p>
        </w:tc>
      </w:tr>
      <w:tr w:rsidR="00E47AA9" w:rsidRPr="00E47AA9" w14:paraId="7B41883C"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auto" w:fill="auto"/>
            <w:vAlign w:val="bottom"/>
          </w:tcPr>
          <w:p w14:paraId="1A758CBB" w14:textId="77777777" w:rsidR="00576D56" w:rsidRPr="00E47AA9" w:rsidRDefault="00576D56" w:rsidP="00576D56">
            <w:pPr>
              <w:spacing w:after="0"/>
              <w:rPr>
                <w:rFonts w:ascii="Times New Roman" w:hAnsi="Times New Roman" w:cs="Times New Roman"/>
              </w:rPr>
            </w:pPr>
            <w:r w:rsidRPr="00E47AA9">
              <w:rPr>
                <w:rFonts w:ascii="Times New Roman" w:hAnsi="Times New Roman" w:cs="Times New Roman"/>
              </w:rPr>
              <w:t>Региональный проект "Развитие отраслей агропромышленного комплекса и стимулирование инвестиционной деятельности"</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2AA4ABD1" w14:textId="77777777" w:rsidR="00576D56" w:rsidRPr="00E47AA9" w:rsidRDefault="00576D56" w:rsidP="00576D56">
            <w:pPr>
              <w:spacing w:after="0" w:line="240" w:lineRule="auto"/>
              <w:jc w:val="center"/>
              <w:rPr>
                <w:rFonts w:ascii="Times New Roman" w:hAnsi="Times New Roman" w:cs="Times New Roman"/>
                <w:sz w:val="20"/>
                <w:szCs w:val="20"/>
              </w:rPr>
            </w:pPr>
            <w:r w:rsidRPr="00E47AA9">
              <w:rPr>
                <w:rFonts w:ascii="Times New Roman" w:hAnsi="Times New Roman" w:cs="Times New Roman"/>
                <w:sz w:val="20"/>
                <w:szCs w:val="20"/>
              </w:rPr>
              <w:t>758</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602827"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589,88</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F10EA0"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584,82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CADB48"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99,14</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4B13C1"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5,06</w:t>
            </w:r>
          </w:p>
        </w:tc>
      </w:tr>
      <w:tr w:rsidR="00E47AA9" w:rsidRPr="00E47AA9" w14:paraId="1CB1AD1A"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auto" w:fill="auto"/>
            <w:vAlign w:val="bottom"/>
          </w:tcPr>
          <w:p w14:paraId="1C145DAF" w14:textId="77777777" w:rsidR="00576D56" w:rsidRPr="00E47AA9" w:rsidRDefault="00576D56" w:rsidP="00576D56">
            <w:pPr>
              <w:spacing w:after="0"/>
              <w:rPr>
                <w:rFonts w:ascii="Times New Roman" w:hAnsi="Times New Roman" w:cs="Times New Roman"/>
              </w:rPr>
            </w:pPr>
            <w:r w:rsidRPr="00E47AA9">
              <w:rPr>
                <w:rFonts w:ascii="Times New Roman" w:hAnsi="Times New Roman" w:cs="Times New Roman"/>
              </w:rPr>
              <w:t>Региональный проект "Вовлечение в оборот и комплексная мелиорация земель сельскохозяйственного назначения Приморского края"</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545ACE07" w14:textId="77777777" w:rsidR="00576D56" w:rsidRPr="00E47AA9" w:rsidRDefault="00576D56" w:rsidP="00576D56">
            <w:pPr>
              <w:spacing w:after="0" w:line="240" w:lineRule="auto"/>
              <w:jc w:val="center"/>
              <w:rPr>
                <w:rFonts w:ascii="Times New Roman" w:hAnsi="Times New Roman" w:cs="Times New Roman"/>
                <w:sz w:val="20"/>
                <w:szCs w:val="20"/>
              </w:rPr>
            </w:pPr>
            <w:r w:rsidRPr="00E47AA9">
              <w:rPr>
                <w:rFonts w:ascii="Times New Roman" w:hAnsi="Times New Roman" w:cs="Times New Roman"/>
                <w:sz w:val="20"/>
                <w:szCs w:val="20"/>
              </w:rPr>
              <w:t>758, 779</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9EB903"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83,99</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2C7317"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77,73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4832BE"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92,55</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CF6064"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6,26</w:t>
            </w:r>
          </w:p>
        </w:tc>
      </w:tr>
      <w:tr w:rsidR="00E47AA9" w:rsidRPr="00E47AA9" w14:paraId="09D2A83E"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000000" w:fill="DDEBF7"/>
            <w:vAlign w:val="bottom"/>
          </w:tcPr>
          <w:p w14:paraId="674A90F0" w14:textId="77777777" w:rsidR="00576D56" w:rsidRPr="00E47AA9" w:rsidRDefault="00576D56" w:rsidP="00576D56">
            <w:pPr>
              <w:spacing w:after="0"/>
              <w:rPr>
                <w:rFonts w:ascii="Times New Roman" w:hAnsi="Times New Roman" w:cs="Times New Roman"/>
                <w:b/>
                <w:bCs/>
              </w:rPr>
            </w:pPr>
            <w:r w:rsidRPr="00E47AA9">
              <w:rPr>
                <w:rFonts w:ascii="Times New Roman" w:hAnsi="Times New Roman" w:cs="Times New Roman"/>
                <w:b/>
                <w:bCs/>
              </w:rPr>
              <w:t>ГП "Патриотическое воспитание граждан, реализация государственной национальной политики и развитие институтов гражданского общества на территории Приморского края"</w:t>
            </w:r>
          </w:p>
        </w:tc>
        <w:tc>
          <w:tcPr>
            <w:tcW w:w="709" w:type="dxa"/>
            <w:tcBorders>
              <w:top w:val="single" w:sz="4" w:space="0" w:color="auto"/>
              <w:left w:val="single" w:sz="4" w:space="0" w:color="auto"/>
              <w:bottom w:val="single" w:sz="4" w:space="0" w:color="auto"/>
              <w:right w:val="single" w:sz="4" w:space="0" w:color="auto"/>
            </w:tcBorders>
            <w:shd w:val="clear" w:color="000000" w:fill="DDEBF7"/>
            <w:vAlign w:val="bottom"/>
          </w:tcPr>
          <w:p w14:paraId="32A746DE" w14:textId="77777777" w:rsidR="00576D56" w:rsidRPr="00E47AA9" w:rsidRDefault="00576D56" w:rsidP="00576D56">
            <w:pPr>
              <w:spacing w:after="0" w:line="240" w:lineRule="auto"/>
              <w:jc w:val="center"/>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565679E7"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64,35</w:t>
            </w: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4E8F8927"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64,35</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738D8F22"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100,00</w:t>
            </w:r>
          </w:p>
        </w:tc>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18B8EFC2"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0,00</w:t>
            </w:r>
          </w:p>
        </w:tc>
      </w:tr>
      <w:tr w:rsidR="00E47AA9" w:rsidRPr="00E47AA9" w14:paraId="0A88A91B"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auto" w:fill="auto"/>
            <w:vAlign w:val="bottom"/>
          </w:tcPr>
          <w:p w14:paraId="718CFFED" w14:textId="77777777" w:rsidR="00576D56" w:rsidRPr="00E47AA9" w:rsidRDefault="00576D56" w:rsidP="00576D56">
            <w:pPr>
              <w:spacing w:after="0"/>
              <w:rPr>
                <w:rFonts w:ascii="Times New Roman" w:hAnsi="Times New Roman" w:cs="Times New Roman"/>
              </w:rPr>
            </w:pPr>
            <w:r w:rsidRPr="00E47AA9">
              <w:rPr>
                <w:rFonts w:ascii="Times New Roman" w:hAnsi="Times New Roman" w:cs="Times New Roman"/>
              </w:rPr>
              <w:t>Региональный проект "Социальная активность"</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49432A26" w14:textId="77777777" w:rsidR="00576D56" w:rsidRPr="00E47AA9" w:rsidRDefault="00576D56" w:rsidP="00576D56">
            <w:pPr>
              <w:spacing w:after="0" w:line="240" w:lineRule="auto"/>
              <w:jc w:val="center"/>
              <w:rPr>
                <w:rFonts w:ascii="Times New Roman" w:hAnsi="Times New Roman" w:cs="Times New Roman"/>
                <w:sz w:val="20"/>
                <w:szCs w:val="20"/>
              </w:rPr>
            </w:pPr>
            <w:r w:rsidRPr="00E47AA9">
              <w:rPr>
                <w:rFonts w:ascii="Times New Roman" w:hAnsi="Times New Roman" w:cs="Times New Roman"/>
                <w:sz w:val="20"/>
                <w:szCs w:val="20"/>
              </w:rPr>
              <w:t>774</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B4C1CE"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64,35</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7BD90D"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64,35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4279B4"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100,00</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43A7C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11FFCB26"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000000" w:fill="DDEBF7"/>
            <w:vAlign w:val="bottom"/>
          </w:tcPr>
          <w:p w14:paraId="37CC378B" w14:textId="77777777" w:rsidR="00576D56" w:rsidRPr="00E47AA9" w:rsidRDefault="00576D56" w:rsidP="00576D56">
            <w:pPr>
              <w:spacing w:after="0"/>
              <w:rPr>
                <w:rFonts w:ascii="Times New Roman" w:hAnsi="Times New Roman" w:cs="Times New Roman"/>
                <w:b/>
                <w:bCs/>
              </w:rPr>
            </w:pPr>
            <w:r w:rsidRPr="00E47AA9">
              <w:rPr>
                <w:rFonts w:ascii="Times New Roman" w:hAnsi="Times New Roman" w:cs="Times New Roman"/>
                <w:b/>
                <w:bCs/>
              </w:rPr>
              <w:t>ГП "Формирование современной городской среды муниципальных образований Приморского края"</w:t>
            </w:r>
          </w:p>
        </w:tc>
        <w:tc>
          <w:tcPr>
            <w:tcW w:w="709" w:type="dxa"/>
            <w:tcBorders>
              <w:top w:val="single" w:sz="4" w:space="0" w:color="auto"/>
              <w:left w:val="single" w:sz="4" w:space="0" w:color="auto"/>
              <w:bottom w:val="single" w:sz="4" w:space="0" w:color="auto"/>
              <w:right w:val="single" w:sz="4" w:space="0" w:color="auto"/>
            </w:tcBorders>
            <w:shd w:val="clear" w:color="000000" w:fill="DDEBF7"/>
            <w:vAlign w:val="bottom"/>
          </w:tcPr>
          <w:p w14:paraId="307B94F5" w14:textId="77777777" w:rsidR="00576D56" w:rsidRPr="00E47AA9" w:rsidRDefault="00576D56" w:rsidP="00576D56">
            <w:pPr>
              <w:spacing w:after="0" w:line="240" w:lineRule="auto"/>
              <w:jc w:val="center"/>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100E3D18"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1 192,62</w:t>
            </w: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0D4A7D24"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1 191,04</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7DAF8320"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99,87</w:t>
            </w:r>
          </w:p>
        </w:tc>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5146538B"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1,58</w:t>
            </w:r>
          </w:p>
        </w:tc>
      </w:tr>
      <w:tr w:rsidR="00E47AA9" w:rsidRPr="00E47AA9" w14:paraId="576E59EB" w14:textId="77777777" w:rsidTr="009C650D">
        <w:trPr>
          <w:gridAfter w:val="1"/>
          <w:wAfter w:w="1420" w:type="dxa"/>
          <w:trHeight w:val="20"/>
        </w:trPr>
        <w:tc>
          <w:tcPr>
            <w:tcW w:w="3970" w:type="dxa"/>
            <w:tcBorders>
              <w:top w:val="nil"/>
              <w:left w:val="single" w:sz="4" w:space="0" w:color="auto"/>
              <w:bottom w:val="single" w:sz="4" w:space="0" w:color="auto"/>
              <w:right w:val="single" w:sz="4" w:space="0" w:color="auto"/>
            </w:tcBorders>
            <w:shd w:val="clear" w:color="auto" w:fill="auto"/>
            <w:vAlign w:val="bottom"/>
          </w:tcPr>
          <w:p w14:paraId="1D212781" w14:textId="77777777" w:rsidR="00576D56" w:rsidRPr="00E47AA9" w:rsidRDefault="00576D56" w:rsidP="00576D56">
            <w:pPr>
              <w:spacing w:after="0"/>
              <w:rPr>
                <w:rFonts w:ascii="Times New Roman" w:hAnsi="Times New Roman" w:cs="Times New Roman"/>
              </w:rPr>
            </w:pPr>
            <w:r w:rsidRPr="00E47AA9">
              <w:rPr>
                <w:rFonts w:ascii="Times New Roman" w:hAnsi="Times New Roman" w:cs="Times New Roman"/>
              </w:rPr>
              <w:t>Региональный проект "Благоустройство территорий муниципальных образований Приморского края"</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1BF54A45" w14:textId="77777777" w:rsidR="00576D56" w:rsidRPr="00E47AA9" w:rsidRDefault="00576D56" w:rsidP="00576D56">
            <w:pPr>
              <w:spacing w:after="0" w:line="240" w:lineRule="auto"/>
              <w:jc w:val="center"/>
              <w:rPr>
                <w:rFonts w:ascii="Times New Roman" w:hAnsi="Times New Roman" w:cs="Times New Roman"/>
                <w:sz w:val="20"/>
                <w:szCs w:val="20"/>
              </w:rPr>
            </w:pPr>
            <w:r w:rsidRPr="00E47AA9">
              <w:rPr>
                <w:rFonts w:ascii="Times New Roman" w:hAnsi="Times New Roman" w:cs="Times New Roman"/>
                <w:sz w:val="20"/>
                <w:szCs w:val="20"/>
              </w:rPr>
              <w:t>768</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2EFAB5"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1 192,62</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54A9BA"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1 191,04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001259"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99,87</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CA8A3" w14:textId="77777777" w:rsidR="00576D56" w:rsidRPr="00E47AA9" w:rsidRDefault="00576D56" w:rsidP="00576D56">
            <w:pPr>
              <w:spacing w:after="0" w:line="240" w:lineRule="auto"/>
              <w:jc w:val="right"/>
              <w:rPr>
                <w:rFonts w:ascii="Times New Roman" w:hAnsi="Times New Roman" w:cs="Times New Roman"/>
              </w:rPr>
            </w:pPr>
            <w:r w:rsidRPr="00E47AA9">
              <w:rPr>
                <w:rFonts w:ascii="Times New Roman" w:hAnsi="Times New Roman" w:cs="Times New Roman"/>
              </w:rPr>
              <w:t>1,58</w:t>
            </w:r>
          </w:p>
        </w:tc>
      </w:tr>
      <w:tr w:rsidR="00E47AA9" w:rsidRPr="00E47AA9" w14:paraId="779A74E9" w14:textId="77777777" w:rsidTr="009C650D">
        <w:trPr>
          <w:trHeight w:val="20"/>
        </w:trPr>
        <w:tc>
          <w:tcPr>
            <w:tcW w:w="4679"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bottom"/>
            <w:hideMark/>
          </w:tcPr>
          <w:p w14:paraId="3F7C6B02" w14:textId="77777777" w:rsidR="00576D56" w:rsidRPr="00E47AA9" w:rsidRDefault="00576D56" w:rsidP="00576D56">
            <w:pPr>
              <w:spacing w:after="0" w:line="240" w:lineRule="auto"/>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 xml:space="preserve">Всего по региональным проектам, </w:t>
            </w:r>
          </w:p>
          <w:p w14:paraId="2321EF04" w14:textId="77777777" w:rsidR="00576D56" w:rsidRPr="00E47AA9" w:rsidRDefault="00576D56" w:rsidP="00576D56">
            <w:pPr>
              <w:spacing w:after="0" w:line="240" w:lineRule="auto"/>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не входящим в состав национальных проектов</w:t>
            </w:r>
          </w:p>
        </w:tc>
        <w:tc>
          <w:tcPr>
            <w:tcW w:w="1559" w:type="dxa"/>
            <w:tcBorders>
              <w:top w:val="single" w:sz="4" w:space="0" w:color="auto"/>
              <w:left w:val="single" w:sz="4" w:space="0" w:color="auto"/>
              <w:bottom w:val="single" w:sz="4" w:space="0" w:color="auto"/>
              <w:right w:val="single" w:sz="4" w:space="0" w:color="auto"/>
            </w:tcBorders>
            <w:shd w:val="clear" w:color="000000" w:fill="DDEBF7"/>
            <w:noWrap/>
            <w:vAlign w:val="bottom"/>
          </w:tcPr>
          <w:p w14:paraId="67DB2446"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rPr>
              <w:t>11 847,63</w:t>
            </w: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5D0B77A1"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10 866,30</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bottom"/>
          </w:tcPr>
          <w:p w14:paraId="1BF95267" w14:textId="77777777" w:rsidR="00576D56" w:rsidRPr="00E47AA9" w:rsidRDefault="00576D56" w:rsidP="00576D56">
            <w:pPr>
              <w:spacing w:after="0" w:line="240" w:lineRule="auto"/>
              <w:jc w:val="right"/>
              <w:rPr>
                <w:rFonts w:ascii="Times New Roman" w:hAnsi="Times New Roman" w:cs="Times New Roman"/>
                <w:b/>
              </w:rPr>
            </w:pPr>
            <w:r w:rsidRPr="00E47AA9">
              <w:rPr>
                <w:rFonts w:ascii="Times New Roman" w:hAnsi="Times New Roman" w:cs="Times New Roman"/>
                <w:b/>
              </w:rPr>
              <w:t>91,72</w:t>
            </w:r>
          </w:p>
        </w:tc>
        <w:tc>
          <w:tcPr>
            <w:tcW w:w="1560" w:type="dxa"/>
            <w:tcBorders>
              <w:top w:val="single" w:sz="4" w:space="0" w:color="auto"/>
              <w:left w:val="single" w:sz="4" w:space="0" w:color="auto"/>
              <w:bottom w:val="single" w:sz="4" w:space="0" w:color="auto"/>
              <w:right w:val="single" w:sz="4" w:space="0" w:color="auto"/>
            </w:tcBorders>
            <w:shd w:val="clear" w:color="000000" w:fill="DDEBF7"/>
            <w:noWrap/>
            <w:vAlign w:val="bottom"/>
          </w:tcPr>
          <w:p w14:paraId="46DAF702" w14:textId="77777777" w:rsidR="00576D56" w:rsidRPr="00E47AA9" w:rsidRDefault="00576D56" w:rsidP="00576D56">
            <w:pPr>
              <w:spacing w:after="0" w:line="240" w:lineRule="auto"/>
              <w:jc w:val="right"/>
              <w:rPr>
                <w:rFonts w:ascii="Times New Roman" w:hAnsi="Times New Roman" w:cs="Times New Roman"/>
                <w:b/>
                <w:bCs/>
              </w:rPr>
            </w:pPr>
            <w:r w:rsidRPr="00E47AA9">
              <w:rPr>
                <w:rFonts w:ascii="Times New Roman" w:hAnsi="Times New Roman" w:cs="Times New Roman"/>
                <w:b/>
                <w:bCs/>
              </w:rPr>
              <w:t>981,33</w:t>
            </w:r>
          </w:p>
        </w:tc>
        <w:tc>
          <w:tcPr>
            <w:tcW w:w="1420" w:type="dxa"/>
            <w:tcBorders>
              <w:top w:val="nil"/>
              <w:left w:val="nil"/>
              <w:bottom w:val="nil"/>
              <w:right w:val="nil"/>
            </w:tcBorders>
            <w:shd w:val="clear" w:color="auto" w:fill="auto"/>
            <w:vAlign w:val="bottom"/>
          </w:tcPr>
          <w:p w14:paraId="5942ED67" w14:textId="77777777" w:rsidR="00576D56" w:rsidRPr="00E47AA9" w:rsidRDefault="00576D56" w:rsidP="00576D56">
            <w:pPr>
              <w:jc w:val="right"/>
              <w:rPr>
                <w:rFonts w:ascii="Times New Roman" w:hAnsi="Times New Roman" w:cs="Times New Roman"/>
              </w:rPr>
            </w:pPr>
            <w:r w:rsidRPr="00E47AA9">
              <w:rPr>
                <w:rFonts w:ascii="Times New Roman" w:hAnsi="Times New Roman" w:cs="Times New Roman"/>
              </w:rPr>
              <w:t>33</w:t>
            </w:r>
          </w:p>
        </w:tc>
      </w:tr>
    </w:tbl>
    <w:p w14:paraId="7B840F71" w14:textId="77777777" w:rsidR="00576D56" w:rsidRPr="00E47AA9" w:rsidRDefault="00576D56" w:rsidP="00576D56">
      <w:pPr>
        <w:spacing w:after="0" w:line="240" w:lineRule="auto"/>
        <w:ind w:firstLine="708"/>
        <w:jc w:val="both"/>
        <w:rPr>
          <w:rFonts w:ascii="Times New Roman" w:hAnsi="Times New Roman" w:cs="Times New Roman"/>
          <w:sz w:val="28"/>
          <w:szCs w:val="28"/>
        </w:rPr>
      </w:pPr>
    </w:p>
    <w:p w14:paraId="14516B8C" w14:textId="77777777" w:rsidR="00576D56" w:rsidRPr="00E47AA9" w:rsidRDefault="00576D56" w:rsidP="00576D56">
      <w:pPr>
        <w:spacing w:after="0" w:line="240" w:lineRule="auto"/>
        <w:ind w:firstLine="708"/>
        <w:jc w:val="both"/>
        <w:rPr>
          <w:rFonts w:ascii="Times New Roman" w:hAnsi="Times New Roman" w:cs="Times New Roman"/>
        </w:rPr>
      </w:pPr>
      <w:r w:rsidRPr="00E47AA9">
        <w:rPr>
          <w:rFonts w:ascii="Times New Roman" w:hAnsi="Times New Roman" w:cs="Times New Roman"/>
          <w:sz w:val="28"/>
          <w:szCs w:val="28"/>
        </w:rPr>
        <w:lastRenderedPageBreak/>
        <w:t>За отчетный период исполнение расходов на региональные проекты, не входящие в состав национальных проектов, составило 10866,30 млн рублей, или 91,72 % от уточненных бюджетных назначений.</w:t>
      </w:r>
    </w:p>
    <w:p w14:paraId="12979954" w14:textId="77777777" w:rsidR="00576D56" w:rsidRPr="00E47AA9" w:rsidRDefault="00576D56" w:rsidP="00576D56">
      <w:pPr>
        <w:spacing w:after="0" w:line="240" w:lineRule="auto"/>
        <w:ind w:firstLine="708"/>
        <w:jc w:val="both"/>
        <w:rPr>
          <w:rFonts w:ascii="Times New Roman" w:hAnsi="Times New Roman" w:cs="Times New Roman"/>
        </w:rPr>
      </w:pPr>
      <w:r w:rsidRPr="00E47AA9">
        <w:rPr>
          <w:rFonts w:ascii="Times New Roman" w:eastAsia="Times New Roman" w:hAnsi="Times New Roman" w:cs="Times New Roman"/>
          <w:sz w:val="28"/>
          <w:szCs w:val="28"/>
        </w:rPr>
        <w:t xml:space="preserve">Анализ исполнения </w:t>
      </w:r>
      <w:r w:rsidRPr="00E47AA9">
        <w:rPr>
          <w:rFonts w:ascii="Times New Roman" w:eastAsia="Calibri" w:hAnsi="Times New Roman" w:cs="Times New Roman"/>
          <w:sz w:val="28"/>
          <w:szCs w:val="28"/>
        </w:rPr>
        <w:t xml:space="preserve">региональных проектов, не входящих в состав национальных проектов, </w:t>
      </w:r>
      <w:r w:rsidRPr="00E47AA9">
        <w:rPr>
          <w:rFonts w:ascii="Times New Roman" w:eastAsia="Times New Roman" w:hAnsi="Times New Roman" w:cs="Times New Roman"/>
          <w:sz w:val="28"/>
          <w:szCs w:val="28"/>
        </w:rPr>
        <w:t>изложен далее по тексту заключения.</w:t>
      </w:r>
    </w:p>
    <w:p w14:paraId="5CE1D938" w14:textId="77777777" w:rsidR="00576D56" w:rsidRPr="00E47AA9" w:rsidRDefault="00576D56" w:rsidP="00576D56">
      <w:pPr>
        <w:spacing w:after="0" w:line="240" w:lineRule="auto"/>
        <w:jc w:val="center"/>
        <w:rPr>
          <w:rFonts w:ascii="Times New Roman" w:eastAsia="Times New Roman" w:hAnsi="Times New Roman" w:cs="Times New Roman"/>
          <w:sz w:val="28"/>
          <w:szCs w:val="28"/>
          <w:lang w:eastAsia="ru-RU"/>
        </w:rPr>
      </w:pPr>
    </w:p>
    <w:p w14:paraId="5F5731E7" w14:textId="77777777" w:rsidR="00576D56" w:rsidRPr="00E47AA9" w:rsidRDefault="00576D56" w:rsidP="00576D56">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5.2. Государственные программы Приморского края</w:t>
      </w:r>
    </w:p>
    <w:p w14:paraId="2F224EB9" w14:textId="77777777" w:rsidR="00576D56" w:rsidRPr="00E47AA9" w:rsidRDefault="00576D56" w:rsidP="00576D5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1.</w:t>
      </w:r>
      <w:r w:rsidRPr="00E47AA9">
        <w:rPr>
          <w:rFonts w:ascii="Times New Roman" w:eastAsia="Times New Roman" w:hAnsi="Times New Roman" w:cs="Times New Roman"/>
          <w:sz w:val="28"/>
          <w:szCs w:val="28"/>
          <w:lang w:eastAsia="ru-RU"/>
        </w:rPr>
        <w:t> Законом о краевом бюджете в первоначальной редакции на 2024 год расходы на реализацию мероприятий 20 государственных программ Приморского края утверждены в объеме 223778,64 млн рублей.</w:t>
      </w:r>
    </w:p>
    <w:p w14:paraId="5232E6F3" w14:textId="77777777" w:rsidR="00576D56" w:rsidRPr="00E47AA9" w:rsidRDefault="00576D56" w:rsidP="00576D5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ходе исполнения краевого бюджета годовые плановые показатели корректировались соответствующими законами Приморского края и в действующей редакции Закона № 495-КЗ составили 244929,92 млн рубл</w:t>
      </w:r>
      <w:r w:rsidR="00E632C7" w:rsidRPr="00E47AA9">
        <w:rPr>
          <w:rFonts w:ascii="Times New Roman" w:eastAsia="Times New Roman" w:hAnsi="Times New Roman" w:cs="Times New Roman"/>
          <w:sz w:val="28"/>
          <w:szCs w:val="28"/>
          <w:lang w:eastAsia="ru-RU"/>
        </w:rPr>
        <w:t>ей, из них программные расходы –</w:t>
      </w:r>
      <w:r w:rsidRPr="00E47AA9">
        <w:rPr>
          <w:rFonts w:ascii="Times New Roman" w:eastAsia="Times New Roman" w:hAnsi="Times New Roman" w:cs="Times New Roman"/>
          <w:sz w:val="28"/>
          <w:szCs w:val="28"/>
          <w:lang w:eastAsia="ru-RU"/>
        </w:rPr>
        <w:t xml:space="preserve"> 232466,21 млн рублей. </w:t>
      </w:r>
    </w:p>
    <w:p w14:paraId="05D2C6A8" w14:textId="77777777" w:rsidR="00576D56" w:rsidRPr="00E47AA9" w:rsidRDefault="00576D56" w:rsidP="00576D5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2024 году и</w:t>
      </w:r>
      <w:r w:rsidRPr="00E47AA9">
        <w:rPr>
          <w:rFonts w:ascii="Times New Roman" w:eastAsia="Calibri" w:hAnsi="Times New Roman" w:cs="Times New Roman"/>
          <w:sz w:val="28"/>
          <w:szCs w:val="28"/>
        </w:rPr>
        <w:t>зменения бюджетных назначений коснулись всех 20 ГП, действующих в Приморском крае.</w:t>
      </w:r>
      <w:r w:rsidRPr="00E47AA9">
        <w:rPr>
          <w:rFonts w:ascii="Times New Roman" w:hAnsi="Times New Roman" w:cs="Times New Roman"/>
          <w:sz w:val="28"/>
          <w:szCs w:val="28"/>
        </w:rPr>
        <w:t xml:space="preserve"> В</w:t>
      </w:r>
      <w:r w:rsidRPr="00E47AA9">
        <w:rPr>
          <w:rFonts w:ascii="Times New Roman" w:eastAsia="Calibri" w:hAnsi="Times New Roman" w:cs="Times New Roman"/>
          <w:sz w:val="28"/>
          <w:szCs w:val="28"/>
        </w:rPr>
        <w:t xml:space="preserve"> результате многочисленных корректировок программных расходов общий объем расходов снизился по 8 программам, увеличился по 12.</w:t>
      </w:r>
    </w:p>
    <w:p w14:paraId="021BCE5C" w14:textId="77777777" w:rsidR="00576D56" w:rsidRPr="00E47AA9" w:rsidRDefault="00576D56" w:rsidP="00576D56">
      <w:pPr>
        <w:tabs>
          <w:tab w:val="left" w:pos="0"/>
          <w:tab w:val="left" w:pos="840"/>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Таким образом, законодательно утвержденные расходы краевого бюджета на реализацию программных расходов на 2024 год к первоначальным назначениям увеличены на 8687,57 млн рублей, или на 3,88 %. </w:t>
      </w:r>
    </w:p>
    <w:p w14:paraId="7FC86327" w14:textId="77777777" w:rsidR="00576D56" w:rsidRPr="00E47AA9" w:rsidRDefault="00576D56" w:rsidP="00576D5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Кроме того, согласно </w:t>
      </w:r>
      <w:proofErr w:type="gramStart"/>
      <w:r w:rsidRPr="00E47AA9">
        <w:rPr>
          <w:rFonts w:ascii="Times New Roman" w:eastAsia="Times New Roman" w:hAnsi="Times New Roman" w:cs="Times New Roman"/>
          <w:sz w:val="28"/>
          <w:szCs w:val="28"/>
          <w:lang w:eastAsia="ru-RU"/>
        </w:rPr>
        <w:t>отчету</w:t>
      </w:r>
      <w:proofErr w:type="gramEnd"/>
      <w:r w:rsidRPr="00E47AA9">
        <w:rPr>
          <w:rFonts w:ascii="Times New Roman" w:eastAsia="Times New Roman" w:hAnsi="Times New Roman" w:cs="Times New Roman"/>
          <w:sz w:val="28"/>
          <w:szCs w:val="28"/>
          <w:lang w:eastAsia="ru-RU"/>
        </w:rPr>
        <w:t xml:space="preserve"> об исполнении краевого бюджета плановые назначения на 2024 год, предусмотренные на исполнение программных расходов, увеличены на 270,10 млн рублей и составили 232736,31 млн рублей. </w:t>
      </w:r>
    </w:p>
    <w:p w14:paraId="4590D72A" w14:textId="77777777" w:rsidR="00576D56" w:rsidRPr="00E47AA9" w:rsidRDefault="00576D56" w:rsidP="00576D56">
      <w:pPr>
        <w:spacing w:after="0" w:line="240" w:lineRule="auto"/>
        <w:ind w:firstLine="709"/>
        <w:jc w:val="right"/>
        <w:rPr>
          <w:rFonts w:ascii="Times New Roman" w:eastAsia="Times New Roman" w:hAnsi="Times New Roman" w:cs="Times New Roman"/>
          <w:lang w:eastAsia="ru-RU"/>
        </w:rPr>
      </w:pPr>
    </w:p>
    <w:tbl>
      <w:tblPr>
        <w:tblW w:w="10620" w:type="dxa"/>
        <w:tblInd w:w="-856" w:type="dxa"/>
        <w:tblLook w:val="04A0" w:firstRow="1" w:lastRow="0" w:firstColumn="1" w:lastColumn="0" w:noHBand="0" w:noVBand="1"/>
      </w:tblPr>
      <w:tblGrid>
        <w:gridCol w:w="486"/>
        <w:gridCol w:w="2203"/>
        <w:gridCol w:w="1340"/>
        <w:gridCol w:w="1369"/>
        <w:gridCol w:w="1242"/>
        <w:gridCol w:w="920"/>
        <w:gridCol w:w="1300"/>
        <w:gridCol w:w="880"/>
        <w:gridCol w:w="880"/>
      </w:tblGrid>
      <w:tr w:rsidR="00E47AA9" w:rsidRPr="00E47AA9" w14:paraId="6DAAC0DE" w14:textId="77777777" w:rsidTr="0075366D">
        <w:trPr>
          <w:trHeight w:val="340"/>
          <w:tblHeader/>
        </w:trPr>
        <w:tc>
          <w:tcPr>
            <w:tcW w:w="486" w:type="dxa"/>
            <w:tcBorders>
              <w:bottom w:val="single" w:sz="4" w:space="0" w:color="auto"/>
            </w:tcBorders>
            <w:shd w:val="clear" w:color="auto" w:fill="auto"/>
            <w:vAlign w:val="center"/>
          </w:tcPr>
          <w:p w14:paraId="668109A8" w14:textId="77777777" w:rsidR="00786F01" w:rsidRPr="00E47AA9" w:rsidRDefault="00786F01" w:rsidP="00CC1D93">
            <w:pPr>
              <w:spacing w:after="0" w:line="240" w:lineRule="auto"/>
              <w:jc w:val="center"/>
              <w:rPr>
                <w:rFonts w:ascii="Times New Roman" w:eastAsia="Times New Roman" w:hAnsi="Times New Roman" w:cs="Times New Roman"/>
                <w:sz w:val="20"/>
                <w:szCs w:val="20"/>
                <w:lang w:eastAsia="ru-RU"/>
              </w:rPr>
            </w:pPr>
          </w:p>
        </w:tc>
        <w:tc>
          <w:tcPr>
            <w:tcW w:w="2203" w:type="dxa"/>
            <w:tcBorders>
              <w:bottom w:val="single" w:sz="4" w:space="0" w:color="auto"/>
            </w:tcBorders>
            <w:shd w:val="clear" w:color="auto" w:fill="auto"/>
            <w:vAlign w:val="center"/>
          </w:tcPr>
          <w:p w14:paraId="7F5C4E0A" w14:textId="77777777" w:rsidR="00786F01" w:rsidRPr="00E47AA9" w:rsidRDefault="00786F01" w:rsidP="00CC1D93">
            <w:pPr>
              <w:spacing w:after="0" w:line="240" w:lineRule="auto"/>
              <w:jc w:val="center"/>
              <w:rPr>
                <w:rFonts w:ascii="Times New Roman" w:eastAsia="Times New Roman" w:hAnsi="Times New Roman" w:cs="Times New Roman"/>
                <w:sz w:val="20"/>
                <w:szCs w:val="20"/>
                <w:lang w:eastAsia="ru-RU"/>
              </w:rPr>
            </w:pPr>
          </w:p>
        </w:tc>
        <w:tc>
          <w:tcPr>
            <w:tcW w:w="7931" w:type="dxa"/>
            <w:gridSpan w:val="7"/>
            <w:tcBorders>
              <w:bottom w:val="single" w:sz="4" w:space="0" w:color="auto"/>
            </w:tcBorders>
            <w:shd w:val="clear" w:color="auto" w:fill="auto"/>
            <w:vAlign w:val="center"/>
          </w:tcPr>
          <w:p w14:paraId="132AD7F0" w14:textId="1380FA93"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3D5EE7EB" w14:textId="77777777" w:rsidTr="0075366D">
        <w:trPr>
          <w:trHeight w:val="340"/>
          <w:tblHeader/>
        </w:trPr>
        <w:tc>
          <w:tcPr>
            <w:tcW w:w="4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04CAC1" w14:textId="77777777" w:rsidR="003C5CB1" w:rsidRPr="00E47AA9" w:rsidRDefault="003C5CB1" w:rsidP="00CC1D9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п/п</w:t>
            </w:r>
          </w:p>
        </w:tc>
        <w:tc>
          <w:tcPr>
            <w:tcW w:w="22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E31F69" w14:textId="77777777" w:rsidR="003C5CB1" w:rsidRPr="00E47AA9" w:rsidRDefault="003C5CB1" w:rsidP="00CC1D9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государственных программ Приморского края и непрограммных расходов</w:t>
            </w:r>
          </w:p>
        </w:tc>
        <w:tc>
          <w:tcPr>
            <w:tcW w:w="7931" w:type="dxa"/>
            <w:gridSpan w:val="7"/>
            <w:tcBorders>
              <w:top w:val="single" w:sz="4" w:space="0" w:color="auto"/>
              <w:left w:val="nil"/>
              <w:bottom w:val="single" w:sz="4" w:space="0" w:color="auto"/>
              <w:right w:val="single" w:sz="4" w:space="0" w:color="auto"/>
            </w:tcBorders>
            <w:shd w:val="clear" w:color="auto" w:fill="auto"/>
            <w:vAlign w:val="center"/>
            <w:hideMark/>
          </w:tcPr>
          <w:p w14:paraId="4138DC0E" w14:textId="77777777" w:rsidR="003C5CB1" w:rsidRPr="00E47AA9" w:rsidRDefault="003C5CB1" w:rsidP="00CC1D9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Бюджетные назначения на 2024 год</w:t>
            </w:r>
          </w:p>
        </w:tc>
      </w:tr>
      <w:tr w:rsidR="00E47AA9" w:rsidRPr="00E47AA9" w14:paraId="6A322913" w14:textId="77777777" w:rsidTr="0075366D">
        <w:trPr>
          <w:trHeight w:val="340"/>
          <w:tblHeader/>
        </w:trPr>
        <w:tc>
          <w:tcPr>
            <w:tcW w:w="486" w:type="dxa"/>
            <w:vMerge/>
            <w:tcBorders>
              <w:top w:val="single" w:sz="4" w:space="0" w:color="auto"/>
              <w:left w:val="single" w:sz="4" w:space="0" w:color="auto"/>
              <w:bottom w:val="single" w:sz="4" w:space="0" w:color="auto"/>
              <w:right w:val="single" w:sz="4" w:space="0" w:color="auto"/>
            </w:tcBorders>
            <w:vAlign w:val="center"/>
            <w:hideMark/>
          </w:tcPr>
          <w:p w14:paraId="7CF3EC3F" w14:textId="77777777" w:rsidR="003C5CB1" w:rsidRPr="00E47AA9" w:rsidRDefault="003C5CB1" w:rsidP="00CC1D93">
            <w:pPr>
              <w:spacing w:after="0" w:line="240" w:lineRule="auto"/>
              <w:rPr>
                <w:rFonts w:ascii="Times New Roman" w:eastAsia="Times New Roman" w:hAnsi="Times New Roman" w:cs="Times New Roman"/>
                <w:sz w:val="20"/>
                <w:szCs w:val="20"/>
                <w:lang w:eastAsia="ru-RU"/>
              </w:rPr>
            </w:pPr>
          </w:p>
        </w:tc>
        <w:tc>
          <w:tcPr>
            <w:tcW w:w="2203" w:type="dxa"/>
            <w:vMerge/>
            <w:tcBorders>
              <w:top w:val="single" w:sz="4" w:space="0" w:color="auto"/>
              <w:left w:val="single" w:sz="4" w:space="0" w:color="auto"/>
              <w:bottom w:val="single" w:sz="4" w:space="0" w:color="auto"/>
              <w:right w:val="single" w:sz="4" w:space="0" w:color="auto"/>
            </w:tcBorders>
            <w:vAlign w:val="center"/>
            <w:hideMark/>
          </w:tcPr>
          <w:p w14:paraId="34BB30D6" w14:textId="77777777" w:rsidR="003C5CB1" w:rsidRPr="00E47AA9" w:rsidRDefault="003C5CB1" w:rsidP="00CC1D93">
            <w:pPr>
              <w:spacing w:after="0" w:line="240" w:lineRule="auto"/>
              <w:rPr>
                <w:rFonts w:ascii="Times New Roman" w:eastAsia="Times New Roman" w:hAnsi="Times New Roman" w:cs="Times New Roman"/>
                <w:sz w:val="20"/>
                <w:szCs w:val="20"/>
                <w:lang w:eastAsia="ru-RU"/>
              </w:rPr>
            </w:pPr>
          </w:p>
        </w:tc>
        <w:tc>
          <w:tcPr>
            <w:tcW w:w="4871" w:type="dxa"/>
            <w:gridSpan w:val="4"/>
            <w:tcBorders>
              <w:top w:val="single" w:sz="4" w:space="0" w:color="auto"/>
              <w:left w:val="nil"/>
              <w:bottom w:val="single" w:sz="4" w:space="0" w:color="auto"/>
              <w:right w:val="single" w:sz="4" w:space="0" w:color="auto"/>
            </w:tcBorders>
            <w:shd w:val="clear" w:color="auto" w:fill="auto"/>
            <w:vAlign w:val="center"/>
            <w:hideMark/>
          </w:tcPr>
          <w:p w14:paraId="0C4D56A4" w14:textId="6DBA618E" w:rsidR="003C5CB1" w:rsidRPr="00E47AA9" w:rsidRDefault="00F75B4D" w:rsidP="00F75B4D">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согласно Закону № 495-КЗ</w:t>
            </w:r>
          </w:p>
        </w:tc>
        <w:tc>
          <w:tcPr>
            <w:tcW w:w="30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E017D57" w14:textId="77777777" w:rsidR="003C5CB1" w:rsidRPr="00E47AA9" w:rsidRDefault="003C5CB1" w:rsidP="00CC1D9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согласно </w:t>
            </w:r>
            <w:proofErr w:type="gramStart"/>
            <w:r w:rsidRPr="00E47AA9">
              <w:rPr>
                <w:rFonts w:ascii="Times New Roman" w:eastAsia="Times New Roman" w:hAnsi="Times New Roman" w:cs="Times New Roman"/>
                <w:sz w:val="20"/>
                <w:szCs w:val="20"/>
                <w:lang w:eastAsia="ru-RU"/>
              </w:rPr>
              <w:t>отчету</w:t>
            </w:r>
            <w:proofErr w:type="gramEnd"/>
            <w:r w:rsidRPr="00E47AA9">
              <w:rPr>
                <w:rFonts w:ascii="Times New Roman" w:eastAsia="Times New Roman" w:hAnsi="Times New Roman" w:cs="Times New Roman"/>
                <w:sz w:val="20"/>
                <w:szCs w:val="20"/>
                <w:lang w:eastAsia="ru-RU"/>
              </w:rPr>
              <w:t xml:space="preserve"> об исполнении краевого бюджета</w:t>
            </w:r>
          </w:p>
        </w:tc>
      </w:tr>
      <w:tr w:rsidR="00E47AA9" w:rsidRPr="00E47AA9" w14:paraId="47C8BAA9" w14:textId="77777777" w:rsidTr="0075366D">
        <w:trPr>
          <w:trHeight w:val="340"/>
          <w:tblHeader/>
        </w:trPr>
        <w:tc>
          <w:tcPr>
            <w:tcW w:w="486" w:type="dxa"/>
            <w:vMerge/>
            <w:tcBorders>
              <w:top w:val="single" w:sz="4" w:space="0" w:color="auto"/>
              <w:left w:val="single" w:sz="4" w:space="0" w:color="auto"/>
              <w:bottom w:val="single" w:sz="4" w:space="0" w:color="auto"/>
              <w:right w:val="single" w:sz="4" w:space="0" w:color="auto"/>
            </w:tcBorders>
            <w:vAlign w:val="center"/>
            <w:hideMark/>
          </w:tcPr>
          <w:p w14:paraId="09D3B659" w14:textId="77777777" w:rsidR="003C5CB1" w:rsidRPr="00E47AA9" w:rsidRDefault="003C5CB1" w:rsidP="00CC1D93">
            <w:pPr>
              <w:spacing w:after="0" w:line="240" w:lineRule="auto"/>
              <w:rPr>
                <w:rFonts w:ascii="Times New Roman" w:eastAsia="Times New Roman" w:hAnsi="Times New Roman" w:cs="Times New Roman"/>
                <w:sz w:val="20"/>
                <w:szCs w:val="20"/>
                <w:lang w:eastAsia="ru-RU"/>
              </w:rPr>
            </w:pPr>
          </w:p>
        </w:tc>
        <w:tc>
          <w:tcPr>
            <w:tcW w:w="2203" w:type="dxa"/>
            <w:vMerge/>
            <w:tcBorders>
              <w:top w:val="single" w:sz="4" w:space="0" w:color="auto"/>
              <w:left w:val="single" w:sz="4" w:space="0" w:color="auto"/>
              <w:bottom w:val="single" w:sz="4" w:space="0" w:color="auto"/>
              <w:right w:val="single" w:sz="4" w:space="0" w:color="auto"/>
            </w:tcBorders>
            <w:vAlign w:val="center"/>
            <w:hideMark/>
          </w:tcPr>
          <w:p w14:paraId="1A0736F2" w14:textId="77777777" w:rsidR="003C5CB1" w:rsidRPr="00E47AA9" w:rsidRDefault="003C5CB1" w:rsidP="00CC1D93">
            <w:pPr>
              <w:spacing w:after="0" w:line="240" w:lineRule="auto"/>
              <w:rPr>
                <w:rFonts w:ascii="Times New Roman" w:eastAsia="Times New Roman" w:hAnsi="Times New Roman" w:cs="Times New Roman"/>
                <w:sz w:val="20"/>
                <w:szCs w:val="20"/>
                <w:lang w:eastAsia="ru-RU"/>
              </w:rPr>
            </w:pPr>
          </w:p>
        </w:tc>
        <w:tc>
          <w:tcPr>
            <w:tcW w:w="1340" w:type="dxa"/>
            <w:vMerge w:val="restart"/>
            <w:tcBorders>
              <w:top w:val="nil"/>
              <w:left w:val="single" w:sz="4" w:space="0" w:color="auto"/>
              <w:bottom w:val="single" w:sz="4" w:space="0" w:color="auto"/>
              <w:right w:val="single" w:sz="4" w:space="0" w:color="auto"/>
            </w:tcBorders>
            <w:shd w:val="clear" w:color="auto" w:fill="auto"/>
            <w:vAlign w:val="center"/>
            <w:hideMark/>
          </w:tcPr>
          <w:p w14:paraId="21D3A7C0" w14:textId="6373BD80" w:rsidR="003C5CB1" w:rsidRPr="00E47AA9" w:rsidRDefault="003C5CB1" w:rsidP="00F75B4D">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первона-чальн</w:t>
            </w:r>
            <w:r w:rsidR="00F75B4D" w:rsidRPr="00E47AA9">
              <w:rPr>
                <w:rFonts w:ascii="Times New Roman" w:eastAsia="Times New Roman" w:hAnsi="Times New Roman" w:cs="Times New Roman"/>
                <w:sz w:val="20"/>
                <w:szCs w:val="20"/>
                <w:lang w:eastAsia="ru-RU"/>
              </w:rPr>
              <w:t>ая</w:t>
            </w:r>
            <w:proofErr w:type="spellEnd"/>
            <w:proofErr w:type="gramEnd"/>
            <w:r w:rsidRPr="00E47AA9">
              <w:rPr>
                <w:rFonts w:ascii="Times New Roman" w:eastAsia="Times New Roman" w:hAnsi="Times New Roman" w:cs="Times New Roman"/>
                <w:sz w:val="20"/>
                <w:szCs w:val="20"/>
                <w:lang w:eastAsia="ru-RU"/>
              </w:rPr>
              <w:t xml:space="preserve"> редакци</w:t>
            </w:r>
            <w:r w:rsidR="00F75B4D" w:rsidRPr="00E47AA9">
              <w:rPr>
                <w:rFonts w:ascii="Times New Roman" w:eastAsia="Times New Roman" w:hAnsi="Times New Roman" w:cs="Times New Roman"/>
                <w:sz w:val="20"/>
                <w:szCs w:val="20"/>
                <w:lang w:eastAsia="ru-RU"/>
              </w:rPr>
              <w:t>я</w:t>
            </w:r>
            <w:r w:rsidRPr="00E47AA9">
              <w:rPr>
                <w:rFonts w:ascii="Times New Roman" w:eastAsia="Times New Roman" w:hAnsi="Times New Roman" w:cs="Times New Roman"/>
                <w:sz w:val="20"/>
                <w:szCs w:val="20"/>
                <w:lang w:eastAsia="ru-RU"/>
              </w:rPr>
              <w:t xml:space="preserve"> </w:t>
            </w:r>
          </w:p>
        </w:tc>
        <w:tc>
          <w:tcPr>
            <w:tcW w:w="1369" w:type="dxa"/>
            <w:vMerge w:val="restart"/>
            <w:tcBorders>
              <w:top w:val="nil"/>
              <w:left w:val="single" w:sz="4" w:space="0" w:color="auto"/>
              <w:bottom w:val="single" w:sz="4" w:space="0" w:color="auto"/>
              <w:right w:val="single" w:sz="4" w:space="0" w:color="auto"/>
            </w:tcBorders>
            <w:shd w:val="clear" w:color="auto" w:fill="auto"/>
            <w:vAlign w:val="center"/>
            <w:hideMark/>
          </w:tcPr>
          <w:p w14:paraId="4FD72F51" w14:textId="762C33C9" w:rsidR="003C5CB1" w:rsidRPr="00E47AA9" w:rsidRDefault="00F75B4D" w:rsidP="00F75B4D">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действующая </w:t>
            </w:r>
            <w:r w:rsidR="003C5CB1" w:rsidRPr="00E47AA9">
              <w:rPr>
                <w:rFonts w:ascii="Times New Roman" w:eastAsia="Times New Roman" w:hAnsi="Times New Roman" w:cs="Times New Roman"/>
                <w:sz w:val="20"/>
                <w:szCs w:val="20"/>
                <w:lang w:eastAsia="ru-RU"/>
              </w:rPr>
              <w:t>редакци</w:t>
            </w:r>
            <w:r w:rsidRPr="00E47AA9">
              <w:rPr>
                <w:rFonts w:ascii="Times New Roman" w:eastAsia="Times New Roman" w:hAnsi="Times New Roman" w:cs="Times New Roman"/>
                <w:sz w:val="20"/>
                <w:szCs w:val="20"/>
                <w:lang w:eastAsia="ru-RU"/>
              </w:rPr>
              <w:t>я</w:t>
            </w:r>
            <w:r w:rsidR="003C5CB1" w:rsidRPr="00E47AA9">
              <w:rPr>
                <w:rFonts w:ascii="Times New Roman" w:eastAsia="Times New Roman" w:hAnsi="Times New Roman" w:cs="Times New Roman"/>
                <w:sz w:val="20"/>
                <w:szCs w:val="20"/>
                <w:lang w:eastAsia="ru-RU"/>
              </w:rPr>
              <w:t xml:space="preserve"> </w:t>
            </w:r>
          </w:p>
        </w:tc>
        <w:tc>
          <w:tcPr>
            <w:tcW w:w="2162" w:type="dxa"/>
            <w:gridSpan w:val="2"/>
            <w:tcBorders>
              <w:top w:val="single" w:sz="4" w:space="0" w:color="auto"/>
              <w:left w:val="nil"/>
              <w:bottom w:val="single" w:sz="4" w:space="0" w:color="auto"/>
              <w:right w:val="single" w:sz="4" w:space="0" w:color="auto"/>
            </w:tcBorders>
            <w:shd w:val="clear" w:color="auto" w:fill="auto"/>
            <w:vAlign w:val="center"/>
            <w:hideMark/>
          </w:tcPr>
          <w:p w14:paraId="0D3F039B" w14:textId="77777777" w:rsidR="003C5CB1" w:rsidRPr="00E47AA9" w:rsidRDefault="003C5CB1" w:rsidP="00CC1D9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отклонения</w:t>
            </w:r>
          </w:p>
        </w:tc>
        <w:tc>
          <w:tcPr>
            <w:tcW w:w="1300" w:type="dxa"/>
            <w:vMerge w:val="restart"/>
            <w:tcBorders>
              <w:top w:val="nil"/>
              <w:left w:val="single" w:sz="4" w:space="0" w:color="auto"/>
              <w:bottom w:val="single" w:sz="4" w:space="0" w:color="auto"/>
              <w:right w:val="single" w:sz="4" w:space="0" w:color="auto"/>
            </w:tcBorders>
            <w:shd w:val="clear" w:color="auto" w:fill="auto"/>
            <w:vAlign w:val="center"/>
            <w:hideMark/>
          </w:tcPr>
          <w:p w14:paraId="457A083B" w14:textId="77777777" w:rsidR="003C5CB1" w:rsidRPr="00E47AA9" w:rsidRDefault="003C5CB1" w:rsidP="00CC1D9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1760" w:type="dxa"/>
            <w:gridSpan w:val="2"/>
            <w:tcBorders>
              <w:top w:val="single" w:sz="4" w:space="0" w:color="auto"/>
              <w:left w:val="nil"/>
              <w:bottom w:val="single" w:sz="4" w:space="0" w:color="auto"/>
              <w:right w:val="single" w:sz="4" w:space="0" w:color="auto"/>
            </w:tcBorders>
            <w:shd w:val="clear" w:color="auto" w:fill="auto"/>
            <w:vAlign w:val="center"/>
            <w:hideMark/>
          </w:tcPr>
          <w:p w14:paraId="759A9EBD" w14:textId="77777777" w:rsidR="003C5CB1" w:rsidRPr="00E47AA9" w:rsidRDefault="003C5CB1" w:rsidP="00CC1D9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отклонения</w:t>
            </w:r>
          </w:p>
        </w:tc>
      </w:tr>
      <w:tr w:rsidR="00E47AA9" w:rsidRPr="00E47AA9" w14:paraId="7589231A" w14:textId="77777777" w:rsidTr="0075366D">
        <w:trPr>
          <w:trHeight w:val="340"/>
          <w:tblHeader/>
        </w:trPr>
        <w:tc>
          <w:tcPr>
            <w:tcW w:w="486" w:type="dxa"/>
            <w:vMerge/>
            <w:tcBorders>
              <w:top w:val="single" w:sz="4" w:space="0" w:color="auto"/>
              <w:left w:val="single" w:sz="4" w:space="0" w:color="auto"/>
              <w:bottom w:val="single" w:sz="4" w:space="0" w:color="auto"/>
              <w:right w:val="single" w:sz="4" w:space="0" w:color="auto"/>
            </w:tcBorders>
            <w:vAlign w:val="center"/>
            <w:hideMark/>
          </w:tcPr>
          <w:p w14:paraId="7AADC4ED" w14:textId="77777777" w:rsidR="003C5CB1" w:rsidRPr="00E47AA9" w:rsidRDefault="003C5CB1" w:rsidP="00CC1D93">
            <w:pPr>
              <w:spacing w:after="0" w:line="240" w:lineRule="auto"/>
              <w:rPr>
                <w:rFonts w:ascii="Times New Roman" w:eastAsia="Times New Roman" w:hAnsi="Times New Roman" w:cs="Times New Roman"/>
                <w:sz w:val="20"/>
                <w:szCs w:val="20"/>
                <w:lang w:eastAsia="ru-RU"/>
              </w:rPr>
            </w:pPr>
          </w:p>
        </w:tc>
        <w:tc>
          <w:tcPr>
            <w:tcW w:w="2203" w:type="dxa"/>
            <w:vMerge/>
            <w:tcBorders>
              <w:top w:val="single" w:sz="4" w:space="0" w:color="auto"/>
              <w:left w:val="single" w:sz="4" w:space="0" w:color="auto"/>
              <w:bottom w:val="single" w:sz="4" w:space="0" w:color="auto"/>
              <w:right w:val="single" w:sz="4" w:space="0" w:color="auto"/>
            </w:tcBorders>
            <w:vAlign w:val="center"/>
            <w:hideMark/>
          </w:tcPr>
          <w:p w14:paraId="7768A8A3" w14:textId="77777777" w:rsidR="003C5CB1" w:rsidRPr="00E47AA9" w:rsidRDefault="003C5CB1" w:rsidP="00CC1D93">
            <w:pPr>
              <w:spacing w:after="0" w:line="240" w:lineRule="auto"/>
              <w:rPr>
                <w:rFonts w:ascii="Times New Roman" w:eastAsia="Times New Roman" w:hAnsi="Times New Roman" w:cs="Times New Roman"/>
                <w:sz w:val="20"/>
                <w:szCs w:val="20"/>
                <w:lang w:eastAsia="ru-RU"/>
              </w:rPr>
            </w:pPr>
          </w:p>
        </w:tc>
        <w:tc>
          <w:tcPr>
            <w:tcW w:w="1340" w:type="dxa"/>
            <w:vMerge/>
            <w:tcBorders>
              <w:top w:val="nil"/>
              <w:left w:val="single" w:sz="4" w:space="0" w:color="auto"/>
              <w:bottom w:val="single" w:sz="4" w:space="0" w:color="auto"/>
              <w:right w:val="single" w:sz="4" w:space="0" w:color="auto"/>
            </w:tcBorders>
            <w:vAlign w:val="center"/>
            <w:hideMark/>
          </w:tcPr>
          <w:p w14:paraId="051A6ED4" w14:textId="77777777" w:rsidR="003C5CB1" w:rsidRPr="00E47AA9" w:rsidRDefault="003C5CB1" w:rsidP="00CC1D93">
            <w:pPr>
              <w:spacing w:after="0" w:line="240" w:lineRule="auto"/>
              <w:rPr>
                <w:rFonts w:ascii="Times New Roman" w:eastAsia="Times New Roman" w:hAnsi="Times New Roman" w:cs="Times New Roman"/>
                <w:sz w:val="20"/>
                <w:szCs w:val="20"/>
                <w:lang w:eastAsia="ru-RU"/>
              </w:rPr>
            </w:pPr>
          </w:p>
        </w:tc>
        <w:tc>
          <w:tcPr>
            <w:tcW w:w="1369" w:type="dxa"/>
            <w:vMerge/>
            <w:tcBorders>
              <w:top w:val="nil"/>
              <w:left w:val="single" w:sz="4" w:space="0" w:color="auto"/>
              <w:bottom w:val="single" w:sz="4" w:space="0" w:color="auto"/>
              <w:right w:val="single" w:sz="4" w:space="0" w:color="auto"/>
            </w:tcBorders>
            <w:vAlign w:val="center"/>
            <w:hideMark/>
          </w:tcPr>
          <w:p w14:paraId="621A66FF" w14:textId="77777777" w:rsidR="003C5CB1" w:rsidRPr="00E47AA9" w:rsidRDefault="003C5CB1" w:rsidP="00CC1D93">
            <w:pPr>
              <w:spacing w:after="0" w:line="240" w:lineRule="auto"/>
              <w:rPr>
                <w:rFonts w:ascii="Times New Roman" w:eastAsia="Times New Roman" w:hAnsi="Times New Roman" w:cs="Times New Roman"/>
                <w:sz w:val="20"/>
                <w:szCs w:val="20"/>
                <w:lang w:eastAsia="ru-RU"/>
              </w:rPr>
            </w:pPr>
          </w:p>
        </w:tc>
        <w:tc>
          <w:tcPr>
            <w:tcW w:w="1242" w:type="dxa"/>
            <w:tcBorders>
              <w:top w:val="nil"/>
              <w:left w:val="nil"/>
              <w:bottom w:val="single" w:sz="4" w:space="0" w:color="auto"/>
              <w:right w:val="single" w:sz="4" w:space="0" w:color="auto"/>
            </w:tcBorders>
            <w:shd w:val="clear" w:color="auto" w:fill="auto"/>
            <w:vAlign w:val="center"/>
            <w:hideMark/>
          </w:tcPr>
          <w:p w14:paraId="29EE3661" w14:textId="77777777" w:rsidR="003C5CB1" w:rsidRPr="00E47AA9" w:rsidRDefault="003C5CB1" w:rsidP="00CC1D9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920" w:type="dxa"/>
            <w:tcBorders>
              <w:top w:val="nil"/>
              <w:left w:val="nil"/>
              <w:bottom w:val="single" w:sz="4" w:space="0" w:color="auto"/>
              <w:right w:val="single" w:sz="4" w:space="0" w:color="auto"/>
            </w:tcBorders>
            <w:shd w:val="clear" w:color="auto" w:fill="auto"/>
            <w:vAlign w:val="center"/>
            <w:hideMark/>
          </w:tcPr>
          <w:p w14:paraId="32A8F6BD" w14:textId="77777777" w:rsidR="003C5CB1" w:rsidRPr="00E47AA9" w:rsidRDefault="003C5CB1" w:rsidP="00CC1D9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w:t>
            </w:r>
          </w:p>
        </w:tc>
        <w:tc>
          <w:tcPr>
            <w:tcW w:w="1300" w:type="dxa"/>
            <w:vMerge/>
            <w:tcBorders>
              <w:top w:val="nil"/>
              <w:left w:val="single" w:sz="4" w:space="0" w:color="auto"/>
              <w:bottom w:val="single" w:sz="4" w:space="0" w:color="auto"/>
              <w:right w:val="single" w:sz="4" w:space="0" w:color="auto"/>
            </w:tcBorders>
            <w:vAlign w:val="center"/>
            <w:hideMark/>
          </w:tcPr>
          <w:p w14:paraId="170E7FCA" w14:textId="77777777" w:rsidR="003C5CB1" w:rsidRPr="00E47AA9" w:rsidRDefault="003C5CB1" w:rsidP="00CC1D93">
            <w:pPr>
              <w:spacing w:after="0" w:line="240" w:lineRule="auto"/>
              <w:rPr>
                <w:rFonts w:ascii="Times New Roman" w:eastAsia="Times New Roman" w:hAnsi="Times New Roman" w:cs="Times New Roman"/>
                <w:sz w:val="20"/>
                <w:szCs w:val="20"/>
                <w:lang w:eastAsia="ru-RU"/>
              </w:rPr>
            </w:pPr>
          </w:p>
        </w:tc>
        <w:tc>
          <w:tcPr>
            <w:tcW w:w="880" w:type="dxa"/>
            <w:tcBorders>
              <w:top w:val="nil"/>
              <w:left w:val="nil"/>
              <w:bottom w:val="single" w:sz="4" w:space="0" w:color="auto"/>
              <w:right w:val="single" w:sz="4" w:space="0" w:color="auto"/>
            </w:tcBorders>
            <w:shd w:val="clear" w:color="auto" w:fill="auto"/>
            <w:vAlign w:val="center"/>
            <w:hideMark/>
          </w:tcPr>
          <w:p w14:paraId="224914AB" w14:textId="77777777" w:rsidR="003C5CB1" w:rsidRPr="00E47AA9" w:rsidRDefault="003C5CB1" w:rsidP="00CC1D9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880" w:type="dxa"/>
            <w:tcBorders>
              <w:top w:val="nil"/>
              <w:left w:val="nil"/>
              <w:bottom w:val="single" w:sz="4" w:space="0" w:color="auto"/>
              <w:right w:val="single" w:sz="4" w:space="0" w:color="auto"/>
            </w:tcBorders>
            <w:shd w:val="clear" w:color="auto" w:fill="auto"/>
            <w:vAlign w:val="center"/>
            <w:hideMark/>
          </w:tcPr>
          <w:p w14:paraId="68AAA502" w14:textId="77777777" w:rsidR="003C5CB1" w:rsidRPr="00E47AA9" w:rsidRDefault="003C5CB1" w:rsidP="00CC1D9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w:t>
            </w:r>
          </w:p>
        </w:tc>
      </w:tr>
      <w:tr w:rsidR="00E47AA9" w:rsidRPr="00E47AA9" w14:paraId="359E663D" w14:textId="77777777" w:rsidTr="0075366D">
        <w:trPr>
          <w:trHeight w:val="340"/>
          <w:tblHead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2914936F" w14:textId="77777777" w:rsidR="003C5CB1" w:rsidRPr="00E47AA9" w:rsidRDefault="003C5CB1" w:rsidP="00CC1D93">
            <w:pPr>
              <w:spacing w:after="0" w:line="240" w:lineRule="auto"/>
              <w:jc w:val="center"/>
              <w:rPr>
                <w:rFonts w:ascii="Times New Roman" w:eastAsia="Times New Roman" w:hAnsi="Times New Roman" w:cs="Times New Roman"/>
                <w:i/>
                <w:sz w:val="20"/>
                <w:szCs w:val="20"/>
                <w:lang w:eastAsia="ru-RU"/>
              </w:rPr>
            </w:pPr>
            <w:r w:rsidRPr="00E47AA9">
              <w:rPr>
                <w:rFonts w:ascii="Times New Roman" w:eastAsia="Times New Roman" w:hAnsi="Times New Roman" w:cs="Times New Roman"/>
                <w:i/>
                <w:sz w:val="20"/>
                <w:szCs w:val="20"/>
                <w:lang w:eastAsia="ru-RU"/>
              </w:rPr>
              <w:t>1</w:t>
            </w:r>
          </w:p>
        </w:tc>
        <w:tc>
          <w:tcPr>
            <w:tcW w:w="2203" w:type="dxa"/>
            <w:tcBorders>
              <w:top w:val="nil"/>
              <w:left w:val="nil"/>
              <w:bottom w:val="single" w:sz="4" w:space="0" w:color="auto"/>
              <w:right w:val="single" w:sz="4" w:space="0" w:color="auto"/>
            </w:tcBorders>
            <w:shd w:val="clear" w:color="000000" w:fill="FFFFFF"/>
            <w:vAlign w:val="center"/>
            <w:hideMark/>
          </w:tcPr>
          <w:p w14:paraId="1568CDE3" w14:textId="77777777" w:rsidR="003C5CB1" w:rsidRPr="00E47AA9" w:rsidRDefault="003C5CB1" w:rsidP="00CC1D93">
            <w:pPr>
              <w:spacing w:after="0" w:line="240" w:lineRule="auto"/>
              <w:jc w:val="center"/>
              <w:rPr>
                <w:rFonts w:ascii="Times New Roman" w:eastAsia="Times New Roman" w:hAnsi="Times New Roman" w:cs="Times New Roman"/>
                <w:i/>
                <w:sz w:val="20"/>
                <w:szCs w:val="20"/>
                <w:lang w:eastAsia="ru-RU"/>
              </w:rPr>
            </w:pPr>
            <w:r w:rsidRPr="00E47AA9">
              <w:rPr>
                <w:rFonts w:ascii="Times New Roman" w:eastAsia="Times New Roman" w:hAnsi="Times New Roman" w:cs="Times New Roman"/>
                <w:i/>
                <w:sz w:val="20"/>
                <w:szCs w:val="20"/>
                <w:lang w:eastAsia="ru-RU"/>
              </w:rPr>
              <w:t>2</w:t>
            </w:r>
          </w:p>
        </w:tc>
        <w:tc>
          <w:tcPr>
            <w:tcW w:w="1340" w:type="dxa"/>
            <w:tcBorders>
              <w:top w:val="nil"/>
              <w:left w:val="nil"/>
              <w:bottom w:val="single" w:sz="4" w:space="0" w:color="auto"/>
              <w:right w:val="single" w:sz="4" w:space="0" w:color="auto"/>
            </w:tcBorders>
            <w:shd w:val="clear" w:color="auto" w:fill="auto"/>
            <w:vAlign w:val="center"/>
            <w:hideMark/>
          </w:tcPr>
          <w:p w14:paraId="70AF38A8" w14:textId="77777777" w:rsidR="003C5CB1" w:rsidRPr="00E47AA9" w:rsidRDefault="003C5CB1" w:rsidP="00CC1D93">
            <w:pPr>
              <w:spacing w:after="0" w:line="240" w:lineRule="auto"/>
              <w:jc w:val="center"/>
              <w:rPr>
                <w:rFonts w:ascii="Times New Roman" w:eastAsia="Times New Roman" w:hAnsi="Times New Roman" w:cs="Times New Roman"/>
                <w:i/>
                <w:sz w:val="20"/>
                <w:szCs w:val="20"/>
                <w:lang w:eastAsia="ru-RU"/>
              </w:rPr>
            </w:pPr>
            <w:r w:rsidRPr="00E47AA9">
              <w:rPr>
                <w:rFonts w:ascii="Times New Roman" w:eastAsia="Times New Roman" w:hAnsi="Times New Roman" w:cs="Times New Roman"/>
                <w:i/>
                <w:sz w:val="20"/>
                <w:szCs w:val="20"/>
                <w:lang w:eastAsia="ru-RU"/>
              </w:rPr>
              <w:t>3</w:t>
            </w:r>
          </w:p>
        </w:tc>
        <w:tc>
          <w:tcPr>
            <w:tcW w:w="1369" w:type="dxa"/>
            <w:tcBorders>
              <w:top w:val="nil"/>
              <w:left w:val="nil"/>
              <w:bottom w:val="single" w:sz="4" w:space="0" w:color="auto"/>
              <w:right w:val="single" w:sz="4" w:space="0" w:color="auto"/>
            </w:tcBorders>
            <w:shd w:val="clear" w:color="auto" w:fill="auto"/>
            <w:vAlign w:val="center"/>
            <w:hideMark/>
          </w:tcPr>
          <w:p w14:paraId="0D1D71E8" w14:textId="77777777" w:rsidR="003C5CB1" w:rsidRPr="00E47AA9" w:rsidRDefault="003C5CB1" w:rsidP="00CC1D93">
            <w:pPr>
              <w:spacing w:after="0" w:line="240" w:lineRule="auto"/>
              <w:jc w:val="center"/>
              <w:rPr>
                <w:rFonts w:ascii="Times New Roman" w:eastAsia="Times New Roman" w:hAnsi="Times New Roman" w:cs="Times New Roman"/>
                <w:i/>
                <w:sz w:val="20"/>
                <w:szCs w:val="20"/>
                <w:lang w:eastAsia="ru-RU"/>
              </w:rPr>
            </w:pPr>
            <w:r w:rsidRPr="00E47AA9">
              <w:rPr>
                <w:rFonts w:ascii="Times New Roman" w:eastAsia="Times New Roman" w:hAnsi="Times New Roman" w:cs="Times New Roman"/>
                <w:i/>
                <w:sz w:val="20"/>
                <w:szCs w:val="20"/>
                <w:lang w:eastAsia="ru-RU"/>
              </w:rPr>
              <w:t>4</w:t>
            </w:r>
          </w:p>
        </w:tc>
        <w:tc>
          <w:tcPr>
            <w:tcW w:w="1242" w:type="dxa"/>
            <w:tcBorders>
              <w:top w:val="nil"/>
              <w:left w:val="nil"/>
              <w:bottom w:val="single" w:sz="4" w:space="0" w:color="auto"/>
              <w:right w:val="single" w:sz="4" w:space="0" w:color="auto"/>
            </w:tcBorders>
            <w:shd w:val="clear" w:color="auto" w:fill="auto"/>
            <w:vAlign w:val="center"/>
            <w:hideMark/>
          </w:tcPr>
          <w:p w14:paraId="3DA781E9" w14:textId="77777777" w:rsidR="003C5CB1" w:rsidRPr="00E47AA9" w:rsidRDefault="003C5CB1" w:rsidP="00CC1D93">
            <w:pPr>
              <w:spacing w:after="0" w:line="240" w:lineRule="auto"/>
              <w:jc w:val="center"/>
              <w:rPr>
                <w:rFonts w:ascii="Times New Roman" w:eastAsia="Times New Roman" w:hAnsi="Times New Roman" w:cs="Times New Roman"/>
                <w:i/>
                <w:sz w:val="20"/>
                <w:szCs w:val="20"/>
                <w:lang w:eastAsia="ru-RU"/>
              </w:rPr>
            </w:pPr>
            <w:r w:rsidRPr="00E47AA9">
              <w:rPr>
                <w:rFonts w:ascii="Times New Roman" w:eastAsia="Times New Roman" w:hAnsi="Times New Roman" w:cs="Times New Roman"/>
                <w:i/>
                <w:sz w:val="20"/>
                <w:szCs w:val="20"/>
                <w:lang w:eastAsia="ru-RU"/>
              </w:rPr>
              <w:t>5=4-3</w:t>
            </w:r>
          </w:p>
        </w:tc>
        <w:tc>
          <w:tcPr>
            <w:tcW w:w="920" w:type="dxa"/>
            <w:tcBorders>
              <w:top w:val="nil"/>
              <w:left w:val="nil"/>
              <w:bottom w:val="single" w:sz="4" w:space="0" w:color="auto"/>
              <w:right w:val="single" w:sz="4" w:space="0" w:color="auto"/>
            </w:tcBorders>
            <w:shd w:val="clear" w:color="auto" w:fill="auto"/>
            <w:noWrap/>
            <w:vAlign w:val="center"/>
            <w:hideMark/>
          </w:tcPr>
          <w:p w14:paraId="5E2F9D10" w14:textId="77777777" w:rsidR="003C5CB1" w:rsidRPr="00E47AA9" w:rsidRDefault="003C5CB1" w:rsidP="00CC1D93">
            <w:pPr>
              <w:spacing w:after="0" w:line="240" w:lineRule="auto"/>
              <w:jc w:val="center"/>
              <w:rPr>
                <w:rFonts w:ascii="Times New Roman" w:eastAsia="Times New Roman" w:hAnsi="Times New Roman" w:cs="Times New Roman"/>
                <w:i/>
                <w:sz w:val="20"/>
                <w:szCs w:val="20"/>
                <w:lang w:eastAsia="ru-RU"/>
              </w:rPr>
            </w:pPr>
            <w:r w:rsidRPr="00E47AA9">
              <w:rPr>
                <w:rFonts w:ascii="Times New Roman" w:eastAsia="Times New Roman" w:hAnsi="Times New Roman" w:cs="Times New Roman"/>
                <w:i/>
                <w:sz w:val="20"/>
                <w:szCs w:val="20"/>
                <w:lang w:eastAsia="ru-RU"/>
              </w:rPr>
              <w:t>6</w:t>
            </w:r>
          </w:p>
        </w:tc>
        <w:tc>
          <w:tcPr>
            <w:tcW w:w="1300" w:type="dxa"/>
            <w:tcBorders>
              <w:top w:val="nil"/>
              <w:left w:val="nil"/>
              <w:bottom w:val="single" w:sz="4" w:space="0" w:color="auto"/>
              <w:right w:val="single" w:sz="4" w:space="0" w:color="auto"/>
            </w:tcBorders>
            <w:shd w:val="clear" w:color="auto" w:fill="auto"/>
            <w:vAlign w:val="center"/>
            <w:hideMark/>
          </w:tcPr>
          <w:p w14:paraId="63A94B59" w14:textId="77777777" w:rsidR="003C5CB1" w:rsidRPr="00E47AA9" w:rsidRDefault="003C5CB1" w:rsidP="00CC1D93">
            <w:pPr>
              <w:spacing w:after="0" w:line="240" w:lineRule="auto"/>
              <w:jc w:val="center"/>
              <w:rPr>
                <w:rFonts w:ascii="Times New Roman" w:eastAsia="Times New Roman" w:hAnsi="Times New Roman" w:cs="Times New Roman"/>
                <w:i/>
                <w:sz w:val="20"/>
                <w:szCs w:val="20"/>
                <w:lang w:eastAsia="ru-RU"/>
              </w:rPr>
            </w:pPr>
            <w:r w:rsidRPr="00E47AA9">
              <w:rPr>
                <w:rFonts w:ascii="Times New Roman" w:eastAsia="Times New Roman" w:hAnsi="Times New Roman" w:cs="Times New Roman"/>
                <w:i/>
                <w:sz w:val="20"/>
                <w:szCs w:val="20"/>
                <w:lang w:eastAsia="ru-RU"/>
              </w:rPr>
              <w:t>7</w:t>
            </w:r>
          </w:p>
        </w:tc>
        <w:tc>
          <w:tcPr>
            <w:tcW w:w="880" w:type="dxa"/>
            <w:tcBorders>
              <w:top w:val="nil"/>
              <w:left w:val="nil"/>
              <w:bottom w:val="single" w:sz="4" w:space="0" w:color="auto"/>
              <w:right w:val="single" w:sz="4" w:space="0" w:color="auto"/>
            </w:tcBorders>
            <w:shd w:val="clear" w:color="auto" w:fill="auto"/>
            <w:vAlign w:val="center"/>
            <w:hideMark/>
          </w:tcPr>
          <w:p w14:paraId="70BC7BAE" w14:textId="77777777" w:rsidR="003C5CB1" w:rsidRPr="00E47AA9" w:rsidRDefault="003C5CB1" w:rsidP="00CC1D93">
            <w:pPr>
              <w:spacing w:after="0" w:line="240" w:lineRule="auto"/>
              <w:jc w:val="center"/>
              <w:rPr>
                <w:rFonts w:ascii="Times New Roman" w:eastAsia="Times New Roman" w:hAnsi="Times New Roman" w:cs="Times New Roman"/>
                <w:i/>
                <w:sz w:val="20"/>
                <w:szCs w:val="20"/>
                <w:lang w:eastAsia="ru-RU"/>
              </w:rPr>
            </w:pPr>
            <w:r w:rsidRPr="00E47AA9">
              <w:rPr>
                <w:rFonts w:ascii="Times New Roman" w:eastAsia="Times New Roman" w:hAnsi="Times New Roman" w:cs="Times New Roman"/>
                <w:i/>
                <w:sz w:val="20"/>
                <w:szCs w:val="20"/>
                <w:lang w:eastAsia="ru-RU"/>
              </w:rPr>
              <w:t>8=7-4</w:t>
            </w:r>
          </w:p>
        </w:tc>
        <w:tc>
          <w:tcPr>
            <w:tcW w:w="880" w:type="dxa"/>
            <w:tcBorders>
              <w:top w:val="nil"/>
              <w:left w:val="nil"/>
              <w:bottom w:val="single" w:sz="4" w:space="0" w:color="auto"/>
              <w:right w:val="single" w:sz="4" w:space="0" w:color="auto"/>
            </w:tcBorders>
            <w:shd w:val="clear" w:color="auto" w:fill="auto"/>
            <w:noWrap/>
            <w:vAlign w:val="center"/>
            <w:hideMark/>
          </w:tcPr>
          <w:p w14:paraId="09E1C710" w14:textId="77777777" w:rsidR="003C5CB1" w:rsidRPr="00E47AA9" w:rsidRDefault="003C5CB1" w:rsidP="00CC1D93">
            <w:pPr>
              <w:spacing w:after="0" w:line="240" w:lineRule="auto"/>
              <w:jc w:val="center"/>
              <w:rPr>
                <w:rFonts w:ascii="Times New Roman" w:eastAsia="Times New Roman" w:hAnsi="Times New Roman" w:cs="Times New Roman"/>
                <w:i/>
                <w:sz w:val="20"/>
                <w:szCs w:val="20"/>
                <w:lang w:eastAsia="ru-RU"/>
              </w:rPr>
            </w:pPr>
            <w:r w:rsidRPr="00E47AA9">
              <w:rPr>
                <w:rFonts w:ascii="Times New Roman" w:eastAsia="Times New Roman" w:hAnsi="Times New Roman" w:cs="Times New Roman"/>
                <w:i/>
                <w:sz w:val="20"/>
                <w:szCs w:val="20"/>
                <w:lang w:eastAsia="ru-RU"/>
              </w:rPr>
              <w:t>9=7/4</w:t>
            </w:r>
          </w:p>
        </w:tc>
      </w:tr>
      <w:tr w:rsidR="00E47AA9" w:rsidRPr="00E47AA9" w14:paraId="20F3B55A"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14:paraId="18C4F932" w14:textId="5408FBA7" w:rsidR="00786F01" w:rsidRPr="00E47AA9" w:rsidRDefault="00786F01" w:rsidP="00786F01">
            <w:pPr>
              <w:spacing w:after="0" w:line="240" w:lineRule="auto"/>
              <w:rPr>
                <w:rFonts w:ascii="Times New Roman" w:eastAsia="Times New Roman" w:hAnsi="Times New Roman" w:cs="Times New Roman"/>
                <w:sz w:val="20"/>
                <w:szCs w:val="20"/>
                <w:lang w:eastAsia="ru-RU"/>
              </w:rPr>
            </w:pPr>
          </w:p>
        </w:tc>
        <w:tc>
          <w:tcPr>
            <w:tcW w:w="2203" w:type="dxa"/>
            <w:tcBorders>
              <w:top w:val="nil"/>
              <w:left w:val="nil"/>
              <w:bottom w:val="single" w:sz="4" w:space="0" w:color="auto"/>
              <w:right w:val="nil"/>
            </w:tcBorders>
            <w:shd w:val="clear" w:color="000000" w:fill="FFFFFF"/>
            <w:vAlign w:val="center"/>
            <w:hideMark/>
          </w:tcPr>
          <w:p w14:paraId="5798AE22" w14:textId="77777777" w:rsidR="00786F01" w:rsidRPr="00E47AA9" w:rsidRDefault="00786F01" w:rsidP="00786F01">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Государственные программы Приморского края всего,</w:t>
            </w:r>
          </w:p>
        </w:tc>
        <w:tc>
          <w:tcPr>
            <w:tcW w:w="1340" w:type="dxa"/>
            <w:tcBorders>
              <w:top w:val="nil"/>
              <w:left w:val="single" w:sz="8" w:space="0" w:color="auto"/>
              <w:bottom w:val="single" w:sz="8" w:space="0" w:color="auto"/>
              <w:right w:val="single" w:sz="8" w:space="0" w:color="auto"/>
            </w:tcBorders>
            <w:shd w:val="clear" w:color="auto" w:fill="auto"/>
            <w:vAlign w:val="center"/>
            <w:hideMark/>
          </w:tcPr>
          <w:p w14:paraId="175D2652" w14:textId="3E218879"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223 778,64</w:t>
            </w:r>
          </w:p>
        </w:tc>
        <w:tc>
          <w:tcPr>
            <w:tcW w:w="1369" w:type="dxa"/>
            <w:tcBorders>
              <w:top w:val="nil"/>
              <w:left w:val="nil"/>
              <w:bottom w:val="single" w:sz="8" w:space="0" w:color="auto"/>
              <w:right w:val="single" w:sz="8" w:space="0" w:color="auto"/>
            </w:tcBorders>
            <w:shd w:val="clear" w:color="auto" w:fill="auto"/>
            <w:noWrap/>
            <w:vAlign w:val="center"/>
            <w:hideMark/>
          </w:tcPr>
          <w:p w14:paraId="6B93D4B4" w14:textId="0E8490A4"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232 466,21</w:t>
            </w:r>
          </w:p>
        </w:tc>
        <w:tc>
          <w:tcPr>
            <w:tcW w:w="1242" w:type="dxa"/>
            <w:tcBorders>
              <w:top w:val="nil"/>
              <w:left w:val="nil"/>
              <w:bottom w:val="single" w:sz="8" w:space="0" w:color="auto"/>
              <w:right w:val="single" w:sz="8" w:space="0" w:color="auto"/>
            </w:tcBorders>
            <w:shd w:val="clear" w:color="auto" w:fill="auto"/>
            <w:noWrap/>
            <w:vAlign w:val="center"/>
            <w:hideMark/>
          </w:tcPr>
          <w:p w14:paraId="2153F115" w14:textId="355A9C51"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8 687,57</w:t>
            </w:r>
          </w:p>
        </w:tc>
        <w:tc>
          <w:tcPr>
            <w:tcW w:w="920" w:type="dxa"/>
            <w:tcBorders>
              <w:top w:val="nil"/>
              <w:left w:val="nil"/>
              <w:bottom w:val="single" w:sz="8" w:space="0" w:color="auto"/>
              <w:right w:val="single" w:sz="8" w:space="0" w:color="auto"/>
            </w:tcBorders>
            <w:shd w:val="clear" w:color="auto" w:fill="auto"/>
            <w:noWrap/>
            <w:vAlign w:val="center"/>
            <w:hideMark/>
          </w:tcPr>
          <w:p w14:paraId="2C54777D" w14:textId="56E0FDAD"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103,88</w:t>
            </w:r>
          </w:p>
        </w:tc>
        <w:tc>
          <w:tcPr>
            <w:tcW w:w="1300" w:type="dxa"/>
            <w:tcBorders>
              <w:top w:val="nil"/>
              <w:left w:val="nil"/>
              <w:bottom w:val="single" w:sz="8" w:space="0" w:color="auto"/>
              <w:right w:val="single" w:sz="8" w:space="0" w:color="auto"/>
            </w:tcBorders>
            <w:shd w:val="clear" w:color="auto" w:fill="auto"/>
            <w:noWrap/>
            <w:vAlign w:val="center"/>
            <w:hideMark/>
          </w:tcPr>
          <w:p w14:paraId="3F78CD7A" w14:textId="4DAF0902"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232 736,31</w:t>
            </w:r>
          </w:p>
        </w:tc>
        <w:tc>
          <w:tcPr>
            <w:tcW w:w="880" w:type="dxa"/>
            <w:tcBorders>
              <w:top w:val="nil"/>
              <w:left w:val="nil"/>
              <w:bottom w:val="single" w:sz="8" w:space="0" w:color="auto"/>
              <w:right w:val="single" w:sz="8" w:space="0" w:color="auto"/>
            </w:tcBorders>
            <w:shd w:val="clear" w:color="auto" w:fill="auto"/>
            <w:noWrap/>
            <w:vAlign w:val="center"/>
            <w:hideMark/>
          </w:tcPr>
          <w:p w14:paraId="186F9DB6" w14:textId="4F8F8325"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270,10</w:t>
            </w:r>
          </w:p>
        </w:tc>
        <w:tc>
          <w:tcPr>
            <w:tcW w:w="880" w:type="dxa"/>
            <w:tcBorders>
              <w:top w:val="nil"/>
              <w:left w:val="nil"/>
              <w:bottom w:val="single" w:sz="8" w:space="0" w:color="auto"/>
              <w:right w:val="single" w:sz="8" w:space="0" w:color="auto"/>
            </w:tcBorders>
            <w:shd w:val="clear" w:color="auto" w:fill="auto"/>
            <w:noWrap/>
            <w:vAlign w:val="center"/>
            <w:hideMark/>
          </w:tcPr>
          <w:p w14:paraId="0D02012C" w14:textId="52BEF81F"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100,12</w:t>
            </w:r>
          </w:p>
        </w:tc>
      </w:tr>
      <w:tr w:rsidR="00E47AA9" w:rsidRPr="00E47AA9" w14:paraId="28717546"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4080F24C"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w:t>
            </w:r>
          </w:p>
        </w:tc>
        <w:tc>
          <w:tcPr>
            <w:tcW w:w="2203" w:type="dxa"/>
            <w:tcBorders>
              <w:top w:val="nil"/>
              <w:left w:val="nil"/>
              <w:bottom w:val="single" w:sz="4" w:space="0" w:color="auto"/>
              <w:right w:val="nil"/>
            </w:tcBorders>
            <w:shd w:val="clear" w:color="000000" w:fill="FFFFFF"/>
            <w:hideMark/>
          </w:tcPr>
          <w:p w14:paraId="2DDC14B8"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Развитие здравоохранения Приморского края </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6F1398C7" w14:textId="0950EF76"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34 385,97</w:t>
            </w:r>
          </w:p>
        </w:tc>
        <w:tc>
          <w:tcPr>
            <w:tcW w:w="1369" w:type="dxa"/>
            <w:tcBorders>
              <w:top w:val="nil"/>
              <w:left w:val="nil"/>
              <w:bottom w:val="single" w:sz="8" w:space="0" w:color="auto"/>
              <w:right w:val="single" w:sz="8" w:space="0" w:color="auto"/>
            </w:tcBorders>
            <w:shd w:val="clear" w:color="auto" w:fill="auto"/>
            <w:noWrap/>
            <w:vAlign w:val="center"/>
            <w:hideMark/>
          </w:tcPr>
          <w:p w14:paraId="5DD90480" w14:textId="5AD38C71"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36 506,40</w:t>
            </w:r>
          </w:p>
        </w:tc>
        <w:tc>
          <w:tcPr>
            <w:tcW w:w="1242" w:type="dxa"/>
            <w:tcBorders>
              <w:top w:val="nil"/>
              <w:left w:val="nil"/>
              <w:bottom w:val="single" w:sz="8" w:space="0" w:color="auto"/>
              <w:right w:val="single" w:sz="8" w:space="0" w:color="auto"/>
            </w:tcBorders>
            <w:shd w:val="clear" w:color="000000" w:fill="FFFFFF"/>
            <w:vAlign w:val="center"/>
            <w:hideMark/>
          </w:tcPr>
          <w:p w14:paraId="698E863A" w14:textId="556E35AC"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2 120,43</w:t>
            </w:r>
          </w:p>
        </w:tc>
        <w:tc>
          <w:tcPr>
            <w:tcW w:w="920" w:type="dxa"/>
            <w:tcBorders>
              <w:top w:val="nil"/>
              <w:left w:val="nil"/>
              <w:bottom w:val="single" w:sz="8" w:space="0" w:color="auto"/>
              <w:right w:val="single" w:sz="8" w:space="0" w:color="auto"/>
            </w:tcBorders>
            <w:shd w:val="clear" w:color="auto" w:fill="auto"/>
            <w:noWrap/>
            <w:vAlign w:val="center"/>
            <w:hideMark/>
          </w:tcPr>
          <w:p w14:paraId="1BC05635" w14:textId="2F47ED44"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106,17</w:t>
            </w:r>
          </w:p>
        </w:tc>
        <w:tc>
          <w:tcPr>
            <w:tcW w:w="1300" w:type="dxa"/>
            <w:tcBorders>
              <w:top w:val="nil"/>
              <w:left w:val="nil"/>
              <w:bottom w:val="single" w:sz="8" w:space="0" w:color="auto"/>
              <w:right w:val="single" w:sz="8" w:space="0" w:color="auto"/>
            </w:tcBorders>
            <w:shd w:val="clear" w:color="auto" w:fill="auto"/>
            <w:noWrap/>
            <w:vAlign w:val="center"/>
            <w:hideMark/>
          </w:tcPr>
          <w:p w14:paraId="3CB801C0" w14:textId="661E9C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37 088,42</w:t>
            </w:r>
          </w:p>
        </w:tc>
        <w:tc>
          <w:tcPr>
            <w:tcW w:w="880" w:type="dxa"/>
            <w:tcBorders>
              <w:top w:val="nil"/>
              <w:left w:val="nil"/>
              <w:bottom w:val="single" w:sz="8" w:space="0" w:color="auto"/>
              <w:right w:val="single" w:sz="8" w:space="0" w:color="auto"/>
            </w:tcBorders>
            <w:shd w:val="clear" w:color="auto" w:fill="auto"/>
            <w:noWrap/>
            <w:vAlign w:val="center"/>
            <w:hideMark/>
          </w:tcPr>
          <w:p w14:paraId="7A27FC10" w14:textId="30187F8E"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582,02</w:t>
            </w:r>
          </w:p>
        </w:tc>
        <w:tc>
          <w:tcPr>
            <w:tcW w:w="880" w:type="dxa"/>
            <w:tcBorders>
              <w:top w:val="nil"/>
              <w:left w:val="nil"/>
              <w:bottom w:val="single" w:sz="8" w:space="0" w:color="auto"/>
              <w:right w:val="single" w:sz="8" w:space="0" w:color="auto"/>
            </w:tcBorders>
            <w:shd w:val="clear" w:color="auto" w:fill="auto"/>
            <w:noWrap/>
            <w:vAlign w:val="center"/>
            <w:hideMark/>
          </w:tcPr>
          <w:p w14:paraId="6AFDDF6E" w14:textId="1F73B1C6"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101,59</w:t>
            </w:r>
          </w:p>
        </w:tc>
      </w:tr>
      <w:tr w:rsidR="00E47AA9" w:rsidRPr="00E47AA9" w14:paraId="29CFD923"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23ACD114"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w:t>
            </w:r>
          </w:p>
        </w:tc>
        <w:tc>
          <w:tcPr>
            <w:tcW w:w="2203" w:type="dxa"/>
            <w:tcBorders>
              <w:top w:val="nil"/>
              <w:left w:val="nil"/>
              <w:bottom w:val="single" w:sz="4" w:space="0" w:color="auto"/>
              <w:right w:val="nil"/>
            </w:tcBorders>
            <w:shd w:val="clear" w:color="000000" w:fill="FFFFFF"/>
            <w:hideMark/>
          </w:tcPr>
          <w:p w14:paraId="37DDAD28" w14:textId="24320BD9"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образования Приморского края</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4E48968C" w14:textId="72063672"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49 677,57</w:t>
            </w:r>
          </w:p>
        </w:tc>
        <w:tc>
          <w:tcPr>
            <w:tcW w:w="1369" w:type="dxa"/>
            <w:tcBorders>
              <w:top w:val="nil"/>
              <w:left w:val="nil"/>
              <w:bottom w:val="single" w:sz="8" w:space="0" w:color="auto"/>
              <w:right w:val="single" w:sz="8" w:space="0" w:color="auto"/>
            </w:tcBorders>
            <w:shd w:val="clear" w:color="auto" w:fill="auto"/>
            <w:noWrap/>
            <w:vAlign w:val="center"/>
            <w:hideMark/>
          </w:tcPr>
          <w:p w14:paraId="51C4497B" w14:textId="50A9E045"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48 367,60</w:t>
            </w:r>
          </w:p>
        </w:tc>
        <w:tc>
          <w:tcPr>
            <w:tcW w:w="1242" w:type="dxa"/>
            <w:tcBorders>
              <w:top w:val="nil"/>
              <w:left w:val="nil"/>
              <w:bottom w:val="single" w:sz="8" w:space="0" w:color="auto"/>
              <w:right w:val="single" w:sz="8" w:space="0" w:color="auto"/>
            </w:tcBorders>
            <w:shd w:val="clear" w:color="000000" w:fill="FFFFFF"/>
            <w:vAlign w:val="center"/>
            <w:hideMark/>
          </w:tcPr>
          <w:p w14:paraId="7243DE9B" w14:textId="42BF2E7D"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-1 309,97</w:t>
            </w:r>
          </w:p>
        </w:tc>
        <w:tc>
          <w:tcPr>
            <w:tcW w:w="920" w:type="dxa"/>
            <w:tcBorders>
              <w:top w:val="nil"/>
              <w:left w:val="nil"/>
              <w:bottom w:val="single" w:sz="8" w:space="0" w:color="auto"/>
              <w:right w:val="single" w:sz="8" w:space="0" w:color="auto"/>
            </w:tcBorders>
            <w:shd w:val="clear" w:color="auto" w:fill="auto"/>
            <w:noWrap/>
            <w:vAlign w:val="center"/>
            <w:hideMark/>
          </w:tcPr>
          <w:p w14:paraId="30BFC1DE" w14:textId="0531A2C1"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97,36</w:t>
            </w:r>
          </w:p>
        </w:tc>
        <w:tc>
          <w:tcPr>
            <w:tcW w:w="1300" w:type="dxa"/>
            <w:tcBorders>
              <w:top w:val="nil"/>
              <w:left w:val="nil"/>
              <w:bottom w:val="single" w:sz="8" w:space="0" w:color="auto"/>
              <w:right w:val="single" w:sz="8" w:space="0" w:color="auto"/>
            </w:tcBorders>
            <w:shd w:val="clear" w:color="auto" w:fill="auto"/>
            <w:noWrap/>
            <w:vAlign w:val="center"/>
            <w:hideMark/>
          </w:tcPr>
          <w:p w14:paraId="477D284E" w14:textId="3BA83BF6"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48 359,43</w:t>
            </w:r>
          </w:p>
        </w:tc>
        <w:tc>
          <w:tcPr>
            <w:tcW w:w="880" w:type="dxa"/>
            <w:tcBorders>
              <w:top w:val="nil"/>
              <w:left w:val="nil"/>
              <w:bottom w:val="single" w:sz="8" w:space="0" w:color="auto"/>
              <w:right w:val="single" w:sz="8" w:space="0" w:color="auto"/>
            </w:tcBorders>
            <w:shd w:val="clear" w:color="auto" w:fill="auto"/>
            <w:noWrap/>
            <w:vAlign w:val="center"/>
            <w:hideMark/>
          </w:tcPr>
          <w:p w14:paraId="27801D31" w14:textId="6CBA1383"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-8,17</w:t>
            </w:r>
          </w:p>
        </w:tc>
        <w:tc>
          <w:tcPr>
            <w:tcW w:w="880" w:type="dxa"/>
            <w:tcBorders>
              <w:top w:val="nil"/>
              <w:left w:val="nil"/>
              <w:bottom w:val="single" w:sz="8" w:space="0" w:color="auto"/>
              <w:right w:val="single" w:sz="8" w:space="0" w:color="auto"/>
            </w:tcBorders>
            <w:shd w:val="clear" w:color="auto" w:fill="auto"/>
            <w:noWrap/>
            <w:vAlign w:val="center"/>
            <w:hideMark/>
          </w:tcPr>
          <w:p w14:paraId="78ECA701" w14:textId="34151EA8"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99,98</w:t>
            </w:r>
          </w:p>
        </w:tc>
      </w:tr>
      <w:tr w:rsidR="00E47AA9" w:rsidRPr="00E47AA9" w14:paraId="1197FC5E"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25C9CC4A"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w:t>
            </w:r>
          </w:p>
        </w:tc>
        <w:tc>
          <w:tcPr>
            <w:tcW w:w="2203" w:type="dxa"/>
            <w:tcBorders>
              <w:top w:val="nil"/>
              <w:left w:val="nil"/>
              <w:bottom w:val="single" w:sz="4" w:space="0" w:color="auto"/>
              <w:right w:val="nil"/>
            </w:tcBorders>
            <w:shd w:val="clear" w:color="000000" w:fill="FFFFFF"/>
            <w:hideMark/>
          </w:tcPr>
          <w:p w14:paraId="49AEEBAE"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Социальная поддержка населения Приморского края </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56943FE9" w14:textId="789A6FD4"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32 386,67</w:t>
            </w:r>
          </w:p>
        </w:tc>
        <w:tc>
          <w:tcPr>
            <w:tcW w:w="1369" w:type="dxa"/>
            <w:tcBorders>
              <w:top w:val="nil"/>
              <w:left w:val="nil"/>
              <w:bottom w:val="single" w:sz="8" w:space="0" w:color="auto"/>
              <w:right w:val="single" w:sz="8" w:space="0" w:color="auto"/>
            </w:tcBorders>
            <w:shd w:val="clear" w:color="auto" w:fill="auto"/>
            <w:noWrap/>
            <w:vAlign w:val="center"/>
            <w:hideMark/>
          </w:tcPr>
          <w:p w14:paraId="1064B559" w14:textId="2709FFD0"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32 173,06</w:t>
            </w:r>
          </w:p>
        </w:tc>
        <w:tc>
          <w:tcPr>
            <w:tcW w:w="1242" w:type="dxa"/>
            <w:tcBorders>
              <w:top w:val="nil"/>
              <w:left w:val="nil"/>
              <w:bottom w:val="single" w:sz="8" w:space="0" w:color="auto"/>
              <w:right w:val="single" w:sz="8" w:space="0" w:color="auto"/>
            </w:tcBorders>
            <w:shd w:val="clear" w:color="000000" w:fill="FFFFFF"/>
            <w:vAlign w:val="center"/>
            <w:hideMark/>
          </w:tcPr>
          <w:p w14:paraId="028DD9CC" w14:textId="48AA0EFB"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-213,61</w:t>
            </w:r>
          </w:p>
        </w:tc>
        <w:tc>
          <w:tcPr>
            <w:tcW w:w="920" w:type="dxa"/>
            <w:tcBorders>
              <w:top w:val="nil"/>
              <w:left w:val="nil"/>
              <w:bottom w:val="single" w:sz="8" w:space="0" w:color="auto"/>
              <w:right w:val="single" w:sz="8" w:space="0" w:color="auto"/>
            </w:tcBorders>
            <w:shd w:val="clear" w:color="auto" w:fill="auto"/>
            <w:noWrap/>
            <w:vAlign w:val="center"/>
            <w:hideMark/>
          </w:tcPr>
          <w:p w14:paraId="16E91F02" w14:textId="08913234"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99,34</w:t>
            </w:r>
          </w:p>
        </w:tc>
        <w:tc>
          <w:tcPr>
            <w:tcW w:w="1300" w:type="dxa"/>
            <w:tcBorders>
              <w:top w:val="nil"/>
              <w:left w:val="nil"/>
              <w:bottom w:val="single" w:sz="8" w:space="0" w:color="auto"/>
              <w:right w:val="single" w:sz="8" w:space="0" w:color="auto"/>
            </w:tcBorders>
            <w:shd w:val="clear" w:color="auto" w:fill="auto"/>
            <w:noWrap/>
            <w:vAlign w:val="center"/>
            <w:hideMark/>
          </w:tcPr>
          <w:p w14:paraId="0857568A" w14:textId="3935ECC6"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32 010,29</w:t>
            </w:r>
          </w:p>
        </w:tc>
        <w:tc>
          <w:tcPr>
            <w:tcW w:w="880" w:type="dxa"/>
            <w:tcBorders>
              <w:top w:val="nil"/>
              <w:left w:val="nil"/>
              <w:bottom w:val="single" w:sz="8" w:space="0" w:color="auto"/>
              <w:right w:val="single" w:sz="8" w:space="0" w:color="auto"/>
            </w:tcBorders>
            <w:shd w:val="clear" w:color="auto" w:fill="auto"/>
            <w:noWrap/>
            <w:vAlign w:val="center"/>
            <w:hideMark/>
          </w:tcPr>
          <w:p w14:paraId="199FA934" w14:textId="1737DC63"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-162,77</w:t>
            </w:r>
          </w:p>
        </w:tc>
        <w:tc>
          <w:tcPr>
            <w:tcW w:w="880" w:type="dxa"/>
            <w:tcBorders>
              <w:top w:val="nil"/>
              <w:left w:val="nil"/>
              <w:bottom w:val="single" w:sz="8" w:space="0" w:color="auto"/>
              <w:right w:val="single" w:sz="8" w:space="0" w:color="auto"/>
            </w:tcBorders>
            <w:shd w:val="clear" w:color="auto" w:fill="auto"/>
            <w:noWrap/>
            <w:vAlign w:val="center"/>
            <w:hideMark/>
          </w:tcPr>
          <w:p w14:paraId="1D2AE4CB" w14:textId="2B14AFAD"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99,49</w:t>
            </w:r>
          </w:p>
        </w:tc>
      </w:tr>
      <w:tr w:rsidR="00E47AA9" w:rsidRPr="00E47AA9" w14:paraId="1D4F1347"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0EB9539B"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w:t>
            </w:r>
          </w:p>
        </w:tc>
        <w:tc>
          <w:tcPr>
            <w:tcW w:w="2203" w:type="dxa"/>
            <w:tcBorders>
              <w:top w:val="nil"/>
              <w:left w:val="nil"/>
              <w:bottom w:val="single" w:sz="4" w:space="0" w:color="auto"/>
              <w:right w:val="nil"/>
            </w:tcBorders>
            <w:shd w:val="clear" w:color="000000" w:fill="FFFFFF"/>
            <w:hideMark/>
          </w:tcPr>
          <w:p w14:paraId="76C91049"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Содействие занятости населения Приморского края </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1A82BC74" w14:textId="5FB60D4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1 917,31</w:t>
            </w:r>
          </w:p>
        </w:tc>
        <w:tc>
          <w:tcPr>
            <w:tcW w:w="1369" w:type="dxa"/>
            <w:tcBorders>
              <w:top w:val="nil"/>
              <w:left w:val="nil"/>
              <w:bottom w:val="single" w:sz="8" w:space="0" w:color="auto"/>
              <w:right w:val="single" w:sz="8" w:space="0" w:color="auto"/>
            </w:tcBorders>
            <w:shd w:val="clear" w:color="auto" w:fill="auto"/>
            <w:noWrap/>
            <w:vAlign w:val="center"/>
            <w:hideMark/>
          </w:tcPr>
          <w:p w14:paraId="24847267" w14:textId="3062CF69"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1 929,27</w:t>
            </w:r>
          </w:p>
        </w:tc>
        <w:tc>
          <w:tcPr>
            <w:tcW w:w="1242" w:type="dxa"/>
            <w:tcBorders>
              <w:top w:val="nil"/>
              <w:left w:val="nil"/>
              <w:bottom w:val="single" w:sz="8" w:space="0" w:color="auto"/>
              <w:right w:val="single" w:sz="8" w:space="0" w:color="auto"/>
            </w:tcBorders>
            <w:shd w:val="clear" w:color="000000" w:fill="FFFFFF"/>
            <w:vAlign w:val="center"/>
            <w:hideMark/>
          </w:tcPr>
          <w:p w14:paraId="08259F1B" w14:textId="149017EB"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11,96</w:t>
            </w:r>
          </w:p>
        </w:tc>
        <w:tc>
          <w:tcPr>
            <w:tcW w:w="920" w:type="dxa"/>
            <w:tcBorders>
              <w:top w:val="nil"/>
              <w:left w:val="nil"/>
              <w:bottom w:val="single" w:sz="8" w:space="0" w:color="auto"/>
              <w:right w:val="single" w:sz="8" w:space="0" w:color="auto"/>
            </w:tcBorders>
            <w:shd w:val="clear" w:color="auto" w:fill="auto"/>
            <w:noWrap/>
            <w:vAlign w:val="center"/>
            <w:hideMark/>
          </w:tcPr>
          <w:p w14:paraId="26557F70" w14:textId="4AC9E0D6"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100,62</w:t>
            </w:r>
          </w:p>
        </w:tc>
        <w:tc>
          <w:tcPr>
            <w:tcW w:w="1300" w:type="dxa"/>
            <w:tcBorders>
              <w:top w:val="nil"/>
              <w:left w:val="nil"/>
              <w:bottom w:val="single" w:sz="8" w:space="0" w:color="auto"/>
              <w:right w:val="single" w:sz="8" w:space="0" w:color="auto"/>
            </w:tcBorders>
            <w:shd w:val="clear" w:color="auto" w:fill="auto"/>
            <w:noWrap/>
            <w:vAlign w:val="center"/>
            <w:hideMark/>
          </w:tcPr>
          <w:p w14:paraId="3906C11B" w14:textId="0779AD5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1 800,62</w:t>
            </w:r>
          </w:p>
        </w:tc>
        <w:tc>
          <w:tcPr>
            <w:tcW w:w="880" w:type="dxa"/>
            <w:tcBorders>
              <w:top w:val="nil"/>
              <w:left w:val="nil"/>
              <w:bottom w:val="single" w:sz="8" w:space="0" w:color="auto"/>
              <w:right w:val="single" w:sz="8" w:space="0" w:color="auto"/>
            </w:tcBorders>
            <w:shd w:val="clear" w:color="auto" w:fill="auto"/>
            <w:noWrap/>
            <w:vAlign w:val="center"/>
            <w:hideMark/>
          </w:tcPr>
          <w:p w14:paraId="532B0558" w14:textId="0C2C7022"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-128,65</w:t>
            </w:r>
          </w:p>
        </w:tc>
        <w:tc>
          <w:tcPr>
            <w:tcW w:w="880" w:type="dxa"/>
            <w:tcBorders>
              <w:top w:val="nil"/>
              <w:left w:val="nil"/>
              <w:bottom w:val="single" w:sz="8" w:space="0" w:color="auto"/>
              <w:right w:val="single" w:sz="8" w:space="0" w:color="auto"/>
            </w:tcBorders>
            <w:shd w:val="clear" w:color="auto" w:fill="auto"/>
            <w:noWrap/>
            <w:vAlign w:val="center"/>
            <w:hideMark/>
          </w:tcPr>
          <w:p w14:paraId="3478E752" w14:textId="00931A20"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93,33</w:t>
            </w:r>
          </w:p>
        </w:tc>
      </w:tr>
      <w:tr w:rsidR="00E47AA9" w:rsidRPr="00E47AA9" w14:paraId="7821F933"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7DA34023"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lastRenderedPageBreak/>
              <w:t>5</w:t>
            </w:r>
          </w:p>
        </w:tc>
        <w:tc>
          <w:tcPr>
            <w:tcW w:w="2203" w:type="dxa"/>
            <w:tcBorders>
              <w:top w:val="nil"/>
              <w:left w:val="nil"/>
              <w:bottom w:val="single" w:sz="4" w:space="0" w:color="auto"/>
              <w:right w:val="nil"/>
            </w:tcBorders>
            <w:shd w:val="clear" w:color="000000" w:fill="FFFFFF"/>
            <w:hideMark/>
          </w:tcPr>
          <w:p w14:paraId="7AE08B80"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Развитие культуры Приморского края </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1354B965" w14:textId="7CBDC6B4"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3 956,99</w:t>
            </w:r>
          </w:p>
        </w:tc>
        <w:tc>
          <w:tcPr>
            <w:tcW w:w="1369" w:type="dxa"/>
            <w:tcBorders>
              <w:top w:val="nil"/>
              <w:left w:val="nil"/>
              <w:bottom w:val="single" w:sz="8" w:space="0" w:color="auto"/>
              <w:right w:val="single" w:sz="8" w:space="0" w:color="auto"/>
            </w:tcBorders>
            <w:shd w:val="clear" w:color="auto" w:fill="auto"/>
            <w:noWrap/>
            <w:vAlign w:val="center"/>
            <w:hideMark/>
          </w:tcPr>
          <w:p w14:paraId="34590FF7" w14:textId="2A903951"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3 951,14</w:t>
            </w:r>
          </w:p>
        </w:tc>
        <w:tc>
          <w:tcPr>
            <w:tcW w:w="1242" w:type="dxa"/>
            <w:tcBorders>
              <w:top w:val="nil"/>
              <w:left w:val="nil"/>
              <w:bottom w:val="single" w:sz="8" w:space="0" w:color="auto"/>
              <w:right w:val="single" w:sz="8" w:space="0" w:color="auto"/>
            </w:tcBorders>
            <w:shd w:val="clear" w:color="000000" w:fill="FFFFFF"/>
            <w:vAlign w:val="center"/>
            <w:hideMark/>
          </w:tcPr>
          <w:p w14:paraId="57C63A04" w14:textId="10BDBDE9"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-5,85</w:t>
            </w:r>
          </w:p>
        </w:tc>
        <w:tc>
          <w:tcPr>
            <w:tcW w:w="920" w:type="dxa"/>
            <w:tcBorders>
              <w:top w:val="nil"/>
              <w:left w:val="nil"/>
              <w:bottom w:val="single" w:sz="8" w:space="0" w:color="auto"/>
              <w:right w:val="single" w:sz="8" w:space="0" w:color="auto"/>
            </w:tcBorders>
            <w:shd w:val="clear" w:color="auto" w:fill="auto"/>
            <w:noWrap/>
            <w:vAlign w:val="center"/>
            <w:hideMark/>
          </w:tcPr>
          <w:p w14:paraId="6AAC89A3" w14:textId="4A17B924"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99,85</w:t>
            </w:r>
          </w:p>
        </w:tc>
        <w:tc>
          <w:tcPr>
            <w:tcW w:w="1300" w:type="dxa"/>
            <w:tcBorders>
              <w:top w:val="nil"/>
              <w:left w:val="nil"/>
              <w:bottom w:val="single" w:sz="8" w:space="0" w:color="auto"/>
              <w:right w:val="single" w:sz="8" w:space="0" w:color="auto"/>
            </w:tcBorders>
            <w:shd w:val="clear" w:color="auto" w:fill="auto"/>
            <w:noWrap/>
            <w:vAlign w:val="center"/>
            <w:hideMark/>
          </w:tcPr>
          <w:p w14:paraId="7829186A" w14:textId="5B6824FE"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3 929,56</w:t>
            </w:r>
          </w:p>
        </w:tc>
        <w:tc>
          <w:tcPr>
            <w:tcW w:w="880" w:type="dxa"/>
            <w:tcBorders>
              <w:top w:val="nil"/>
              <w:left w:val="nil"/>
              <w:bottom w:val="single" w:sz="8" w:space="0" w:color="auto"/>
              <w:right w:val="single" w:sz="8" w:space="0" w:color="auto"/>
            </w:tcBorders>
            <w:shd w:val="clear" w:color="auto" w:fill="auto"/>
            <w:noWrap/>
            <w:vAlign w:val="center"/>
            <w:hideMark/>
          </w:tcPr>
          <w:p w14:paraId="5B9A916B" w14:textId="10E35658"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-21,58</w:t>
            </w:r>
          </w:p>
        </w:tc>
        <w:tc>
          <w:tcPr>
            <w:tcW w:w="880" w:type="dxa"/>
            <w:tcBorders>
              <w:top w:val="nil"/>
              <w:left w:val="nil"/>
              <w:bottom w:val="single" w:sz="8" w:space="0" w:color="auto"/>
              <w:right w:val="single" w:sz="8" w:space="0" w:color="auto"/>
            </w:tcBorders>
            <w:shd w:val="clear" w:color="auto" w:fill="auto"/>
            <w:noWrap/>
            <w:vAlign w:val="center"/>
            <w:hideMark/>
          </w:tcPr>
          <w:p w14:paraId="53C999E6" w14:textId="111982B9"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99,45</w:t>
            </w:r>
          </w:p>
        </w:tc>
      </w:tr>
      <w:tr w:rsidR="00E47AA9" w:rsidRPr="00E47AA9" w14:paraId="56ECB379"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4A6201E7"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w:t>
            </w:r>
          </w:p>
        </w:tc>
        <w:tc>
          <w:tcPr>
            <w:tcW w:w="2203" w:type="dxa"/>
            <w:tcBorders>
              <w:top w:val="nil"/>
              <w:left w:val="nil"/>
              <w:bottom w:val="single" w:sz="4" w:space="0" w:color="auto"/>
              <w:right w:val="nil"/>
            </w:tcBorders>
            <w:shd w:val="clear" w:color="000000" w:fill="FFFFFF"/>
            <w:hideMark/>
          </w:tcPr>
          <w:p w14:paraId="2CEFD5CF"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Обеспечение доступным жильем и качественными услугами жилищно-коммунального хозяйства населения Приморского края </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07EA2657" w14:textId="3A71C724"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26 860,24</w:t>
            </w:r>
          </w:p>
        </w:tc>
        <w:tc>
          <w:tcPr>
            <w:tcW w:w="1369" w:type="dxa"/>
            <w:tcBorders>
              <w:top w:val="nil"/>
              <w:left w:val="nil"/>
              <w:bottom w:val="single" w:sz="8" w:space="0" w:color="auto"/>
              <w:right w:val="single" w:sz="8" w:space="0" w:color="auto"/>
            </w:tcBorders>
            <w:shd w:val="clear" w:color="auto" w:fill="auto"/>
            <w:noWrap/>
            <w:vAlign w:val="center"/>
            <w:hideMark/>
          </w:tcPr>
          <w:p w14:paraId="3CCD9DAA" w14:textId="01FA1169"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31 957,48</w:t>
            </w:r>
          </w:p>
        </w:tc>
        <w:tc>
          <w:tcPr>
            <w:tcW w:w="1242" w:type="dxa"/>
            <w:tcBorders>
              <w:top w:val="nil"/>
              <w:left w:val="nil"/>
              <w:bottom w:val="single" w:sz="8" w:space="0" w:color="auto"/>
              <w:right w:val="single" w:sz="8" w:space="0" w:color="auto"/>
            </w:tcBorders>
            <w:shd w:val="clear" w:color="000000" w:fill="FFFFFF"/>
            <w:vAlign w:val="center"/>
            <w:hideMark/>
          </w:tcPr>
          <w:p w14:paraId="3726563B" w14:textId="06955FED"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5 097,24</w:t>
            </w:r>
          </w:p>
        </w:tc>
        <w:tc>
          <w:tcPr>
            <w:tcW w:w="920" w:type="dxa"/>
            <w:tcBorders>
              <w:top w:val="nil"/>
              <w:left w:val="nil"/>
              <w:bottom w:val="single" w:sz="8" w:space="0" w:color="auto"/>
              <w:right w:val="single" w:sz="8" w:space="0" w:color="auto"/>
            </w:tcBorders>
            <w:shd w:val="clear" w:color="auto" w:fill="auto"/>
            <w:noWrap/>
            <w:vAlign w:val="center"/>
            <w:hideMark/>
          </w:tcPr>
          <w:p w14:paraId="54C6D63F" w14:textId="750DC429"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118,98</w:t>
            </w:r>
          </w:p>
        </w:tc>
        <w:tc>
          <w:tcPr>
            <w:tcW w:w="1300" w:type="dxa"/>
            <w:tcBorders>
              <w:top w:val="nil"/>
              <w:left w:val="nil"/>
              <w:bottom w:val="single" w:sz="8" w:space="0" w:color="auto"/>
              <w:right w:val="single" w:sz="8" w:space="0" w:color="auto"/>
            </w:tcBorders>
            <w:shd w:val="clear" w:color="auto" w:fill="auto"/>
            <w:noWrap/>
            <w:vAlign w:val="center"/>
            <w:hideMark/>
          </w:tcPr>
          <w:p w14:paraId="6B160D4B" w14:textId="1508F136"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32 039,94</w:t>
            </w:r>
          </w:p>
        </w:tc>
        <w:tc>
          <w:tcPr>
            <w:tcW w:w="880" w:type="dxa"/>
            <w:tcBorders>
              <w:top w:val="nil"/>
              <w:left w:val="nil"/>
              <w:bottom w:val="single" w:sz="8" w:space="0" w:color="auto"/>
              <w:right w:val="single" w:sz="8" w:space="0" w:color="auto"/>
            </w:tcBorders>
            <w:shd w:val="clear" w:color="auto" w:fill="auto"/>
            <w:noWrap/>
            <w:vAlign w:val="center"/>
            <w:hideMark/>
          </w:tcPr>
          <w:p w14:paraId="4808F15A" w14:textId="78475922"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82,46</w:t>
            </w:r>
          </w:p>
        </w:tc>
        <w:tc>
          <w:tcPr>
            <w:tcW w:w="880" w:type="dxa"/>
            <w:tcBorders>
              <w:top w:val="nil"/>
              <w:left w:val="nil"/>
              <w:bottom w:val="single" w:sz="8" w:space="0" w:color="auto"/>
              <w:right w:val="single" w:sz="8" w:space="0" w:color="auto"/>
            </w:tcBorders>
            <w:shd w:val="clear" w:color="auto" w:fill="auto"/>
            <w:noWrap/>
            <w:vAlign w:val="center"/>
            <w:hideMark/>
          </w:tcPr>
          <w:p w14:paraId="1A1FF452" w14:textId="2263A4C1"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100,26</w:t>
            </w:r>
          </w:p>
        </w:tc>
      </w:tr>
      <w:tr w:rsidR="00E47AA9" w:rsidRPr="00E47AA9" w14:paraId="32E27839"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51ADFFF3"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w:t>
            </w:r>
          </w:p>
        </w:tc>
        <w:tc>
          <w:tcPr>
            <w:tcW w:w="2203" w:type="dxa"/>
            <w:tcBorders>
              <w:top w:val="nil"/>
              <w:left w:val="nil"/>
              <w:bottom w:val="single" w:sz="4" w:space="0" w:color="auto"/>
              <w:right w:val="nil"/>
            </w:tcBorders>
            <w:shd w:val="clear" w:color="000000" w:fill="FFFFFF"/>
            <w:hideMark/>
          </w:tcPr>
          <w:p w14:paraId="1B40E2B3"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Защита населения и территории от чрезвычайных ситуаций, обеспечение пожарной безопасности и безопасности на водных объектах Приморского края</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2345A334" w14:textId="152E8262"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4 544,84</w:t>
            </w:r>
          </w:p>
        </w:tc>
        <w:tc>
          <w:tcPr>
            <w:tcW w:w="1369" w:type="dxa"/>
            <w:tcBorders>
              <w:top w:val="nil"/>
              <w:left w:val="nil"/>
              <w:bottom w:val="single" w:sz="8" w:space="0" w:color="auto"/>
              <w:right w:val="single" w:sz="8" w:space="0" w:color="auto"/>
            </w:tcBorders>
            <w:shd w:val="clear" w:color="auto" w:fill="auto"/>
            <w:noWrap/>
            <w:vAlign w:val="center"/>
            <w:hideMark/>
          </w:tcPr>
          <w:p w14:paraId="4192C1E1" w14:textId="78D149D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4 298,80</w:t>
            </w:r>
          </w:p>
        </w:tc>
        <w:tc>
          <w:tcPr>
            <w:tcW w:w="1242" w:type="dxa"/>
            <w:tcBorders>
              <w:top w:val="nil"/>
              <w:left w:val="nil"/>
              <w:bottom w:val="single" w:sz="8" w:space="0" w:color="auto"/>
              <w:right w:val="single" w:sz="8" w:space="0" w:color="auto"/>
            </w:tcBorders>
            <w:shd w:val="clear" w:color="000000" w:fill="FFFFFF"/>
            <w:vAlign w:val="center"/>
            <w:hideMark/>
          </w:tcPr>
          <w:p w14:paraId="3624B339" w14:textId="08356434"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-246,04</w:t>
            </w:r>
          </w:p>
        </w:tc>
        <w:tc>
          <w:tcPr>
            <w:tcW w:w="920" w:type="dxa"/>
            <w:tcBorders>
              <w:top w:val="nil"/>
              <w:left w:val="nil"/>
              <w:bottom w:val="single" w:sz="8" w:space="0" w:color="auto"/>
              <w:right w:val="single" w:sz="8" w:space="0" w:color="auto"/>
            </w:tcBorders>
            <w:shd w:val="clear" w:color="auto" w:fill="auto"/>
            <w:noWrap/>
            <w:vAlign w:val="center"/>
            <w:hideMark/>
          </w:tcPr>
          <w:p w14:paraId="38FC6D6C" w14:textId="76A6BECE"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94,59</w:t>
            </w:r>
          </w:p>
        </w:tc>
        <w:tc>
          <w:tcPr>
            <w:tcW w:w="1300" w:type="dxa"/>
            <w:tcBorders>
              <w:top w:val="nil"/>
              <w:left w:val="nil"/>
              <w:bottom w:val="single" w:sz="8" w:space="0" w:color="auto"/>
              <w:right w:val="single" w:sz="8" w:space="0" w:color="auto"/>
            </w:tcBorders>
            <w:shd w:val="clear" w:color="auto" w:fill="auto"/>
            <w:noWrap/>
            <w:vAlign w:val="center"/>
            <w:hideMark/>
          </w:tcPr>
          <w:p w14:paraId="46FE884C" w14:textId="036BEC53"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4 319,86</w:t>
            </w:r>
          </w:p>
        </w:tc>
        <w:tc>
          <w:tcPr>
            <w:tcW w:w="880" w:type="dxa"/>
            <w:tcBorders>
              <w:top w:val="nil"/>
              <w:left w:val="nil"/>
              <w:bottom w:val="single" w:sz="8" w:space="0" w:color="auto"/>
              <w:right w:val="single" w:sz="8" w:space="0" w:color="auto"/>
            </w:tcBorders>
            <w:shd w:val="clear" w:color="auto" w:fill="auto"/>
            <w:noWrap/>
            <w:vAlign w:val="center"/>
            <w:hideMark/>
          </w:tcPr>
          <w:p w14:paraId="2DBFB110" w14:textId="1FEF6F79"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21,06</w:t>
            </w:r>
          </w:p>
        </w:tc>
        <w:tc>
          <w:tcPr>
            <w:tcW w:w="880" w:type="dxa"/>
            <w:tcBorders>
              <w:top w:val="nil"/>
              <w:left w:val="nil"/>
              <w:bottom w:val="single" w:sz="8" w:space="0" w:color="auto"/>
              <w:right w:val="single" w:sz="8" w:space="0" w:color="auto"/>
            </w:tcBorders>
            <w:shd w:val="clear" w:color="auto" w:fill="auto"/>
            <w:noWrap/>
            <w:vAlign w:val="center"/>
            <w:hideMark/>
          </w:tcPr>
          <w:p w14:paraId="2DF88A68" w14:textId="33612AAB"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100,49</w:t>
            </w:r>
          </w:p>
        </w:tc>
      </w:tr>
      <w:tr w:rsidR="00E47AA9" w:rsidRPr="00E47AA9" w14:paraId="08D4EC58"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352ADE47"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w:t>
            </w:r>
          </w:p>
        </w:tc>
        <w:tc>
          <w:tcPr>
            <w:tcW w:w="2203" w:type="dxa"/>
            <w:tcBorders>
              <w:top w:val="nil"/>
              <w:left w:val="nil"/>
              <w:bottom w:val="single" w:sz="4" w:space="0" w:color="auto"/>
              <w:right w:val="nil"/>
            </w:tcBorders>
            <w:shd w:val="clear" w:color="000000" w:fill="FFFFFF"/>
            <w:hideMark/>
          </w:tcPr>
          <w:p w14:paraId="489E0CC7"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Охрана окружающей среды Приморского края</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725D16F7" w14:textId="1517B8F1"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1 572,84</w:t>
            </w:r>
          </w:p>
        </w:tc>
        <w:tc>
          <w:tcPr>
            <w:tcW w:w="1369" w:type="dxa"/>
            <w:tcBorders>
              <w:top w:val="nil"/>
              <w:left w:val="nil"/>
              <w:bottom w:val="single" w:sz="8" w:space="0" w:color="auto"/>
              <w:right w:val="single" w:sz="8" w:space="0" w:color="auto"/>
            </w:tcBorders>
            <w:shd w:val="clear" w:color="auto" w:fill="auto"/>
            <w:noWrap/>
            <w:vAlign w:val="center"/>
            <w:hideMark/>
          </w:tcPr>
          <w:p w14:paraId="7846F86A" w14:textId="172FED3B"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2 862,47</w:t>
            </w:r>
          </w:p>
        </w:tc>
        <w:tc>
          <w:tcPr>
            <w:tcW w:w="1242" w:type="dxa"/>
            <w:tcBorders>
              <w:top w:val="nil"/>
              <w:left w:val="nil"/>
              <w:bottom w:val="single" w:sz="8" w:space="0" w:color="auto"/>
              <w:right w:val="single" w:sz="8" w:space="0" w:color="auto"/>
            </w:tcBorders>
            <w:shd w:val="clear" w:color="000000" w:fill="FFFFFF"/>
            <w:vAlign w:val="center"/>
            <w:hideMark/>
          </w:tcPr>
          <w:p w14:paraId="55B4EFEB" w14:textId="12464336"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1 289,63</w:t>
            </w:r>
          </w:p>
        </w:tc>
        <w:tc>
          <w:tcPr>
            <w:tcW w:w="920" w:type="dxa"/>
            <w:tcBorders>
              <w:top w:val="nil"/>
              <w:left w:val="nil"/>
              <w:bottom w:val="single" w:sz="8" w:space="0" w:color="auto"/>
              <w:right w:val="single" w:sz="8" w:space="0" w:color="auto"/>
            </w:tcBorders>
            <w:shd w:val="clear" w:color="auto" w:fill="auto"/>
            <w:noWrap/>
            <w:vAlign w:val="center"/>
            <w:hideMark/>
          </w:tcPr>
          <w:p w14:paraId="1964FC7D" w14:textId="3D8A0295"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181,99</w:t>
            </w:r>
          </w:p>
        </w:tc>
        <w:tc>
          <w:tcPr>
            <w:tcW w:w="1300" w:type="dxa"/>
            <w:tcBorders>
              <w:top w:val="nil"/>
              <w:left w:val="nil"/>
              <w:bottom w:val="single" w:sz="8" w:space="0" w:color="auto"/>
              <w:right w:val="single" w:sz="8" w:space="0" w:color="auto"/>
            </w:tcBorders>
            <w:shd w:val="clear" w:color="auto" w:fill="auto"/>
            <w:noWrap/>
            <w:vAlign w:val="center"/>
            <w:hideMark/>
          </w:tcPr>
          <w:p w14:paraId="52371363" w14:textId="5F8608E8"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2 747,53</w:t>
            </w:r>
          </w:p>
        </w:tc>
        <w:tc>
          <w:tcPr>
            <w:tcW w:w="880" w:type="dxa"/>
            <w:tcBorders>
              <w:top w:val="nil"/>
              <w:left w:val="nil"/>
              <w:bottom w:val="single" w:sz="8" w:space="0" w:color="auto"/>
              <w:right w:val="single" w:sz="8" w:space="0" w:color="auto"/>
            </w:tcBorders>
            <w:shd w:val="clear" w:color="auto" w:fill="auto"/>
            <w:noWrap/>
            <w:vAlign w:val="center"/>
            <w:hideMark/>
          </w:tcPr>
          <w:p w14:paraId="25EF9DD9" w14:textId="7AFB8DA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-114,94</w:t>
            </w:r>
          </w:p>
        </w:tc>
        <w:tc>
          <w:tcPr>
            <w:tcW w:w="880" w:type="dxa"/>
            <w:tcBorders>
              <w:top w:val="nil"/>
              <w:left w:val="nil"/>
              <w:bottom w:val="single" w:sz="8" w:space="0" w:color="auto"/>
              <w:right w:val="single" w:sz="8" w:space="0" w:color="auto"/>
            </w:tcBorders>
            <w:shd w:val="clear" w:color="auto" w:fill="auto"/>
            <w:noWrap/>
            <w:vAlign w:val="center"/>
            <w:hideMark/>
          </w:tcPr>
          <w:p w14:paraId="74876259" w14:textId="147D76C8"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95,98</w:t>
            </w:r>
          </w:p>
        </w:tc>
      </w:tr>
      <w:tr w:rsidR="00E47AA9" w:rsidRPr="00E47AA9" w14:paraId="7E786C4E"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6B7B90C2"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w:t>
            </w:r>
          </w:p>
        </w:tc>
        <w:tc>
          <w:tcPr>
            <w:tcW w:w="2203" w:type="dxa"/>
            <w:tcBorders>
              <w:top w:val="nil"/>
              <w:left w:val="nil"/>
              <w:bottom w:val="single" w:sz="4" w:space="0" w:color="auto"/>
              <w:right w:val="nil"/>
            </w:tcBorders>
            <w:shd w:val="clear" w:color="000000" w:fill="FFFFFF"/>
            <w:hideMark/>
          </w:tcPr>
          <w:p w14:paraId="7E6D436E"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физической культуры и спорта Приморского края</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40C0D4F6" w14:textId="116658C2"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9 194,20</w:t>
            </w:r>
          </w:p>
        </w:tc>
        <w:tc>
          <w:tcPr>
            <w:tcW w:w="1369" w:type="dxa"/>
            <w:tcBorders>
              <w:top w:val="nil"/>
              <w:left w:val="nil"/>
              <w:bottom w:val="single" w:sz="8" w:space="0" w:color="auto"/>
              <w:right w:val="single" w:sz="8" w:space="0" w:color="auto"/>
            </w:tcBorders>
            <w:shd w:val="clear" w:color="auto" w:fill="auto"/>
            <w:noWrap/>
            <w:vAlign w:val="center"/>
            <w:hideMark/>
          </w:tcPr>
          <w:p w14:paraId="40B6C0E7" w14:textId="0CD52C7B"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7 111,57</w:t>
            </w:r>
          </w:p>
        </w:tc>
        <w:tc>
          <w:tcPr>
            <w:tcW w:w="1242" w:type="dxa"/>
            <w:tcBorders>
              <w:top w:val="nil"/>
              <w:left w:val="nil"/>
              <w:bottom w:val="single" w:sz="8" w:space="0" w:color="auto"/>
              <w:right w:val="single" w:sz="8" w:space="0" w:color="auto"/>
            </w:tcBorders>
            <w:shd w:val="clear" w:color="000000" w:fill="FFFFFF"/>
            <w:vAlign w:val="center"/>
            <w:hideMark/>
          </w:tcPr>
          <w:p w14:paraId="3E132819" w14:textId="5D07BF8A"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-2 082,63</w:t>
            </w:r>
          </w:p>
        </w:tc>
        <w:tc>
          <w:tcPr>
            <w:tcW w:w="920" w:type="dxa"/>
            <w:tcBorders>
              <w:top w:val="nil"/>
              <w:left w:val="nil"/>
              <w:bottom w:val="single" w:sz="8" w:space="0" w:color="auto"/>
              <w:right w:val="single" w:sz="8" w:space="0" w:color="auto"/>
            </w:tcBorders>
            <w:shd w:val="clear" w:color="auto" w:fill="auto"/>
            <w:noWrap/>
            <w:vAlign w:val="center"/>
            <w:hideMark/>
          </w:tcPr>
          <w:p w14:paraId="7FF61A2D" w14:textId="3725A5BD"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77,35</w:t>
            </w:r>
          </w:p>
        </w:tc>
        <w:tc>
          <w:tcPr>
            <w:tcW w:w="1300" w:type="dxa"/>
            <w:tcBorders>
              <w:top w:val="nil"/>
              <w:left w:val="nil"/>
              <w:bottom w:val="single" w:sz="8" w:space="0" w:color="auto"/>
              <w:right w:val="single" w:sz="8" w:space="0" w:color="auto"/>
            </w:tcBorders>
            <w:shd w:val="clear" w:color="auto" w:fill="auto"/>
            <w:noWrap/>
            <w:vAlign w:val="center"/>
            <w:hideMark/>
          </w:tcPr>
          <w:p w14:paraId="1F571B0C" w14:textId="4683FA1D"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6 564,12</w:t>
            </w:r>
          </w:p>
        </w:tc>
        <w:tc>
          <w:tcPr>
            <w:tcW w:w="880" w:type="dxa"/>
            <w:tcBorders>
              <w:top w:val="nil"/>
              <w:left w:val="nil"/>
              <w:bottom w:val="single" w:sz="8" w:space="0" w:color="auto"/>
              <w:right w:val="single" w:sz="8" w:space="0" w:color="auto"/>
            </w:tcBorders>
            <w:shd w:val="clear" w:color="auto" w:fill="auto"/>
            <w:noWrap/>
            <w:vAlign w:val="center"/>
            <w:hideMark/>
          </w:tcPr>
          <w:p w14:paraId="6BB56802" w14:textId="5150C489"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-547,45</w:t>
            </w:r>
          </w:p>
        </w:tc>
        <w:tc>
          <w:tcPr>
            <w:tcW w:w="880" w:type="dxa"/>
            <w:tcBorders>
              <w:top w:val="nil"/>
              <w:left w:val="nil"/>
              <w:bottom w:val="single" w:sz="8" w:space="0" w:color="auto"/>
              <w:right w:val="single" w:sz="8" w:space="0" w:color="auto"/>
            </w:tcBorders>
            <w:shd w:val="clear" w:color="auto" w:fill="auto"/>
            <w:noWrap/>
            <w:vAlign w:val="center"/>
            <w:hideMark/>
          </w:tcPr>
          <w:p w14:paraId="29640DF6" w14:textId="239107C3"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92,30</w:t>
            </w:r>
          </w:p>
        </w:tc>
      </w:tr>
      <w:tr w:rsidR="00E47AA9" w:rsidRPr="00E47AA9" w14:paraId="1CFFDB25"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6CDFF9A6"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w:t>
            </w:r>
          </w:p>
        </w:tc>
        <w:tc>
          <w:tcPr>
            <w:tcW w:w="2203" w:type="dxa"/>
            <w:tcBorders>
              <w:top w:val="nil"/>
              <w:left w:val="nil"/>
              <w:bottom w:val="single" w:sz="4" w:space="0" w:color="auto"/>
              <w:right w:val="nil"/>
            </w:tcBorders>
            <w:shd w:val="clear" w:color="000000" w:fill="FFFFFF"/>
            <w:hideMark/>
          </w:tcPr>
          <w:p w14:paraId="67794552"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туризма в Приморском крае</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326549E9" w14:textId="6EEB9BFA"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706,43</w:t>
            </w:r>
          </w:p>
        </w:tc>
        <w:tc>
          <w:tcPr>
            <w:tcW w:w="1369" w:type="dxa"/>
            <w:tcBorders>
              <w:top w:val="nil"/>
              <w:left w:val="nil"/>
              <w:bottom w:val="single" w:sz="8" w:space="0" w:color="auto"/>
              <w:right w:val="single" w:sz="8" w:space="0" w:color="auto"/>
            </w:tcBorders>
            <w:shd w:val="clear" w:color="auto" w:fill="auto"/>
            <w:noWrap/>
            <w:vAlign w:val="center"/>
            <w:hideMark/>
          </w:tcPr>
          <w:p w14:paraId="72D1316E" w14:textId="25BB19E6"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1 049,21</w:t>
            </w:r>
          </w:p>
        </w:tc>
        <w:tc>
          <w:tcPr>
            <w:tcW w:w="1242" w:type="dxa"/>
            <w:tcBorders>
              <w:top w:val="nil"/>
              <w:left w:val="nil"/>
              <w:bottom w:val="single" w:sz="8" w:space="0" w:color="auto"/>
              <w:right w:val="single" w:sz="8" w:space="0" w:color="auto"/>
            </w:tcBorders>
            <w:shd w:val="clear" w:color="000000" w:fill="FFFFFF"/>
            <w:vAlign w:val="center"/>
            <w:hideMark/>
          </w:tcPr>
          <w:p w14:paraId="5E62353B" w14:textId="679A3A49"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342,78</w:t>
            </w:r>
          </w:p>
        </w:tc>
        <w:tc>
          <w:tcPr>
            <w:tcW w:w="920" w:type="dxa"/>
            <w:tcBorders>
              <w:top w:val="nil"/>
              <w:left w:val="nil"/>
              <w:bottom w:val="single" w:sz="8" w:space="0" w:color="auto"/>
              <w:right w:val="single" w:sz="8" w:space="0" w:color="auto"/>
            </w:tcBorders>
            <w:shd w:val="clear" w:color="auto" w:fill="auto"/>
            <w:noWrap/>
            <w:vAlign w:val="center"/>
            <w:hideMark/>
          </w:tcPr>
          <w:p w14:paraId="78A10467" w14:textId="7A982E0F"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148,52</w:t>
            </w:r>
          </w:p>
        </w:tc>
        <w:tc>
          <w:tcPr>
            <w:tcW w:w="1300" w:type="dxa"/>
            <w:tcBorders>
              <w:top w:val="nil"/>
              <w:left w:val="nil"/>
              <w:bottom w:val="single" w:sz="8" w:space="0" w:color="auto"/>
              <w:right w:val="single" w:sz="8" w:space="0" w:color="auto"/>
            </w:tcBorders>
            <w:shd w:val="clear" w:color="auto" w:fill="auto"/>
            <w:noWrap/>
            <w:vAlign w:val="center"/>
            <w:hideMark/>
          </w:tcPr>
          <w:p w14:paraId="5432D9CE" w14:textId="1E4592F8"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1 112,52</w:t>
            </w:r>
          </w:p>
        </w:tc>
        <w:tc>
          <w:tcPr>
            <w:tcW w:w="880" w:type="dxa"/>
            <w:tcBorders>
              <w:top w:val="nil"/>
              <w:left w:val="nil"/>
              <w:bottom w:val="single" w:sz="8" w:space="0" w:color="auto"/>
              <w:right w:val="single" w:sz="8" w:space="0" w:color="auto"/>
            </w:tcBorders>
            <w:shd w:val="clear" w:color="auto" w:fill="auto"/>
            <w:noWrap/>
            <w:vAlign w:val="center"/>
            <w:hideMark/>
          </w:tcPr>
          <w:p w14:paraId="3DDA8D60" w14:textId="756B9BB2"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63,31</w:t>
            </w:r>
          </w:p>
        </w:tc>
        <w:tc>
          <w:tcPr>
            <w:tcW w:w="880" w:type="dxa"/>
            <w:tcBorders>
              <w:top w:val="nil"/>
              <w:left w:val="nil"/>
              <w:bottom w:val="single" w:sz="8" w:space="0" w:color="auto"/>
              <w:right w:val="single" w:sz="8" w:space="0" w:color="auto"/>
            </w:tcBorders>
            <w:shd w:val="clear" w:color="auto" w:fill="auto"/>
            <w:noWrap/>
            <w:vAlign w:val="center"/>
            <w:hideMark/>
          </w:tcPr>
          <w:p w14:paraId="046E780A" w14:textId="228A16BA"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106,03</w:t>
            </w:r>
          </w:p>
        </w:tc>
      </w:tr>
      <w:tr w:rsidR="00E47AA9" w:rsidRPr="00E47AA9" w14:paraId="70E87481"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1E86E72C"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11</w:t>
            </w:r>
          </w:p>
        </w:tc>
        <w:tc>
          <w:tcPr>
            <w:tcW w:w="2203" w:type="dxa"/>
            <w:tcBorders>
              <w:top w:val="nil"/>
              <w:left w:val="nil"/>
              <w:bottom w:val="single" w:sz="4" w:space="0" w:color="auto"/>
              <w:right w:val="nil"/>
            </w:tcBorders>
            <w:shd w:val="clear" w:color="000000" w:fill="FFFFFF"/>
            <w:hideMark/>
          </w:tcPr>
          <w:p w14:paraId="385F3676"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Информационное общество</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37B91E8A" w14:textId="7C8605A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4 304,37</w:t>
            </w:r>
          </w:p>
        </w:tc>
        <w:tc>
          <w:tcPr>
            <w:tcW w:w="1369" w:type="dxa"/>
            <w:tcBorders>
              <w:top w:val="nil"/>
              <w:left w:val="nil"/>
              <w:bottom w:val="single" w:sz="8" w:space="0" w:color="auto"/>
              <w:right w:val="single" w:sz="8" w:space="0" w:color="auto"/>
            </w:tcBorders>
            <w:shd w:val="clear" w:color="auto" w:fill="auto"/>
            <w:noWrap/>
            <w:vAlign w:val="center"/>
            <w:hideMark/>
          </w:tcPr>
          <w:p w14:paraId="53D56D85" w14:textId="0E79FB96"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4 428,64</w:t>
            </w:r>
          </w:p>
        </w:tc>
        <w:tc>
          <w:tcPr>
            <w:tcW w:w="1242" w:type="dxa"/>
            <w:tcBorders>
              <w:top w:val="nil"/>
              <w:left w:val="nil"/>
              <w:bottom w:val="single" w:sz="8" w:space="0" w:color="auto"/>
              <w:right w:val="single" w:sz="8" w:space="0" w:color="auto"/>
            </w:tcBorders>
            <w:shd w:val="clear" w:color="000000" w:fill="FFFFFF"/>
            <w:vAlign w:val="center"/>
            <w:hideMark/>
          </w:tcPr>
          <w:p w14:paraId="3DD77BE8" w14:textId="636B68DB"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124,27</w:t>
            </w:r>
          </w:p>
        </w:tc>
        <w:tc>
          <w:tcPr>
            <w:tcW w:w="920" w:type="dxa"/>
            <w:tcBorders>
              <w:top w:val="nil"/>
              <w:left w:val="nil"/>
              <w:bottom w:val="single" w:sz="8" w:space="0" w:color="auto"/>
              <w:right w:val="single" w:sz="8" w:space="0" w:color="auto"/>
            </w:tcBorders>
            <w:shd w:val="clear" w:color="auto" w:fill="auto"/>
            <w:noWrap/>
            <w:vAlign w:val="center"/>
            <w:hideMark/>
          </w:tcPr>
          <w:p w14:paraId="0EB93F09" w14:textId="37038CC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102,89</w:t>
            </w:r>
          </w:p>
        </w:tc>
        <w:tc>
          <w:tcPr>
            <w:tcW w:w="1300" w:type="dxa"/>
            <w:tcBorders>
              <w:top w:val="nil"/>
              <w:left w:val="nil"/>
              <w:bottom w:val="single" w:sz="8" w:space="0" w:color="auto"/>
              <w:right w:val="single" w:sz="8" w:space="0" w:color="auto"/>
            </w:tcBorders>
            <w:shd w:val="clear" w:color="auto" w:fill="auto"/>
            <w:noWrap/>
            <w:vAlign w:val="center"/>
            <w:hideMark/>
          </w:tcPr>
          <w:p w14:paraId="73B4083E" w14:textId="10DDED72"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4 470,37</w:t>
            </w:r>
          </w:p>
        </w:tc>
        <w:tc>
          <w:tcPr>
            <w:tcW w:w="880" w:type="dxa"/>
            <w:tcBorders>
              <w:top w:val="nil"/>
              <w:left w:val="nil"/>
              <w:bottom w:val="single" w:sz="8" w:space="0" w:color="auto"/>
              <w:right w:val="single" w:sz="8" w:space="0" w:color="auto"/>
            </w:tcBorders>
            <w:shd w:val="clear" w:color="auto" w:fill="auto"/>
            <w:noWrap/>
            <w:vAlign w:val="center"/>
            <w:hideMark/>
          </w:tcPr>
          <w:p w14:paraId="5CAD39C5" w14:textId="488A094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41,73</w:t>
            </w:r>
          </w:p>
        </w:tc>
        <w:tc>
          <w:tcPr>
            <w:tcW w:w="880" w:type="dxa"/>
            <w:tcBorders>
              <w:top w:val="nil"/>
              <w:left w:val="nil"/>
              <w:bottom w:val="single" w:sz="8" w:space="0" w:color="auto"/>
              <w:right w:val="single" w:sz="8" w:space="0" w:color="auto"/>
            </w:tcBorders>
            <w:shd w:val="clear" w:color="auto" w:fill="auto"/>
            <w:noWrap/>
            <w:vAlign w:val="center"/>
            <w:hideMark/>
          </w:tcPr>
          <w:p w14:paraId="7C8E0F28" w14:textId="03CB8C52"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100,94</w:t>
            </w:r>
          </w:p>
        </w:tc>
      </w:tr>
      <w:tr w:rsidR="00E47AA9" w:rsidRPr="00E47AA9" w14:paraId="7E5B07D7"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20CA6630"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12</w:t>
            </w:r>
          </w:p>
        </w:tc>
        <w:tc>
          <w:tcPr>
            <w:tcW w:w="2203" w:type="dxa"/>
            <w:tcBorders>
              <w:top w:val="nil"/>
              <w:left w:val="nil"/>
              <w:bottom w:val="single" w:sz="4" w:space="0" w:color="auto"/>
              <w:right w:val="nil"/>
            </w:tcBorders>
            <w:shd w:val="clear" w:color="000000" w:fill="FFFFFF"/>
            <w:hideMark/>
          </w:tcPr>
          <w:p w14:paraId="0FBEF384"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транспортного комплекса Приморского края</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2B90CBA6" w14:textId="5CF4623D"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23 833,86</w:t>
            </w:r>
          </w:p>
        </w:tc>
        <w:tc>
          <w:tcPr>
            <w:tcW w:w="1369" w:type="dxa"/>
            <w:tcBorders>
              <w:top w:val="nil"/>
              <w:left w:val="nil"/>
              <w:bottom w:val="single" w:sz="8" w:space="0" w:color="auto"/>
              <w:right w:val="single" w:sz="8" w:space="0" w:color="auto"/>
            </w:tcBorders>
            <w:shd w:val="clear" w:color="auto" w:fill="auto"/>
            <w:noWrap/>
            <w:vAlign w:val="center"/>
            <w:hideMark/>
          </w:tcPr>
          <w:p w14:paraId="6CE157B9" w14:textId="3C0A48E5"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26 663,60</w:t>
            </w:r>
          </w:p>
        </w:tc>
        <w:tc>
          <w:tcPr>
            <w:tcW w:w="1242" w:type="dxa"/>
            <w:tcBorders>
              <w:top w:val="nil"/>
              <w:left w:val="nil"/>
              <w:bottom w:val="single" w:sz="8" w:space="0" w:color="auto"/>
              <w:right w:val="single" w:sz="8" w:space="0" w:color="auto"/>
            </w:tcBorders>
            <w:shd w:val="clear" w:color="000000" w:fill="FFFFFF"/>
            <w:vAlign w:val="center"/>
            <w:hideMark/>
          </w:tcPr>
          <w:p w14:paraId="1BEF4BCC" w14:textId="70C714D0"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2 829,74</w:t>
            </w:r>
          </w:p>
        </w:tc>
        <w:tc>
          <w:tcPr>
            <w:tcW w:w="920" w:type="dxa"/>
            <w:tcBorders>
              <w:top w:val="nil"/>
              <w:left w:val="nil"/>
              <w:bottom w:val="single" w:sz="8" w:space="0" w:color="auto"/>
              <w:right w:val="single" w:sz="8" w:space="0" w:color="auto"/>
            </w:tcBorders>
            <w:shd w:val="clear" w:color="auto" w:fill="auto"/>
            <w:noWrap/>
            <w:vAlign w:val="center"/>
            <w:hideMark/>
          </w:tcPr>
          <w:p w14:paraId="463B80B0" w14:textId="7B28FE42"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111,87</w:t>
            </w:r>
          </w:p>
        </w:tc>
        <w:tc>
          <w:tcPr>
            <w:tcW w:w="1300" w:type="dxa"/>
            <w:tcBorders>
              <w:top w:val="nil"/>
              <w:left w:val="nil"/>
              <w:bottom w:val="single" w:sz="8" w:space="0" w:color="auto"/>
              <w:right w:val="single" w:sz="8" w:space="0" w:color="auto"/>
            </w:tcBorders>
            <w:shd w:val="clear" w:color="auto" w:fill="auto"/>
            <w:noWrap/>
            <w:vAlign w:val="center"/>
            <w:hideMark/>
          </w:tcPr>
          <w:p w14:paraId="73C4C6E3" w14:textId="4DBEBD64"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26 616,86</w:t>
            </w:r>
          </w:p>
        </w:tc>
        <w:tc>
          <w:tcPr>
            <w:tcW w:w="880" w:type="dxa"/>
            <w:tcBorders>
              <w:top w:val="nil"/>
              <w:left w:val="nil"/>
              <w:bottom w:val="single" w:sz="8" w:space="0" w:color="auto"/>
              <w:right w:val="single" w:sz="8" w:space="0" w:color="auto"/>
            </w:tcBorders>
            <w:shd w:val="clear" w:color="auto" w:fill="auto"/>
            <w:noWrap/>
            <w:vAlign w:val="center"/>
            <w:hideMark/>
          </w:tcPr>
          <w:p w14:paraId="5F0EE255" w14:textId="7511685C"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-46,74</w:t>
            </w:r>
          </w:p>
        </w:tc>
        <w:tc>
          <w:tcPr>
            <w:tcW w:w="880" w:type="dxa"/>
            <w:tcBorders>
              <w:top w:val="nil"/>
              <w:left w:val="nil"/>
              <w:bottom w:val="single" w:sz="8" w:space="0" w:color="auto"/>
              <w:right w:val="single" w:sz="8" w:space="0" w:color="auto"/>
            </w:tcBorders>
            <w:shd w:val="clear" w:color="auto" w:fill="auto"/>
            <w:noWrap/>
            <w:vAlign w:val="center"/>
            <w:hideMark/>
          </w:tcPr>
          <w:p w14:paraId="590DB80F" w14:textId="48794C45"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99,82</w:t>
            </w:r>
          </w:p>
        </w:tc>
      </w:tr>
      <w:tr w:rsidR="00E47AA9" w:rsidRPr="00E47AA9" w14:paraId="3932E09E"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0548AEA2"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13</w:t>
            </w:r>
          </w:p>
        </w:tc>
        <w:tc>
          <w:tcPr>
            <w:tcW w:w="2203" w:type="dxa"/>
            <w:tcBorders>
              <w:top w:val="nil"/>
              <w:left w:val="nil"/>
              <w:bottom w:val="single" w:sz="4" w:space="0" w:color="auto"/>
              <w:right w:val="nil"/>
            </w:tcBorders>
            <w:shd w:val="clear" w:color="000000" w:fill="FFFFFF"/>
            <w:hideMark/>
          </w:tcPr>
          <w:p w14:paraId="50602324"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Энергоэффективность, развитие газоснабжения и энергетики в Приморском крае</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1330EEF4" w14:textId="0DB57F34"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2 272,89</w:t>
            </w:r>
          </w:p>
        </w:tc>
        <w:tc>
          <w:tcPr>
            <w:tcW w:w="1369" w:type="dxa"/>
            <w:tcBorders>
              <w:top w:val="nil"/>
              <w:left w:val="nil"/>
              <w:bottom w:val="single" w:sz="8" w:space="0" w:color="auto"/>
              <w:right w:val="single" w:sz="8" w:space="0" w:color="auto"/>
            </w:tcBorders>
            <w:shd w:val="clear" w:color="auto" w:fill="auto"/>
            <w:noWrap/>
            <w:vAlign w:val="center"/>
            <w:hideMark/>
          </w:tcPr>
          <w:p w14:paraId="574BB612" w14:textId="01E5C968"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2 796,13</w:t>
            </w:r>
          </w:p>
        </w:tc>
        <w:tc>
          <w:tcPr>
            <w:tcW w:w="1242" w:type="dxa"/>
            <w:tcBorders>
              <w:top w:val="nil"/>
              <w:left w:val="nil"/>
              <w:bottom w:val="single" w:sz="8" w:space="0" w:color="auto"/>
              <w:right w:val="single" w:sz="8" w:space="0" w:color="auto"/>
            </w:tcBorders>
            <w:shd w:val="clear" w:color="000000" w:fill="FFFFFF"/>
            <w:vAlign w:val="center"/>
            <w:hideMark/>
          </w:tcPr>
          <w:p w14:paraId="0E94A98F" w14:textId="423F3D6D"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523,24</w:t>
            </w:r>
          </w:p>
        </w:tc>
        <w:tc>
          <w:tcPr>
            <w:tcW w:w="920" w:type="dxa"/>
            <w:tcBorders>
              <w:top w:val="nil"/>
              <w:left w:val="nil"/>
              <w:bottom w:val="single" w:sz="8" w:space="0" w:color="auto"/>
              <w:right w:val="single" w:sz="8" w:space="0" w:color="auto"/>
            </w:tcBorders>
            <w:shd w:val="clear" w:color="auto" w:fill="auto"/>
            <w:noWrap/>
            <w:vAlign w:val="center"/>
            <w:hideMark/>
          </w:tcPr>
          <w:p w14:paraId="78397E54" w14:textId="7F11417D"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123,02</w:t>
            </w:r>
          </w:p>
        </w:tc>
        <w:tc>
          <w:tcPr>
            <w:tcW w:w="1300" w:type="dxa"/>
            <w:tcBorders>
              <w:top w:val="nil"/>
              <w:left w:val="nil"/>
              <w:bottom w:val="single" w:sz="8" w:space="0" w:color="auto"/>
              <w:right w:val="single" w:sz="8" w:space="0" w:color="auto"/>
            </w:tcBorders>
            <w:shd w:val="clear" w:color="auto" w:fill="auto"/>
            <w:noWrap/>
            <w:vAlign w:val="center"/>
            <w:hideMark/>
          </w:tcPr>
          <w:p w14:paraId="50B0633C" w14:textId="2969CE11"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2 995,53</w:t>
            </w:r>
          </w:p>
        </w:tc>
        <w:tc>
          <w:tcPr>
            <w:tcW w:w="880" w:type="dxa"/>
            <w:tcBorders>
              <w:top w:val="nil"/>
              <w:left w:val="nil"/>
              <w:bottom w:val="single" w:sz="8" w:space="0" w:color="auto"/>
              <w:right w:val="single" w:sz="8" w:space="0" w:color="auto"/>
            </w:tcBorders>
            <w:shd w:val="clear" w:color="auto" w:fill="auto"/>
            <w:noWrap/>
            <w:vAlign w:val="center"/>
            <w:hideMark/>
          </w:tcPr>
          <w:p w14:paraId="19DBE56B" w14:textId="085780A4"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199,40</w:t>
            </w:r>
          </w:p>
        </w:tc>
        <w:tc>
          <w:tcPr>
            <w:tcW w:w="880" w:type="dxa"/>
            <w:tcBorders>
              <w:top w:val="nil"/>
              <w:left w:val="nil"/>
              <w:bottom w:val="single" w:sz="8" w:space="0" w:color="auto"/>
              <w:right w:val="single" w:sz="8" w:space="0" w:color="auto"/>
            </w:tcBorders>
            <w:shd w:val="clear" w:color="auto" w:fill="auto"/>
            <w:noWrap/>
            <w:vAlign w:val="center"/>
            <w:hideMark/>
          </w:tcPr>
          <w:p w14:paraId="23FCED93" w14:textId="290BF698"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107,13</w:t>
            </w:r>
          </w:p>
        </w:tc>
      </w:tr>
      <w:tr w:rsidR="00E47AA9" w:rsidRPr="00E47AA9" w14:paraId="04704D3F"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6FDFDA6C"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14</w:t>
            </w:r>
          </w:p>
        </w:tc>
        <w:tc>
          <w:tcPr>
            <w:tcW w:w="2203" w:type="dxa"/>
            <w:tcBorders>
              <w:top w:val="nil"/>
              <w:left w:val="nil"/>
              <w:bottom w:val="single" w:sz="4" w:space="0" w:color="auto"/>
              <w:right w:val="nil"/>
            </w:tcBorders>
            <w:shd w:val="clear" w:color="000000" w:fill="FFFFFF"/>
            <w:hideMark/>
          </w:tcPr>
          <w:p w14:paraId="79CB56F2" w14:textId="2E909D62"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сельского хозяйства и регулирования рынков сельскохозяйственной продукции, сырья и продовольствия</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08D3698B" w14:textId="54BB8FBD"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5 159,41</w:t>
            </w:r>
          </w:p>
        </w:tc>
        <w:tc>
          <w:tcPr>
            <w:tcW w:w="1369" w:type="dxa"/>
            <w:tcBorders>
              <w:top w:val="nil"/>
              <w:left w:val="nil"/>
              <w:bottom w:val="single" w:sz="8" w:space="0" w:color="auto"/>
              <w:right w:val="single" w:sz="8" w:space="0" w:color="auto"/>
            </w:tcBorders>
            <w:shd w:val="clear" w:color="auto" w:fill="auto"/>
            <w:noWrap/>
            <w:vAlign w:val="center"/>
            <w:hideMark/>
          </w:tcPr>
          <w:p w14:paraId="3184B511" w14:textId="4961816B"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5 587,33</w:t>
            </w:r>
          </w:p>
        </w:tc>
        <w:tc>
          <w:tcPr>
            <w:tcW w:w="1242" w:type="dxa"/>
            <w:tcBorders>
              <w:top w:val="nil"/>
              <w:left w:val="nil"/>
              <w:bottom w:val="single" w:sz="8" w:space="0" w:color="auto"/>
              <w:right w:val="single" w:sz="8" w:space="0" w:color="auto"/>
            </w:tcBorders>
            <w:shd w:val="clear" w:color="000000" w:fill="FFFFFF"/>
            <w:vAlign w:val="center"/>
            <w:hideMark/>
          </w:tcPr>
          <w:p w14:paraId="4B231029" w14:textId="16B59E06"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427,92</w:t>
            </w:r>
          </w:p>
        </w:tc>
        <w:tc>
          <w:tcPr>
            <w:tcW w:w="920" w:type="dxa"/>
            <w:tcBorders>
              <w:top w:val="nil"/>
              <w:left w:val="nil"/>
              <w:bottom w:val="single" w:sz="8" w:space="0" w:color="auto"/>
              <w:right w:val="single" w:sz="8" w:space="0" w:color="auto"/>
            </w:tcBorders>
            <w:shd w:val="clear" w:color="auto" w:fill="auto"/>
            <w:noWrap/>
            <w:vAlign w:val="center"/>
            <w:hideMark/>
          </w:tcPr>
          <w:p w14:paraId="1B2FDD92" w14:textId="43EB5516"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108,29</w:t>
            </w:r>
          </w:p>
        </w:tc>
        <w:tc>
          <w:tcPr>
            <w:tcW w:w="1300" w:type="dxa"/>
            <w:tcBorders>
              <w:top w:val="nil"/>
              <w:left w:val="nil"/>
              <w:bottom w:val="single" w:sz="8" w:space="0" w:color="auto"/>
              <w:right w:val="single" w:sz="8" w:space="0" w:color="auto"/>
            </w:tcBorders>
            <w:shd w:val="clear" w:color="auto" w:fill="auto"/>
            <w:noWrap/>
            <w:vAlign w:val="center"/>
            <w:hideMark/>
          </w:tcPr>
          <w:p w14:paraId="1653FA5D" w14:textId="51A48FD6"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5 628,58</w:t>
            </w:r>
          </w:p>
        </w:tc>
        <w:tc>
          <w:tcPr>
            <w:tcW w:w="880" w:type="dxa"/>
            <w:tcBorders>
              <w:top w:val="nil"/>
              <w:left w:val="nil"/>
              <w:bottom w:val="single" w:sz="8" w:space="0" w:color="auto"/>
              <w:right w:val="single" w:sz="8" w:space="0" w:color="auto"/>
            </w:tcBorders>
            <w:shd w:val="clear" w:color="auto" w:fill="auto"/>
            <w:noWrap/>
            <w:vAlign w:val="center"/>
            <w:hideMark/>
          </w:tcPr>
          <w:p w14:paraId="2EB890D6" w14:textId="6DE72E41"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41,25</w:t>
            </w:r>
          </w:p>
        </w:tc>
        <w:tc>
          <w:tcPr>
            <w:tcW w:w="880" w:type="dxa"/>
            <w:tcBorders>
              <w:top w:val="nil"/>
              <w:left w:val="nil"/>
              <w:bottom w:val="single" w:sz="8" w:space="0" w:color="auto"/>
              <w:right w:val="single" w:sz="8" w:space="0" w:color="auto"/>
            </w:tcBorders>
            <w:shd w:val="clear" w:color="auto" w:fill="auto"/>
            <w:noWrap/>
            <w:vAlign w:val="center"/>
            <w:hideMark/>
          </w:tcPr>
          <w:p w14:paraId="79992D6B" w14:textId="1C2108CF"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100,74</w:t>
            </w:r>
          </w:p>
        </w:tc>
      </w:tr>
      <w:tr w:rsidR="00E47AA9" w:rsidRPr="00E47AA9" w14:paraId="3E3A7224"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6350289A"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w:t>
            </w:r>
          </w:p>
        </w:tc>
        <w:tc>
          <w:tcPr>
            <w:tcW w:w="2203" w:type="dxa"/>
            <w:tcBorders>
              <w:top w:val="nil"/>
              <w:left w:val="nil"/>
              <w:bottom w:val="single" w:sz="4" w:space="0" w:color="auto"/>
              <w:right w:val="nil"/>
            </w:tcBorders>
            <w:shd w:val="clear" w:color="000000" w:fill="FFFFFF"/>
            <w:hideMark/>
          </w:tcPr>
          <w:p w14:paraId="15327710"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рыбохозяйственного комплекса в Приморском крае</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4C0E4F7E" w14:textId="6C714D81"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46,10</w:t>
            </w:r>
          </w:p>
        </w:tc>
        <w:tc>
          <w:tcPr>
            <w:tcW w:w="1369" w:type="dxa"/>
            <w:tcBorders>
              <w:top w:val="nil"/>
              <w:left w:val="nil"/>
              <w:bottom w:val="single" w:sz="8" w:space="0" w:color="auto"/>
              <w:right w:val="single" w:sz="8" w:space="0" w:color="auto"/>
            </w:tcBorders>
            <w:shd w:val="clear" w:color="auto" w:fill="auto"/>
            <w:noWrap/>
            <w:vAlign w:val="center"/>
            <w:hideMark/>
          </w:tcPr>
          <w:p w14:paraId="5C0C74D5" w14:textId="7C1043D3"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40,07</w:t>
            </w:r>
          </w:p>
        </w:tc>
        <w:tc>
          <w:tcPr>
            <w:tcW w:w="1242" w:type="dxa"/>
            <w:tcBorders>
              <w:top w:val="nil"/>
              <w:left w:val="nil"/>
              <w:bottom w:val="single" w:sz="8" w:space="0" w:color="auto"/>
              <w:right w:val="single" w:sz="8" w:space="0" w:color="auto"/>
            </w:tcBorders>
            <w:shd w:val="clear" w:color="000000" w:fill="FFFFFF"/>
            <w:vAlign w:val="center"/>
            <w:hideMark/>
          </w:tcPr>
          <w:p w14:paraId="64EAE3F9" w14:textId="0029CEDC"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-6,03</w:t>
            </w:r>
          </w:p>
        </w:tc>
        <w:tc>
          <w:tcPr>
            <w:tcW w:w="920" w:type="dxa"/>
            <w:tcBorders>
              <w:top w:val="nil"/>
              <w:left w:val="nil"/>
              <w:bottom w:val="single" w:sz="8" w:space="0" w:color="auto"/>
              <w:right w:val="single" w:sz="8" w:space="0" w:color="auto"/>
            </w:tcBorders>
            <w:shd w:val="clear" w:color="auto" w:fill="auto"/>
            <w:noWrap/>
            <w:vAlign w:val="center"/>
            <w:hideMark/>
          </w:tcPr>
          <w:p w14:paraId="2238A412" w14:textId="724B943C"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86,92</w:t>
            </w:r>
          </w:p>
        </w:tc>
        <w:tc>
          <w:tcPr>
            <w:tcW w:w="1300" w:type="dxa"/>
            <w:tcBorders>
              <w:top w:val="nil"/>
              <w:left w:val="nil"/>
              <w:bottom w:val="single" w:sz="8" w:space="0" w:color="auto"/>
              <w:right w:val="single" w:sz="8" w:space="0" w:color="auto"/>
            </w:tcBorders>
            <w:shd w:val="clear" w:color="auto" w:fill="auto"/>
            <w:noWrap/>
            <w:vAlign w:val="center"/>
            <w:hideMark/>
          </w:tcPr>
          <w:p w14:paraId="71FB0D7E" w14:textId="2842CF3D"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43,91</w:t>
            </w:r>
          </w:p>
        </w:tc>
        <w:tc>
          <w:tcPr>
            <w:tcW w:w="880" w:type="dxa"/>
            <w:tcBorders>
              <w:top w:val="nil"/>
              <w:left w:val="nil"/>
              <w:bottom w:val="single" w:sz="8" w:space="0" w:color="auto"/>
              <w:right w:val="single" w:sz="8" w:space="0" w:color="auto"/>
            </w:tcBorders>
            <w:shd w:val="clear" w:color="auto" w:fill="auto"/>
            <w:noWrap/>
            <w:vAlign w:val="center"/>
            <w:hideMark/>
          </w:tcPr>
          <w:p w14:paraId="47419B80" w14:textId="1350DDD8"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3,84</w:t>
            </w:r>
          </w:p>
        </w:tc>
        <w:tc>
          <w:tcPr>
            <w:tcW w:w="880" w:type="dxa"/>
            <w:tcBorders>
              <w:top w:val="nil"/>
              <w:left w:val="nil"/>
              <w:bottom w:val="single" w:sz="8" w:space="0" w:color="auto"/>
              <w:right w:val="single" w:sz="8" w:space="0" w:color="auto"/>
            </w:tcBorders>
            <w:shd w:val="clear" w:color="auto" w:fill="auto"/>
            <w:noWrap/>
            <w:vAlign w:val="center"/>
            <w:hideMark/>
          </w:tcPr>
          <w:p w14:paraId="3AF759BD" w14:textId="6B07AFBB"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109,58</w:t>
            </w:r>
          </w:p>
        </w:tc>
      </w:tr>
      <w:tr w:rsidR="00E47AA9" w:rsidRPr="00E47AA9" w14:paraId="6D29DE56"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633997AF"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16</w:t>
            </w:r>
          </w:p>
        </w:tc>
        <w:tc>
          <w:tcPr>
            <w:tcW w:w="2203" w:type="dxa"/>
            <w:tcBorders>
              <w:top w:val="nil"/>
              <w:left w:val="nil"/>
              <w:bottom w:val="single" w:sz="4" w:space="0" w:color="auto"/>
              <w:right w:val="nil"/>
            </w:tcBorders>
            <w:shd w:val="clear" w:color="000000" w:fill="FFFFFF"/>
            <w:hideMark/>
          </w:tcPr>
          <w:p w14:paraId="337CEECA"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лесного хозяйства в Приморском крае</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5AE18988" w14:textId="54B155B4"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2 198,70</w:t>
            </w:r>
          </w:p>
        </w:tc>
        <w:tc>
          <w:tcPr>
            <w:tcW w:w="1369" w:type="dxa"/>
            <w:tcBorders>
              <w:top w:val="nil"/>
              <w:left w:val="nil"/>
              <w:bottom w:val="single" w:sz="8" w:space="0" w:color="auto"/>
              <w:right w:val="single" w:sz="8" w:space="0" w:color="auto"/>
            </w:tcBorders>
            <w:shd w:val="clear" w:color="auto" w:fill="auto"/>
            <w:noWrap/>
            <w:vAlign w:val="center"/>
            <w:hideMark/>
          </w:tcPr>
          <w:p w14:paraId="1966118E" w14:textId="36973BB8"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2 235,90</w:t>
            </w:r>
          </w:p>
        </w:tc>
        <w:tc>
          <w:tcPr>
            <w:tcW w:w="1242" w:type="dxa"/>
            <w:tcBorders>
              <w:top w:val="nil"/>
              <w:left w:val="nil"/>
              <w:bottom w:val="single" w:sz="8" w:space="0" w:color="auto"/>
              <w:right w:val="single" w:sz="8" w:space="0" w:color="auto"/>
            </w:tcBorders>
            <w:shd w:val="clear" w:color="000000" w:fill="FFFFFF"/>
            <w:vAlign w:val="center"/>
            <w:hideMark/>
          </w:tcPr>
          <w:p w14:paraId="7BBC44AE" w14:textId="01E571D8"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37,20</w:t>
            </w:r>
          </w:p>
        </w:tc>
        <w:tc>
          <w:tcPr>
            <w:tcW w:w="920" w:type="dxa"/>
            <w:tcBorders>
              <w:top w:val="nil"/>
              <w:left w:val="nil"/>
              <w:bottom w:val="single" w:sz="8" w:space="0" w:color="auto"/>
              <w:right w:val="single" w:sz="8" w:space="0" w:color="auto"/>
            </w:tcBorders>
            <w:shd w:val="clear" w:color="auto" w:fill="auto"/>
            <w:noWrap/>
            <w:vAlign w:val="center"/>
            <w:hideMark/>
          </w:tcPr>
          <w:p w14:paraId="00A3CE16" w14:textId="5BB19B33"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101,69</w:t>
            </w:r>
          </w:p>
        </w:tc>
        <w:tc>
          <w:tcPr>
            <w:tcW w:w="1300" w:type="dxa"/>
            <w:tcBorders>
              <w:top w:val="nil"/>
              <w:left w:val="nil"/>
              <w:bottom w:val="single" w:sz="8" w:space="0" w:color="auto"/>
              <w:right w:val="single" w:sz="8" w:space="0" w:color="auto"/>
            </w:tcBorders>
            <w:shd w:val="clear" w:color="auto" w:fill="auto"/>
            <w:noWrap/>
            <w:vAlign w:val="center"/>
            <w:hideMark/>
          </w:tcPr>
          <w:p w14:paraId="2725D3AC" w14:textId="40A94F3B"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2 264,98</w:t>
            </w:r>
          </w:p>
        </w:tc>
        <w:tc>
          <w:tcPr>
            <w:tcW w:w="880" w:type="dxa"/>
            <w:tcBorders>
              <w:top w:val="nil"/>
              <w:left w:val="nil"/>
              <w:bottom w:val="single" w:sz="8" w:space="0" w:color="auto"/>
              <w:right w:val="single" w:sz="8" w:space="0" w:color="auto"/>
            </w:tcBorders>
            <w:shd w:val="clear" w:color="auto" w:fill="auto"/>
            <w:noWrap/>
            <w:vAlign w:val="center"/>
            <w:hideMark/>
          </w:tcPr>
          <w:p w14:paraId="7136315E" w14:textId="61AE4A03"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29,08</w:t>
            </w:r>
          </w:p>
        </w:tc>
        <w:tc>
          <w:tcPr>
            <w:tcW w:w="880" w:type="dxa"/>
            <w:tcBorders>
              <w:top w:val="nil"/>
              <w:left w:val="nil"/>
              <w:bottom w:val="single" w:sz="8" w:space="0" w:color="auto"/>
              <w:right w:val="single" w:sz="8" w:space="0" w:color="auto"/>
            </w:tcBorders>
            <w:shd w:val="clear" w:color="auto" w:fill="auto"/>
            <w:noWrap/>
            <w:vAlign w:val="center"/>
            <w:hideMark/>
          </w:tcPr>
          <w:p w14:paraId="4710DE38" w14:textId="7DA1A84D"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101,30</w:t>
            </w:r>
          </w:p>
        </w:tc>
      </w:tr>
      <w:tr w:rsidR="00E47AA9" w:rsidRPr="00E47AA9" w14:paraId="6589935E"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7A437AD5"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lastRenderedPageBreak/>
              <w:t>17</w:t>
            </w:r>
          </w:p>
        </w:tc>
        <w:tc>
          <w:tcPr>
            <w:tcW w:w="2203" w:type="dxa"/>
            <w:tcBorders>
              <w:top w:val="nil"/>
              <w:left w:val="nil"/>
              <w:bottom w:val="single" w:sz="4" w:space="0" w:color="auto"/>
              <w:right w:val="nil"/>
            </w:tcBorders>
            <w:shd w:val="clear" w:color="000000" w:fill="FFFFFF"/>
            <w:hideMark/>
          </w:tcPr>
          <w:p w14:paraId="09CC254F"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Экономическое развитие и инновационная экономика Приморского края </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77BFF8C6" w14:textId="6B71A579"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16 447,19</w:t>
            </w:r>
          </w:p>
        </w:tc>
        <w:tc>
          <w:tcPr>
            <w:tcW w:w="1369" w:type="dxa"/>
            <w:tcBorders>
              <w:top w:val="nil"/>
              <w:left w:val="nil"/>
              <w:bottom w:val="single" w:sz="8" w:space="0" w:color="auto"/>
              <w:right w:val="single" w:sz="8" w:space="0" w:color="auto"/>
            </w:tcBorders>
            <w:shd w:val="clear" w:color="auto" w:fill="auto"/>
            <w:noWrap/>
            <w:vAlign w:val="center"/>
            <w:hideMark/>
          </w:tcPr>
          <w:p w14:paraId="1AB7C329" w14:textId="704F16AC"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15 718,83</w:t>
            </w:r>
          </w:p>
        </w:tc>
        <w:tc>
          <w:tcPr>
            <w:tcW w:w="1242" w:type="dxa"/>
            <w:tcBorders>
              <w:top w:val="nil"/>
              <w:left w:val="nil"/>
              <w:bottom w:val="single" w:sz="8" w:space="0" w:color="auto"/>
              <w:right w:val="single" w:sz="8" w:space="0" w:color="auto"/>
            </w:tcBorders>
            <w:shd w:val="clear" w:color="000000" w:fill="FFFFFF"/>
            <w:vAlign w:val="center"/>
            <w:hideMark/>
          </w:tcPr>
          <w:p w14:paraId="16C6BFDB" w14:textId="35731721"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-728,36</w:t>
            </w:r>
          </w:p>
        </w:tc>
        <w:tc>
          <w:tcPr>
            <w:tcW w:w="920" w:type="dxa"/>
            <w:tcBorders>
              <w:top w:val="nil"/>
              <w:left w:val="nil"/>
              <w:bottom w:val="single" w:sz="8" w:space="0" w:color="auto"/>
              <w:right w:val="single" w:sz="8" w:space="0" w:color="auto"/>
            </w:tcBorders>
            <w:shd w:val="clear" w:color="auto" w:fill="auto"/>
            <w:noWrap/>
            <w:vAlign w:val="center"/>
            <w:hideMark/>
          </w:tcPr>
          <w:p w14:paraId="61BB04BB" w14:textId="292C7215"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95,57</w:t>
            </w:r>
          </w:p>
        </w:tc>
        <w:tc>
          <w:tcPr>
            <w:tcW w:w="1300" w:type="dxa"/>
            <w:tcBorders>
              <w:top w:val="nil"/>
              <w:left w:val="nil"/>
              <w:bottom w:val="single" w:sz="8" w:space="0" w:color="auto"/>
              <w:right w:val="single" w:sz="8" w:space="0" w:color="auto"/>
            </w:tcBorders>
            <w:shd w:val="clear" w:color="auto" w:fill="auto"/>
            <w:noWrap/>
            <w:vAlign w:val="center"/>
            <w:hideMark/>
          </w:tcPr>
          <w:p w14:paraId="5EB16168" w14:textId="0014A693"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15 788,25</w:t>
            </w:r>
          </w:p>
        </w:tc>
        <w:tc>
          <w:tcPr>
            <w:tcW w:w="880" w:type="dxa"/>
            <w:tcBorders>
              <w:top w:val="nil"/>
              <w:left w:val="nil"/>
              <w:bottom w:val="single" w:sz="8" w:space="0" w:color="auto"/>
              <w:right w:val="single" w:sz="8" w:space="0" w:color="auto"/>
            </w:tcBorders>
            <w:shd w:val="clear" w:color="auto" w:fill="auto"/>
            <w:noWrap/>
            <w:vAlign w:val="center"/>
            <w:hideMark/>
          </w:tcPr>
          <w:p w14:paraId="55F2CD10" w14:textId="4654DB1C"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69,42</w:t>
            </w:r>
          </w:p>
        </w:tc>
        <w:tc>
          <w:tcPr>
            <w:tcW w:w="880" w:type="dxa"/>
            <w:tcBorders>
              <w:top w:val="nil"/>
              <w:left w:val="nil"/>
              <w:bottom w:val="single" w:sz="8" w:space="0" w:color="auto"/>
              <w:right w:val="single" w:sz="8" w:space="0" w:color="auto"/>
            </w:tcBorders>
            <w:shd w:val="clear" w:color="auto" w:fill="auto"/>
            <w:noWrap/>
            <w:vAlign w:val="center"/>
            <w:hideMark/>
          </w:tcPr>
          <w:p w14:paraId="5EB1C96F" w14:textId="3DA2D940"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100,44</w:t>
            </w:r>
          </w:p>
        </w:tc>
      </w:tr>
      <w:tr w:rsidR="00E47AA9" w:rsidRPr="00E47AA9" w14:paraId="6F665FDB"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69E77A80"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18</w:t>
            </w:r>
          </w:p>
        </w:tc>
        <w:tc>
          <w:tcPr>
            <w:tcW w:w="2203" w:type="dxa"/>
            <w:tcBorders>
              <w:top w:val="nil"/>
              <w:left w:val="nil"/>
              <w:bottom w:val="single" w:sz="4" w:space="0" w:color="auto"/>
              <w:right w:val="nil"/>
            </w:tcBorders>
            <w:shd w:val="clear" w:color="000000" w:fill="FFFFFF"/>
            <w:hideMark/>
          </w:tcPr>
          <w:p w14:paraId="70537C47"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Безопасный край </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4DD3B2B1" w14:textId="4CDDD43A"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1 407,46</w:t>
            </w:r>
          </w:p>
        </w:tc>
        <w:tc>
          <w:tcPr>
            <w:tcW w:w="1369" w:type="dxa"/>
            <w:tcBorders>
              <w:top w:val="nil"/>
              <w:left w:val="nil"/>
              <w:bottom w:val="single" w:sz="8" w:space="0" w:color="auto"/>
              <w:right w:val="single" w:sz="8" w:space="0" w:color="auto"/>
            </w:tcBorders>
            <w:shd w:val="clear" w:color="auto" w:fill="auto"/>
            <w:noWrap/>
            <w:vAlign w:val="center"/>
            <w:hideMark/>
          </w:tcPr>
          <w:p w14:paraId="4D7B16BA" w14:textId="6F1D3E9A"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1 236,20</w:t>
            </w:r>
          </w:p>
        </w:tc>
        <w:tc>
          <w:tcPr>
            <w:tcW w:w="1242" w:type="dxa"/>
            <w:tcBorders>
              <w:top w:val="nil"/>
              <w:left w:val="nil"/>
              <w:bottom w:val="single" w:sz="8" w:space="0" w:color="auto"/>
              <w:right w:val="single" w:sz="8" w:space="0" w:color="auto"/>
            </w:tcBorders>
            <w:shd w:val="clear" w:color="000000" w:fill="FFFFFF"/>
            <w:vAlign w:val="center"/>
            <w:hideMark/>
          </w:tcPr>
          <w:p w14:paraId="0623C307" w14:textId="64412AD5"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-171,26</w:t>
            </w:r>
          </w:p>
        </w:tc>
        <w:tc>
          <w:tcPr>
            <w:tcW w:w="920" w:type="dxa"/>
            <w:tcBorders>
              <w:top w:val="nil"/>
              <w:left w:val="nil"/>
              <w:bottom w:val="single" w:sz="8" w:space="0" w:color="auto"/>
              <w:right w:val="single" w:sz="8" w:space="0" w:color="auto"/>
            </w:tcBorders>
            <w:shd w:val="clear" w:color="auto" w:fill="auto"/>
            <w:noWrap/>
            <w:vAlign w:val="center"/>
            <w:hideMark/>
          </w:tcPr>
          <w:p w14:paraId="24FD94C6" w14:textId="4B3844B1"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87,83</w:t>
            </w:r>
          </w:p>
        </w:tc>
        <w:tc>
          <w:tcPr>
            <w:tcW w:w="1300" w:type="dxa"/>
            <w:tcBorders>
              <w:top w:val="nil"/>
              <w:left w:val="nil"/>
              <w:bottom w:val="single" w:sz="8" w:space="0" w:color="auto"/>
              <w:right w:val="single" w:sz="8" w:space="0" w:color="auto"/>
            </w:tcBorders>
            <w:shd w:val="clear" w:color="auto" w:fill="auto"/>
            <w:noWrap/>
            <w:vAlign w:val="center"/>
            <w:hideMark/>
          </w:tcPr>
          <w:p w14:paraId="2F41305F" w14:textId="28AABC1A"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1 371,77</w:t>
            </w:r>
          </w:p>
        </w:tc>
        <w:tc>
          <w:tcPr>
            <w:tcW w:w="880" w:type="dxa"/>
            <w:tcBorders>
              <w:top w:val="nil"/>
              <w:left w:val="nil"/>
              <w:bottom w:val="single" w:sz="8" w:space="0" w:color="auto"/>
              <w:right w:val="single" w:sz="8" w:space="0" w:color="auto"/>
            </w:tcBorders>
            <w:shd w:val="clear" w:color="auto" w:fill="auto"/>
            <w:noWrap/>
            <w:vAlign w:val="center"/>
            <w:hideMark/>
          </w:tcPr>
          <w:p w14:paraId="72E96814" w14:textId="28AC005C"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135,57</w:t>
            </w:r>
          </w:p>
        </w:tc>
        <w:tc>
          <w:tcPr>
            <w:tcW w:w="880" w:type="dxa"/>
            <w:tcBorders>
              <w:top w:val="nil"/>
              <w:left w:val="nil"/>
              <w:bottom w:val="single" w:sz="8" w:space="0" w:color="auto"/>
              <w:right w:val="single" w:sz="8" w:space="0" w:color="auto"/>
            </w:tcBorders>
            <w:shd w:val="clear" w:color="auto" w:fill="auto"/>
            <w:noWrap/>
            <w:vAlign w:val="center"/>
            <w:hideMark/>
          </w:tcPr>
          <w:p w14:paraId="7F4AB09C" w14:textId="524CFB29"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110,97</w:t>
            </w:r>
          </w:p>
        </w:tc>
      </w:tr>
      <w:tr w:rsidR="00E47AA9" w:rsidRPr="00E47AA9" w14:paraId="2DB55237"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45785942"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19</w:t>
            </w:r>
          </w:p>
        </w:tc>
        <w:tc>
          <w:tcPr>
            <w:tcW w:w="2203" w:type="dxa"/>
            <w:tcBorders>
              <w:top w:val="nil"/>
              <w:left w:val="nil"/>
              <w:bottom w:val="single" w:sz="4" w:space="0" w:color="auto"/>
              <w:right w:val="nil"/>
            </w:tcBorders>
            <w:shd w:val="clear" w:color="000000" w:fill="FFFFFF"/>
            <w:hideMark/>
          </w:tcPr>
          <w:p w14:paraId="350506D4"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Патриотическое воспитание граждан, реализация государственной национальной политики и развитие институтов гражданского общества на территории Приморского края </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1CE3C24B" w14:textId="7A1C0722"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246,42</w:t>
            </w:r>
          </w:p>
        </w:tc>
        <w:tc>
          <w:tcPr>
            <w:tcW w:w="1369" w:type="dxa"/>
            <w:tcBorders>
              <w:top w:val="nil"/>
              <w:left w:val="nil"/>
              <w:bottom w:val="single" w:sz="8" w:space="0" w:color="auto"/>
              <w:right w:val="single" w:sz="8" w:space="0" w:color="auto"/>
            </w:tcBorders>
            <w:shd w:val="clear" w:color="auto" w:fill="auto"/>
            <w:noWrap/>
            <w:vAlign w:val="center"/>
            <w:hideMark/>
          </w:tcPr>
          <w:p w14:paraId="68A17177" w14:textId="6718B6DF"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321,41</w:t>
            </w:r>
          </w:p>
        </w:tc>
        <w:tc>
          <w:tcPr>
            <w:tcW w:w="1242" w:type="dxa"/>
            <w:tcBorders>
              <w:top w:val="nil"/>
              <w:left w:val="nil"/>
              <w:bottom w:val="single" w:sz="8" w:space="0" w:color="auto"/>
              <w:right w:val="single" w:sz="8" w:space="0" w:color="auto"/>
            </w:tcBorders>
            <w:shd w:val="clear" w:color="000000" w:fill="FFFFFF"/>
            <w:vAlign w:val="center"/>
            <w:hideMark/>
          </w:tcPr>
          <w:p w14:paraId="148AC13E" w14:textId="54E46AD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74,99</w:t>
            </w:r>
          </w:p>
        </w:tc>
        <w:tc>
          <w:tcPr>
            <w:tcW w:w="920" w:type="dxa"/>
            <w:tcBorders>
              <w:top w:val="nil"/>
              <w:left w:val="nil"/>
              <w:bottom w:val="single" w:sz="8" w:space="0" w:color="auto"/>
              <w:right w:val="single" w:sz="8" w:space="0" w:color="auto"/>
            </w:tcBorders>
            <w:shd w:val="clear" w:color="auto" w:fill="auto"/>
            <w:noWrap/>
            <w:vAlign w:val="center"/>
            <w:hideMark/>
          </w:tcPr>
          <w:p w14:paraId="2A24274A" w14:textId="0AAC9CB8"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130,43</w:t>
            </w:r>
          </w:p>
        </w:tc>
        <w:tc>
          <w:tcPr>
            <w:tcW w:w="1300" w:type="dxa"/>
            <w:tcBorders>
              <w:top w:val="nil"/>
              <w:left w:val="nil"/>
              <w:bottom w:val="single" w:sz="8" w:space="0" w:color="auto"/>
              <w:right w:val="single" w:sz="8" w:space="0" w:color="auto"/>
            </w:tcBorders>
            <w:shd w:val="clear" w:color="auto" w:fill="auto"/>
            <w:noWrap/>
            <w:vAlign w:val="center"/>
            <w:hideMark/>
          </w:tcPr>
          <w:p w14:paraId="48040B76" w14:textId="285DDF20"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352,67</w:t>
            </w:r>
          </w:p>
        </w:tc>
        <w:tc>
          <w:tcPr>
            <w:tcW w:w="880" w:type="dxa"/>
            <w:tcBorders>
              <w:top w:val="nil"/>
              <w:left w:val="nil"/>
              <w:bottom w:val="single" w:sz="8" w:space="0" w:color="auto"/>
              <w:right w:val="single" w:sz="8" w:space="0" w:color="auto"/>
            </w:tcBorders>
            <w:shd w:val="clear" w:color="auto" w:fill="auto"/>
            <w:noWrap/>
            <w:vAlign w:val="center"/>
            <w:hideMark/>
          </w:tcPr>
          <w:p w14:paraId="5E3895F1" w14:textId="6DC76123"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31,26</w:t>
            </w:r>
          </w:p>
        </w:tc>
        <w:tc>
          <w:tcPr>
            <w:tcW w:w="880" w:type="dxa"/>
            <w:tcBorders>
              <w:top w:val="nil"/>
              <w:left w:val="nil"/>
              <w:bottom w:val="single" w:sz="8" w:space="0" w:color="auto"/>
              <w:right w:val="single" w:sz="8" w:space="0" w:color="auto"/>
            </w:tcBorders>
            <w:shd w:val="clear" w:color="auto" w:fill="auto"/>
            <w:noWrap/>
            <w:vAlign w:val="center"/>
            <w:hideMark/>
          </w:tcPr>
          <w:p w14:paraId="3BDD23DB" w14:textId="64335155"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109,73</w:t>
            </w:r>
          </w:p>
        </w:tc>
      </w:tr>
      <w:tr w:rsidR="00E47AA9" w:rsidRPr="00E47AA9" w14:paraId="0BAC5F59"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hideMark/>
          </w:tcPr>
          <w:p w14:paraId="201FD0AA" w14:textId="7777777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20</w:t>
            </w:r>
          </w:p>
        </w:tc>
        <w:tc>
          <w:tcPr>
            <w:tcW w:w="2203" w:type="dxa"/>
            <w:tcBorders>
              <w:top w:val="nil"/>
              <w:left w:val="nil"/>
              <w:bottom w:val="single" w:sz="4" w:space="0" w:color="auto"/>
              <w:right w:val="nil"/>
            </w:tcBorders>
            <w:shd w:val="clear" w:color="000000" w:fill="FFFFFF"/>
            <w:hideMark/>
          </w:tcPr>
          <w:p w14:paraId="7F94C493"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Формирование современной городской среды муниципальных образований Приморского края </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09462BCC" w14:textId="411F755D"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2 659,18</w:t>
            </w:r>
          </w:p>
        </w:tc>
        <w:tc>
          <w:tcPr>
            <w:tcW w:w="1369" w:type="dxa"/>
            <w:tcBorders>
              <w:top w:val="nil"/>
              <w:left w:val="nil"/>
              <w:bottom w:val="single" w:sz="8" w:space="0" w:color="auto"/>
              <w:right w:val="single" w:sz="8" w:space="0" w:color="auto"/>
            </w:tcBorders>
            <w:shd w:val="clear" w:color="auto" w:fill="auto"/>
            <w:noWrap/>
            <w:vAlign w:val="center"/>
            <w:hideMark/>
          </w:tcPr>
          <w:p w14:paraId="640AF644" w14:textId="15817A03"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3 231,10</w:t>
            </w:r>
          </w:p>
        </w:tc>
        <w:tc>
          <w:tcPr>
            <w:tcW w:w="1242" w:type="dxa"/>
            <w:tcBorders>
              <w:top w:val="nil"/>
              <w:left w:val="nil"/>
              <w:bottom w:val="single" w:sz="8" w:space="0" w:color="auto"/>
              <w:right w:val="single" w:sz="8" w:space="0" w:color="auto"/>
            </w:tcBorders>
            <w:shd w:val="clear" w:color="000000" w:fill="FFFFFF"/>
            <w:vAlign w:val="center"/>
            <w:hideMark/>
          </w:tcPr>
          <w:p w14:paraId="139681A5" w14:textId="65787F9E"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571,92</w:t>
            </w:r>
          </w:p>
        </w:tc>
        <w:tc>
          <w:tcPr>
            <w:tcW w:w="920" w:type="dxa"/>
            <w:tcBorders>
              <w:top w:val="nil"/>
              <w:left w:val="nil"/>
              <w:bottom w:val="single" w:sz="8" w:space="0" w:color="auto"/>
              <w:right w:val="single" w:sz="8" w:space="0" w:color="auto"/>
            </w:tcBorders>
            <w:shd w:val="clear" w:color="auto" w:fill="auto"/>
            <w:noWrap/>
            <w:vAlign w:val="center"/>
            <w:hideMark/>
          </w:tcPr>
          <w:p w14:paraId="0FF862D9" w14:textId="4886D805"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121,51</w:t>
            </w:r>
          </w:p>
        </w:tc>
        <w:tc>
          <w:tcPr>
            <w:tcW w:w="1300" w:type="dxa"/>
            <w:tcBorders>
              <w:top w:val="nil"/>
              <w:left w:val="nil"/>
              <w:bottom w:val="single" w:sz="8" w:space="0" w:color="auto"/>
              <w:right w:val="single" w:sz="8" w:space="0" w:color="auto"/>
            </w:tcBorders>
            <w:shd w:val="clear" w:color="auto" w:fill="auto"/>
            <w:noWrap/>
            <w:vAlign w:val="center"/>
            <w:hideMark/>
          </w:tcPr>
          <w:p w14:paraId="46F4D262" w14:textId="18A048AD"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3 231,10</w:t>
            </w:r>
          </w:p>
        </w:tc>
        <w:tc>
          <w:tcPr>
            <w:tcW w:w="880" w:type="dxa"/>
            <w:tcBorders>
              <w:top w:val="nil"/>
              <w:left w:val="nil"/>
              <w:bottom w:val="single" w:sz="8" w:space="0" w:color="auto"/>
              <w:right w:val="single" w:sz="8" w:space="0" w:color="auto"/>
            </w:tcBorders>
            <w:shd w:val="clear" w:color="auto" w:fill="auto"/>
            <w:noWrap/>
            <w:vAlign w:val="center"/>
            <w:hideMark/>
          </w:tcPr>
          <w:p w14:paraId="3937D23E" w14:textId="17326635"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c>
          <w:tcPr>
            <w:tcW w:w="880" w:type="dxa"/>
            <w:tcBorders>
              <w:top w:val="nil"/>
              <w:left w:val="nil"/>
              <w:bottom w:val="single" w:sz="8" w:space="0" w:color="auto"/>
              <w:right w:val="single" w:sz="8" w:space="0" w:color="auto"/>
            </w:tcBorders>
            <w:shd w:val="clear" w:color="auto" w:fill="auto"/>
            <w:noWrap/>
            <w:vAlign w:val="center"/>
            <w:hideMark/>
          </w:tcPr>
          <w:p w14:paraId="2D8969CB" w14:textId="07C3C2E7" w:rsidR="00786F01" w:rsidRPr="00E47AA9" w:rsidRDefault="00786F01" w:rsidP="00786F01">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100,00</w:t>
            </w:r>
          </w:p>
        </w:tc>
      </w:tr>
      <w:tr w:rsidR="00E47AA9" w:rsidRPr="00E47AA9" w14:paraId="2590EA70"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14:paraId="6ED2A18F"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w:t>
            </w:r>
          </w:p>
        </w:tc>
        <w:tc>
          <w:tcPr>
            <w:tcW w:w="2203" w:type="dxa"/>
            <w:tcBorders>
              <w:top w:val="nil"/>
              <w:left w:val="nil"/>
              <w:bottom w:val="single" w:sz="4" w:space="0" w:color="auto"/>
              <w:right w:val="nil"/>
            </w:tcBorders>
            <w:shd w:val="clear" w:color="000000" w:fill="FFFFFF"/>
            <w:vAlign w:val="center"/>
            <w:hideMark/>
          </w:tcPr>
          <w:p w14:paraId="218CEF0D" w14:textId="77777777" w:rsidR="00786F01" w:rsidRPr="00E47AA9" w:rsidRDefault="00786F01" w:rsidP="00786F01">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Непрограммные направления деятельности органов государственной власти</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36BB8231" w14:textId="5E9BAF39"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6 291,91</w:t>
            </w:r>
          </w:p>
        </w:tc>
        <w:tc>
          <w:tcPr>
            <w:tcW w:w="1369" w:type="dxa"/>
            <w:tcBorders>
              <w:top w:val="nil"/>
              <w:left w:val="nil"/>
              <w:bottom w:val="single" w:sz="8" w:space="0" w:color="auto"/>
              <w:right w:val="single" w:sz="8" w:space="0" w:color="auto"/>
            </w:tcBorders>
            <w:shd w:val="clear" w:color="auto" w:fill="auto"/>
            <w:noWrap/>
            <w:vAlign w:val="center"/>
            <w:hideMark/>
          </w:tcPr>
          <w:p w14:paraId="527E5BAE" w14:textId="6B5EE2CD"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12 463,71</w:t>
            </w:r>
          </w:p>
        </w:tc>
        <w:tc>
          <w:tcPr>
            <w:tcW w:w="1242" w:type="dxa"/>
            <w:tcBorders>
              <w:top w:val="nil"/>
              <w:left w:val="nil"/>
              <w:bottom w:val="single" w:sz="8" w:space="0" w:color="auto"/>
              <w:right w:val="single" w:sz="8" w:space="0" w:color="auto"/>
            </w:tcBorders>
            <w:shd w:val="clear" w:color="000000" w:fill="FFFFFF"/>
            <w:vAlign w:val="center"/>
            <w:hideMark/>
          </w:tcPr>
          <w:p w14:paraId="548FFFCC" w14:textId="6CB56AFE"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6 171,80</w:t>
            </w:r>
          </w:p>
        </w:tc>
        <w:tc>
          <w:tcPr>
            <w:tcW w:w="920" w:type="dxa"/>
            <w:tcBorders>
              <w:top w:val="nil"/>
              <w:left w:val="nil"/>
              <w:bottom w:val="single" w:sz="8" w:space="0" w:color="auto"/>
              <w:right w:val="single" w:sz="8" w:space="0" w:color="auto"/>
            </w:tcBorders>
            <w:shd w:val="clear" w:color="auto" w:fill="auto"/>
            <w:noWrap/>
            <w:vAlign w:val="center"/>
            <w:hideMark/>
          </w:tcPr>
          <w:p w14:paraId="335509EE" w14:textId="6F4594EE"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198,09</w:t>
            </w:r>
          </w:p>
        </w:tc>
        <w:tc>
          <w:tcPr>
            <w:tcW w:w="1300" w:type="dxa"/>
            <w:tcBorders>
              <w:top w:val="nil"/>
              <w:left w:val="nil"/>
              <w:bottom w:val="single" w:sz="8" w:space="0" w:color="auto"/>
              <w:right w:val="single" w:sz="8" w:space="0" w:color="auto"/>
            </w:tcBorders>
            <w:shd w:val="clear" w:color="auto" w:fill="auto"/>
            <w:noWrap/>
            <w:vAlign w:val="center"/>
            <w:hideMark/>
          </w:tcPr>
          <w:p w14:paraId="606ABA9D" w14:textId="5D4E5D92"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12 947,95</w:t>
            </w:r>
          </w:p>
        </w:tc>
        <w:tc>
          <w:tcPr>
            <w:tcW w:w="880" w:type="dxa"/>
            <w:tcBorders>
              <w:top w:val="nil"/>
              <w:left w:val="nil"/>
              <w:bottom w:val="single" w:sz="8" w:space="0" w:color="auto"/>
              <w:right w:val="single" w:sz="8" w:space="0" w:color="auto"/>
            </w:tcBorders>
            <w:shd w:val="clear" w:color="auto" w:fill="auto"/>
            <w:noWrap/>
            <w:vAlign w:val="center"/>
            <w:hideMark/>
          </w:tcPr>
          <w:p w14:paraId="7985F9FD" w14:textId="1EB7BEFD"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484,24</w:t>
            </w:r>
          </w:p>
        </w:tc>
        <w:tc>
          <w:tcPr>
            <w:tcW w:w="880" w:type="dxa"/>
            <w:tcBorders>
              <w:top w:val="nil"/>
              <w:left w:val="nil"/>
              <w:bottom w:val="single" w:sz="8" w:space="0" w:color="auto"/>
              <w:right w:val="single" w:sz="8" w:space="0" w:color="auto"/>
            </w:tcBorders>
            <w:shd w:val="clear" w:color="auto" w:fill="auto"/>
            <w:noWrap/>
            <w:vAlign w:val="center"/>
            <w:hideMark/>
          </w:tcPr>
          <w:p w14:paraId="23D460C3" w14:textId="0BFA093B"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103,89</w:t>
            </w:r>
          </w:p>
        </w:tc>
      </w:tr>
      <w:tr w:rsidR="00E47AA9" w:rsidRPr="00E47AA9" w14:paraId="72DB3FD6" w14:textId="77777777" w:rsidTr="0075366D">
        <w:trPr>
          <w:trHeight w:val="3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14:paraId="437E9D1C" w14:textId="77777777" w:rsidR="00786F01" w:rsidRPr="00E47AA9" w:rsidRDefault="00786F01" w:rsidP="00786F0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w:t>
            </w:r>
          </w:p>
        </w:tc>
        <w:tc>
          <w:tcPr>
            <w:tcW w:w="2203" w:type="dxa"/>
            <w:tcBorders>
              <w:top w:val="nil"/>
              <w:left w:val="nil"/>
              <w:bottom w:val="single" w:sz="4" w:space="0" w:color="auto"/>
              <w:right w:val="nil"/>
            </w:tcBorders>
            <w:shd w:val="clear" w:color="000000" w:fill="FFFFFF"/>
            <w:noWrap/>
            <w:vAlign w:val="center"/>
            <w:hideMark/>
          </w:tcPr>
          <w:p w14:paraId="6B5E0D84" w14:textId="77777777" w:rsidR="00786F01" w:rsidRPr="00E47AA9" w:rsidRDefault="00786F01" w:rsidP="00786F01">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Всего расходов</w:t>
            </w:r>
          </w:p>
        </w:tc>
        <w:tc>
          <w:tcPr>
            <w:tcW w:w="1340" w:type="dxa"/>
            <w:tcBorders>
              <w:top w:val="nil"/>
              <w:left w:val="single" w:sz="8" w:space="0" w:color="auto"/>
              <w:bottom w:val="single" w:sz="8" w:space="0" w:color="auto"/>
              <w:right w:val="single" w:sz="8" w:space="0" w:color="auto"/>
            </w:tcBorders>
            <w:shd w:val="clear" w:color="000000" w:fill="FFFFFF"/>
            <w:noWrap/>
            <w:vAlign w:val="center"/>
            <w:hideMark/>
          </w:tcPr>
          <w:p w14:paraId="123972B3" w14:textId="594A2846"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230 070,55</w:t>
            </w:r>
          </w:p>
        </w:tc>
        <w:tc>
          <w:tcPr>
            <w:tcW w:w="1369" w:type="dxa"/>
            <w:tcBorders>
              <w:top w:val="nil"/>
              <w:left w:val="nil"/>
              <w:bottom w:val="single" w:sz="8" w:space="0" w:color="auto"/>
              <w:right w:val="single" w:sz="8" w:space="0" w:color="auto"/>
            </w:tcBorders>
            <w:shd w:val="clear" w:color="auto" w:fill="auto"/>
            <w:noWrap/>
            <w:vAlign w:val="center"/>
            <w:hideMark/>
          </w:tcPr>
          <w:p w14:paraId="40F1E650" w14:textId="2061DC05"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244 929,92</w:t>
            </w:r>
          </w:p>
        </w:tc>
        <w:tc>
          <w:tcPr>
            <w:tcW w:w="1242" w:type="dxa"/>
            <w:tcBorders>
              <w:top w:val="nil"/>
              <w:left w:val="nil"/>
              <w:bottom w:val="single" w:sz="8" w:space="0" w:color="auto"/>
              <w:right w:val="single" w:sz="8" w:space="0" w:color="auto"/>
            </w:tcBorders>
            <w:shd w:val="clear" w:color="auto" w:fill="auto"/>
            <w:noWrap/>
            <w:vAlign w:val="center"/>
            <w:hideMark/>
          </w:tcPr>
          <w:p w14:paraId="1B1D6820" w14:textId="40511AC5"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14 859,37</w:t>
            </w:r>
          </w:p>
        </w:tc>
        <w:tc>
          <w:tcPr>
            <w:tcW w:w="920" w:type="dxa"/>
            <w:tcBorders>
              <w:top w:val="nil"/>
              <w:left w:val="nil"/>
              <w:bottom w:val="single" w:sz="8" w:space="0" w:color="auto"/>
              <w:right w:val="single" w:sz="8" w:space="0" w:color="auto"/>
            </w:tcBorders>
            <w:shd w:val="clear" w:color="auto" w:fill="auto"/>
            <w:noWrap/>
            <w:vAlign w:val="center"/>
            <w:hideMark/>
          </w:tcPr>
          <w:p w14:paraId="52305E07" w14:textId="0818C45D"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106,46</w:t>
            </w:r>
          </w:p>
        </w:tc>
        <w:tc>
          <w:tcPr>
            <w:tcW w:w="1300" w:type="dxa"/>
            <w:tcBorders>
              <w:top w:val="nil"/>
              <w:left w:val="nil"/>
              <w:bottom w:val="single" w:sz="8" w:space="0" w:color="auto"/>
              <w:right w:val="single" w:sz="8" w:space="0" w:color="auto"/>
            </w:tcBorders>
            <w:shd w:val="clear" w:color="000000" w:fill="FFFFFF"/>
            <w:noWrap/>
            <w:vAlign w:val="center"/>
            <w:hideMark/>
          </w:tcPr>
          <w:p w14:paraId="24941A8C" w14:textId="494420AF"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245 684,26</w:t>
            </w:r>
          </w:p>
        </w:tc>
        <w:tc>
          <w:tcPr>
            <w:tcW w:w="880" w:type="dxa"/>
            <w:tcBorders>
              <w:top w:val="nil"/>
              <w:left w:val="nil"/>
              <w:bottom w:val="single" w:sz="8" w:space="0" w:color="auto"/>
              <w:right w:val="single" w:sz="8" w:space="0" w:color="auto"/>
            </w:tcBorders>
            <w:shd w:val="clear" w:color="auto" w:fill="auto"/>
            <w:noWrap/>
            <w:vAlign w:val="center"/>
            <w:hideMark/>
          </w:tcPr>
          <w:p w14:paraId="60CB24D4" w14:textId="78E72809"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754,34</w:t>
            </w:r>
          </w:p>
        </w:tc>
        <w:tc>
          <w:tcPr>
            <w:tcW w:w="880" w:type="dxa"/>
            <w:tcBorders>
              <w:top w:val="nil"/>
              <w:left w:val="nil"/>
              <w:bottom w:val="single" w:sz="8" w:space="0" w:color="auto"/>
              <w:right w:val="single" w:sz="8" w:space="0" w:color="auto"/>
            </w:tcBorders>
            <w:shd w:val="clear" w:color="auto" w:fill="auto"/>
            <w:noWrap/>
            <w:vAlign w:val="center"/>
            <w:hideMark/>
          </w:tcPr>
          <w:p w14:paraId="6C50CD27" w14:textId="7F15EAC0" w:rsidR="00786F01" w:rsidRPr="00E47AA9" w:rsidRDefault="00786F01" w:rsidP="00786F0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100,31</w:t>
            </w:r>
          </w:p>
        </w:tc>
      </w:tr>
    </w:tbl>
    <w:p w14:paraId="065F1810" w14:textId="24F90F67" w:rsidR="008131A4" w:rsidRPr="00E47AA9" w:rsidRDefault="008131A4" w:rsidP="00576D56">
      <w:pPr>
        <w:spacing w:after="0" w:line="240" w:lineRule="auto"/>
        <w:ind w:firstLine="709"/>
        <w:jc w:val="both"/>
        <w:rPr>
          <w:rFonts w:ascii="Times New Roman" w:hAnsi="Times New Roman" w:cs="Times New Roman"/>
          <w:sz w:val="28"/>
          <w:szCs w:val="28"/>
        </w:rPr>
      </w:pPr>
      <w:r w:rsidRPr="00E47AA9">
        <w:fldChar w:fldCharType="begin"/>
      </w:r>
      <w:r w:rsidRPr="00E47AA9">
        <w:instrText xml:space="preserve"> LINK </w:instrText>
      </w:r>
      <w:r w:rsidR="00B105E6">
        <w:instrText xml:space="preserve">Excel.Sheet.12 "\\\\dbksp\\EX\\(диск Х) Антонова\\БЮДЖЕТ КРАЕВОЙ\\БЮДЖЕТ 2024\\ИСПОЛНЕНИЕ КБ В 2024\\ИСПОЛНЕНИЕ КБ за 2024 год\\Рабочие таблицы\\Таблицы по ГП.xlsx" "СВОД ГП с первонач!R1C1:R29C9" </w:instrText>
      </w:r>
      <w:r w:rsidRPr="00E47AA9">
        <w:instrText xml:space="preserve">\a \f 4 \h </w:instrText>
      </w:r>
      <w:r w:rsidR="002A4A3B" w:rsidRPr="00E47AA9">
        <w:instrText xml:space="preserve"> \* MERGEFORMAT </w:instrText>
      </w:r>
      <w:r w:rsidRPr="00E47AA9">
        <w:fldChar w:fldCharType="separate"/>
      </w:r>
    </w:p>
    <w:p w14:paraId="47473077" w14:textId="602CD985" w:rsidR="00576D56" w:rsidRPr="00E47AA9" w:rsidRDefault="008131A4" w:rsidP="003C5CB1">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fldChar w:fldCharType="end"/>
      </w:r>
      <w:r w:rsidR="00576D56" w:rsidRPr="00E47AA9">
        <w:rPr>
          <w:rFonts w:ascii="Times New Roman" w:eastAsia="Times New Roman" w:hAnsi="Times New Roman" w:cs="Times New Roman"/>
          <w:b/>
          <w:sz w:val="28"/>
          <w:szCs w:val="28"/>
        </w:rPr>
        <w:t>2.</w:t>
      </w:r>
      <w:r w:rsidR="00576D56" w:rsidRPr="00E47AA9">
        <w:rPr>
          <w:rFonts w:ascii="Times New Roman" w:eastAsia="Times New Roman" w:hAnsi="Times New Roman" w:cs="Times New Roman"/>
          <w:sz w:val="28"/>
          <w:szCs w:val="28"/>
        </w:rPr>
        <w:t xml:space="preserve"> В соответствии с отчетом исполнение </w:t>
      </w:r>
      <w:r w:rsidR="00576D56" w:rsidRPr="00E47AA9">
        <w:rPr>
          <w:rFonts w:ascii="Times New Roman" w:eastAsia="Times New Roman" w:hAnsi="Times New Roman" w:cs="Times New Roman"/>
          <w:sz w:val="28"/>
          <w:szCs w:val="28"/>
          <w:u w:val="single"/>
        </w:rPr>
        <w:t>программной части краевого бюджета</w:t>
      </w:r>
      <w:r w:rsidR="00576D56" w:rsidRPr="00E47AA9">
        <w:rPr>
          <w:rFonts w:ascii="Times New Roman" w:eastAsia="Times New Roman" w:hAnsi="Times New Roman" w:cs="Times New Roman"/>
          <w:sz w:val="28"/>
          <w:szCs w:val="28"/>
        </w:rPr>
        <w:t xml:space="preserve"> за 2024 год составило 224513,60 млн рублей, или 96,47 % (в 2023 году</w:t>
      </w:r>
      <w:r w:rsidR="00E632C7" w:rsidRPr="00E47AA9">
        <w:rPr>
          <w:rFonts w:ascii="Times New Roman" w:eastAsia="Times New Roman" w:hAnsi="Times New Roman" w:cs="Times New Roman"/>
          <w:sz w:val="28"/>
          <w:szCs w:val="28"/>
        </w:rPr>
        <w:t> </w:t>
      </w:r>
      <w:r w:rsidR="00576D56" w:rsidRPr="00E47AA9">
        <w:rPr>
          <w:rFonts w:ascii="Times New Roman" w:eastAsia="Times New Roman" w:hAnsi="Times New Roman" w:cs="Times New Roman"/>
          <w:sz w:val="28"/>
          <w:szCs w:val="28"/>
        </w:rPr>
        <w:t xml:space="preserve">– 97,40 %) от уточненных бюджетных назначений. Увеличилась доля программных расходов до 94,73 % в общем объеме исполненных расходов (236994,68 млн рублей) по сравнению с предыдущим годом (91,91 %). </w:t>
      </w:r>
    </w:p>
    <w:p w14:paraId="111B2F42" w14:textId="2D9AD6F0" w:rsidR="00576D56" w:rsidRPr="00E47AA9" w:rsidRDefault="00576D56" w:rsidP="00576D56">
      <w:pPr>
        <w:tabs>
          <w:tab w:val="left" w:pos="851"/>
        </w:tabs>
        <w:spacing w:after="0" w:line="240" w:lineRule="auto"/>
        <w:ind w:firstLine="680"/>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Исполнение расходов краевого бюджета в разрезе государственных программ Приморского края за 2024 год </w:t>
      </w:r>
      <w:r w:rsidR="0075366D" w:rsidRPr="00E47AA9">
        <w:rPr>
          <w:rFonts w:ascii="Times New Roman" w:eastAsia="Times New Roman" w:hAnsi="Times New Roman" w:cs="Times New Roman"/>
          <w:sz w:val="28"/>
          <w:szCs w:val="28"/>
        </w:rPr>
        <w:t xml:space="preserve">в суммовом значении </w:t>
      </w:r>
      <w:r w:rsidRPr="00E47AA9">
        <w:rPr>
          <w:rFonts w:ascii="Times New Roman" w:eastAsia="Times New Roman" w:hAnsi="Times New Roman" w:cs="Times New Roman"/>
          <w:sz w:val="28"/>
          <w:szCs w:val="28"/>
        </w:rPr>
        <w:t>представлено в диаграмме.</w:t>
      </w:r>
    </w:p>
    <w:p w14:paraId="5AF0AB46" w14:textId="77777777" w:rsidR="00576D56" w:rsidRPr="00E47AA9" w:rsidRDefault="00576D56" w:rsidP="00576D56">
      <w:pPr>
        <w:tabs>
          <w:tab w:val="left" w:pos="840"/>
        </w:tabs>
        <w:spacing w:after="0" w:line="240" w:lineRule="auto"/>
        <w:ind w:firstLine="1"/>
        <w:jc w:val="center"/>
        <w:rPr>
          <w:rFonts w:ascii="Times New Roman" w:eastAsia="Times New Roman" w:hAnsi="Times New Roman" w:cs="Times New Roman"/>
          <w:sz w:val="28"/>
          <w:szCs w:val="28"/>
        </w:rPr>
      </w:pPr>
      <w:r w:rsidRPr="00E47AA9">
        <w:rPr>
          <w:rFonts w:ascii="Times New Roman" w:hAnsi="Times New Roman" w:cs="Times New Roman"/>
          <w:noProof/>
          <w:lang w:eastAsia="ru-RU"/>
        </w:rPr>
        <w:lastRenderedPageBreak/>
        <w:drawing>
          <wp:inline distT="0" distB="0" distL="0" distR="0" wp14:anchorId="3E643111" wp14:editId="73EF8A05">
            <wp:extent cx="6076950" cy="6772275"/>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DE79463" w14:textId="77777777" w:rsidR="00576D56" w:rsidRPr="00E47AA9" w:rsidRDefault="00576D56" w:rsidP="00576D56">
      <w:pPr>
        <w:widowControl w:val="0"/>
        <w:spacing w:after="0" w:line="240" w:lineRule="auto"/>
        <w:contextualSpacing/>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ab/>
        <w:t xml:space="preserve">В 2024 году количество программ, исполненных на высоком уровне (более 95,0 %), остается на уровне прошлого года </w:t>
      </w:r>
      <w:r w:rsidR="00E632C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15 ГП, которые находятся в пределах от 99,97 % (</w:t>
      </w:r>
      <w:r w:rsidRPr="00E47AA9">
        <w:rPr>
          <w:rFonts w:ascii="Times New Roman" w:eastAsia="Times New Roman" w:hAnsi="Times New Roman" w:cs="Times New Roman"/>
          <w:sz w:val="28"/>
          <w:szCs w:val="28"/>
        </w:rPr>
        <w:t>ГП "Патриотическое воспитание граждан, реализация государственной национальной политики и развитие институтов гражданского общества на территории Приморского края") до 97,22 % (</w:t>
      </w:r>
      <w:r w:rsidRPr="00E47AA9">
        <w:rPr>
          <w:rFonts w:ascii="Times New Roman" w:eastAsia="Times New Roman" w:hAnsi="Times New Roman" w:cs="Times New Roman"/>
          <w:sz w:val="28"/>
          <w:szCs w:val="28"/>
          <w:lang w:eastAsia="ru-RU"/>
        </w:rPr>
        <w:t>ГП "Развитие здравоохранения Приморского края").</w:t>
      </w:r>
    </w:p>
    <w:p w14:paraId="183492C1" w14:textId="77777777" w:rsidR="00576D56" w:rsidRPr="00E47AA9" w:rsidRDefault="00576D56" w:rsidP="00576D5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rPr>
        <w:t>Ниже уровня 95,00 % сложилось исполнение бюджетных ассигнований по пяти программам: ГП</w:t>
      </w:r>
      <w:r w:rsidRPr="00E47AA9">
        <w:rPr>
          <w:rFonts w:ascii="Times New Roman" w:eastAsia="Times New Roman" w:hAnsi="Times New Roman" w:cs="Times New Roman"/>
          <w:sz w:val="28"/>
          <w:szCs w:val="28"/>
          <w:lang w:eastAsia="ru-RU"/>
        </w:rPr>
        <w:t xml:space="preserve"> "Развитие физической культуры и спорта Приморского края" – 94,68 %, ГП "Обеспечение доступным жильем и качественными услугами жилищно-коммунального хозяйства населения Приморского края" – 92,53 %, ГП "Охрана окружающей среды Приморского </w:t>
      </w:r>
      <w:r w:rsidRPr="00E47AA9">
        <w:rPr>
          <w:rFonts w:ascii="Times New Roman" w:eastAsia="Times New Roman" w:hAnsi="Times New Roman" w:cs="Times New Roman"/>
          <w:sz w:val="28"/>
          <w:szCs w:val="28"/>
          <w:lang w:eastAsia="ru-RU"/>
        </w:rPr>
        <w:lastRenderedPageBreak/>
        <w:t>края" – 92,10 %, ГП "Развитие транспортного комплекса Приморского края" – 91,79 %, ГП "Энергоэффективность, развитие газоснабжения и энергетики в Приморском крае" – 89,56 %.</w:t>
      </w:r>
    </w:p>
    <w:p w14:paraId="0673DC10" w14:textId="20096309" w:rsidR="006C2AFC" w:rsidRPr="00E47AA9" w:rsidRDefault="006C2AFC" w:rsidP="006C2AFC">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rPr>
        <w:t>Согласно Сводному годовому докладу о ходе реализации и об оценке эффективности государственных программ Приморского края за 2024 год (далее – Сводный годовой доклад), предоставленному министерством экономического развития Приморского края</w:t>
      </w:r>
      <w:r w:rsidR="0094202F"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в</w:t>
      </w:r>
      <w:r w:rsidRPr="00E47AA9">
        <w:rPr>
          <w:rFonts w:ascii="Times New Roman" w:eastAsia="Times New Roman" w:hAnsi="Times New Roman" w:cs="Times New Roman"/>
          <w:sz w:val="28"/>
          <w:szCs w:val="28"/>
          <w:lang w:eastAsia="ru-RU"/>
        </w:rPr>
        <w:t xml:space="preserve"> 2024 году государственными программами Приморского края запланированы к реализации 990 мероприятий (2023 год – 958), из которых в полном объеме выполнены 747 мероприятий (2023 год – 713), выполнены не в полном объеме 157</w:t>
      </w:r>
      <w:r w:rsidR="00AB42BB"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мероприятий, не реализованы 55 мероприятий (2023 год – 84), исключено из плана реализации 31 мероприятие (2023 год – 15).</w:t>
      </w:r>
    </w:p>
    <w:p w14:paraId="33EEA219" w14:textId="0DA37128" w:rsidR="00576D56" w:rsidRPr="00E47AA9" w:rsidRDefault="002555FB" w:rsidP="00576D56">
      <w:pPr>
        <w:tabs>
          <w:tab w:val="left" w:pos="840"/>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Анализ</w:t>
      </w:r>
      <w:r w:rsidR="00576D56" w:rsidRPr="00E47AA9">
        <w:rPr>
          <w:rFonts w:ascii="Times New Roman" w:eastAsia="Times New Roman" w:hAnsi="Times New Roman" w:cs="Times New Roman"/>
          <w:sz w:val="28"/>
          <w:szCs w:val="28"/>
        </w:rPr>
        <w:t xml:space="preserve"> исполнения расходов краевого бюджета в разрезе ГП за 2024 год представлен в таблице.</w:t>
      </w:r>
    </w:p>
    <w:tbl>
      <w:tblPr>
        <w:tblW w:w="9818" w:type="dxa"/>
        <w:tblInd w:w="-284" w:type="dxa"/>
        <w:tblLook w:val="04A0" w:firstRow="1" w:lastRow="0" w:firstColumn="1" w:lastColumn="0" w:noHBand="0" w:noVBand="1"/>
      </w:tblPr>
      <w:tblGrid>
        <w:gridCol w:w="2978"/>
        <w:gridCol w:w="1420"/>
        <w:gridCol w:w="1300"/>
        <w:gridCol w:w="960"/>
        <w:gridCol w:w="960"/>
        <w:gridCol w:w="1240"/>
        <w:gridCol w:w="960"/>
      </w:tblGrid>
      <w:tr w:rsidR="00E47AA9" w:rsidRPr="00E47AA9" w14:paraId="0989B728" w14:textId="77777777" w:rsidTr="008B68AB">
        <w:trPr>
          <w:trHeight w:val="20"/>
          <w:tblHeader/>
        </w:trPr>
        <w:tc>
          <w:tcPr>
            <w:tcW w:w="2978" w:type="dxa"/>
            <w:tcBorders>
              <w:top w:val="nil"/>
              <w:left w:val="nil"/>
              <w:bottom w:val="nil"/>
              <w:right w:val="nil"/>
            </w:tcBorders>
            <w:shd w:val="clear" w:color="auto" w:fill="auto"/>
            <w:hideMark/>
          </w:tcPr>
          <w:p w14:paraId="64CD6475"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p>
        </w:tc>
        <w:tc>
          <w:tcPr>
            <w:tcW w:w="1420" w:type="dxa"/>
            <w:tcBorders>
              <w:top w:val="nil"/>
              <w:left w:val="nil"/>
              <w:bottom w:val="nil"/>
              <w:right w:val="nil"/>
            </w:tcBorders>
            <w:shd w:val="clear" w:color="auto" w:fill="auto"/>
            <w:vAlign w:val="center"/>
            <w:hideMark/>
          </w:tcPr>
          <w:p w14:paraId="3693D25E"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p>
        </w:tc>
        <w:tc>
          <w:tcPr>
            <w:tcW w:w="3220" w:type="dxa"/>
            <w:gridSpan w:val="3"/>
            <w:tcBorders>
              <w:top w:val="nil"/>
              <w:left w:val="nil"/>
              <w:bottom w:val="nil"/>
              <w:right w:val="nil"/>
            </w:tcBorders>
            <w:shd w:val="clear" w:color="auto" w:fill="auto"/>
            <w:vAlign w:val="center"/>
            <w:hideMark/>
          </w:tcPr>
          <w:p w14:paraId="5FFA2F45"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p>
        </w:tc>
        <w:tc>
          <w:tcPr>
            <w:tcW w:w="2200" w:type="dxa"/>
            <w:gridSpan w:val="2"/>
            <w:tcBorders>
              <w:top w:val="nil"/>
              <w:left w:val="nil"/>
              <w:bottom w:val="single" w:sz="4" w:space="0" w:color="auto"/>
              <w:right w:val="nil"/>
            </w:tcBorders>
            <w:shd w:val="clear" w:color="auto" w:fill="auto"/>
            <w:noWrap/>
            <w:vAlign w:val="center"/>
            <w:hideMark/>
          </w:tcPr>
          <w:p w14:paraId="1BF46314" w14:textId="77777777" w:rsidR="00576D56" w:rsidRPr="00E47AA9" w:rsidRDefault="00576D56" w:rsidP="00576D56">
            <w:pPr>
              <w:spacing w:after="0" w:line="240" w:lineRule="auto"/>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0A8CE275" w14:textId="77777777" w:rsidTr="008B68AB">
        <w:trPr>
          <w:trHeight w:val="20"/>
          <w:tblHeader/>
        </w:trPr>
        <w:tc>
          <w:tcPr>
            <w:tcW w:w="29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44388D"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показателя</w:t>
            </w:r>
          </w:p>
        </w:tc>
        <w:tc>
          <w:tcPr>
            <w:tcW w:w="1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3A237B"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3220" w:type="dxa"/>
            <w:gridSpan w:val="3"/>
            <w:tcBorders>
              <w:top w:val="single" w:sz="4" w:space="0" w:color="auto"/>
              <w:left w:val="nil"/>
              <w:bottom w:val="single" w:sz="4" w:space="0" w:color="auto"/>
              <w:right w:val="single" w:sz="4" w:space="0" w:color="auto"/>
            </w:tcBorders>
            <w:shd w:val="clear" w:color="auto" w:fill="auto"/>
            <w:vAlign w:val="center"/>
            <w:hideMark/>
          </w:tcPr>
          <w:p w14:paraId="3070109C"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220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63A02DE"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Неисполненные бюджетные назначения</w:t>
            </w:r>
          </w:p>
        </w:tc>
      </w:tr>
      <w:tr w:rsidR="00E47AA9" w:rsidRPr="00E47AA9" w14:paraId="7600C625" w14:textId="77777777" w:rsidTr="008B68AB">
        <w:trPr>
          <w:trHeight w:val="20"/>
          <w:tblHeader/>
        </w:trPr>
        <w:tc>
          <w:tcPr>
            <w:tcW w:w="2978" w:type="dxa"/>
            <w:vMerge/>
            <w:tcBorders>
              <w:top w:val="single" w:sz="4" w:space="0" w:color="auto"/>
              <w:left w:val="single" w:sz="4" w:space="0" w:color="auto"/>
              <w:bottom w:val="single" w:sz="4" w:space="0" w:color="auto"/>
              <w:right w:val="single" w:sz="4" w:space="0" w:color="auto"/>
            </w:tcBorders>
            <w:vAlign w:val="center"/>
            <w:hideMark/>
          </w:tcPr>
          <w:p w14:paraId="59D853E1"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14:paraId="5B16D37A"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p>
        </w:tc>
        <w:tc>
          <w:tcPr>
            <w:tcW w:w="1300" w:type="dxa"/>
            <w:tcBorders>
              <w:top w:val="nil"/>
              <w:left w:val="single" w:sz="4" w:space="0" w:color="auto"/>
              <w:bottom w:val="single" w:sz="4" w:space="0" w:color="auto"/>
              <w:right w:val="single" w:sz="4" w:space="0" w:color="auto"/>
            </w:tcBorders>
            <w:shd w:val="clear" w:color="auto" w:fill="auto"/>
            <w:vAlign w:val="center"/>
            <w:hideMark/>
          </w:tcPr>
          <w:p w14:paraId="15BBC903"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960" w:type="dxa"/>
            <w:tcBorders>
              <w:top w:val="nil"/>
              <w:left w:val="nil"/>
              <w:bottom w:val="single" w:sz="4" w:space="0" w:color="auto"/>
              <w:right w:val="single" w:sz="4" w:space="0" w:color="auto"/>
            </w:tcBorders>
            <w:shd w:val="clear" w:color="auto" w:fill="auto"/>
            <w:vAlign w:val="center"/>
            <w:hideMark/>
          </w:tcPr>
          <w:p w14:paraId="601B3BD3" w14:textId="73AB7682"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доля </w:t>
            </w:r>
            <w:r w:rsidR="005D0C1E" w:rsidRPr="00E47AA9">
              <w:rPr>
                <w:rFonts w:ascii="Times New Roman" w:eastAsia="Times New Roman" w:hAnsi="Times New Roman" w:cs="Times New Roman"/>
                <w:sz w:val="20"/>
                <w:szCs w:val="20"/>
                <w:lang w:eastAsia="ru-RU"/>
              </w:rPr>
              <w:t>(%)</w:t>
            </w:r>
          </w:p>
        </w:tc>
        <w:tc>
          <w:tcPr>
            <w:tcW w:w="960" w:type="dxa"/>
            <w:tcBorders>
              <w:top w:val="nil"/>
              <w:left w:val="single" w:sz="4" w:space="0" w:color="auto"/>
              <w:bottom w:val="single" w:sz="4" w:space="0" w:color="auto"/>
              <w:right w:val="single" w:sz="4" w:space="0" w:color="auto"/>
            </w:tcBorders>
            <w:shd w:val="clear" w:color="auto" w:fill="auto"/>
            <w:vAlign w:val="center"/>
            <w:hideMark/>
          </w:tcPr>
          <w:p w14:paraId="0FD2EF4A"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w:t>
            </w:r>
          </w:p>
        </w:tc>
        <w:tc>
          <w:tcPr>
            <w:tcW w:w="1240" w:type="dxa"/>
            <w:tcBorders>
              <w:top w:val="nil"/>
              <w:left w:val="single" w:sz="4" w:space="0" w:color="auto"/>
              <w:bottom w:val="single" w:sz="4" w:space="0" w:color="auto"/>
              <w:right w:val="single" w:sz="4" w:space="0" w:color="auto"/>
            </w:tcBorders>
            <w:shd w:val="clear" w:color="auto" w:fill="auto"/>
            <w:vAlign w:val="center"/>
            <w:hideMark/>
          </w:tcPr>
          <w:p w14:paraId="2A3290FF"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960" w:type="dxa"/>
            <w:tcBorders>
              <w:top w:val="nil"/>
              <w:left w:val="nil"/>
              <w:bottom w:val="single" w:sz="4" w:space="0" w:color="auto"/>
              <w:right w:val="single" w:sz="4" w:space="0" w:color="auto"/>
            </w:tcBorders>
            <w:shd w:val="clear" w:color="auto" w:fill="auto"/>
            <w:vAlign w:val="center"/>
            <w:hideMark/>
          </w:tcPr>
          <w:p w14:paraId="70F1596E" w14:textId="7110945A"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доля </w:t>
            </w:r>
            <w:r w:rsidR="005D0C1E" w:rsidRPr="00E47AA9">
              <w:rPr>
                <w:rFonts w:ascii="Times New Roman" w:eastAsia="Times New Roman" w:hAnsi="Times New Roman" w:cs="Times New Roman"/>
                <w:sz w:val="20"/>
                <w:szCs w:val="20"/>
                <w:lang w:eastAsia="ru-RU"/>
              </w:rPr>
              <w:t>(%)</w:t>
            </w:r>
          </w:p>
        </w:tc>
      </w:tr>
      <w:tr w:rsidR="00E47AA9" w:rsidRPr="00E47AA9" w14:paraId="3000C7D1"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2123131D" w14:textId="77777777" w:rsidR="008B68AB" w:rsidRPr="00E47AA9" w:rsidRDefault="008B68AB" w:rsidP="008B68AB">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Государственные программы Приморского края всего,</w:t>
            </w:r>
          </w:p>
          <w:p w14:paraId="59A10D29" w14:textId="77777777" w:rsidR="008B68AB" w:rsidRPr="00E47AA9" w:rsidRDefault="008B68AB" w:rsidP="008B68AB">
            <w:pPr>
              <w:spacing w:after="0" w:line="240" w:lineRule="auto"/>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в том числе</w:t>
            </w:r>
          </w:p>
        </w:tc>
        <w:tc>
          <w:tcPr>
            <w:tcW w:w="1420" w:type="dxa"/>
            <w:tcBorders>
              <w:top w:val="nil"/>
              <w:left w:val="nil"/>
              <w:bottom w:val="single" w:sz="8" w:space="0" w:color="auto"/>
              <w:right w:val="single" w:sz="8" w:space="0" w:color="auto"/>
            </w:tcBorders>
            <w:shd w:val="clear" w:color="auto" w:fill="auto"/>
            <w:noWrap/>
            <w:vAlign w:val="center"/>
            <w:hideMark/>
          </w:tcPr>
          <w:p w14:paraId="1282BEA1" w14:textId="795E41B3"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232 736,31</w:t>
            </w:r>
          </w:p>
        </w:tc>
        <w:tc>
          <w:tcPr>
            <w:tcW w:w="1300" w:type="dxa"/>
            <w:tcBorders>
              <w:top w:val="nil"/>
              <w:left w:val="nil"/>
              <w:bottom w:val="single" w:sz="8" w:space="0" w:color="auto"/>
              <w:right w:val="single" w:sz="8" w:space="0" w:color="auto"/>
            </w:tcBorders>
            <w:shd w:val="clear" w:color="auto" w:fill="auto"/>
            <w:noWrap/>
            <w:vAlign w:val="center"/>
            <w:hideMark/>
          </w:tcPr>
          <w:p w14:paraId="3CD7ED12" w14:textId="423F14C9"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224 513,60</w:t>
            </w:r>
          </w:p>
        </w:tc>
        <w:tc>
          <w:tcPr>
            <w:tcW w:w="960" w:type="dxa"/>
            <w:tcBorders>
              <w:top w:val="nil"/>
              <w:left w:val="nil"/>
              <w:bottom w:val="single" w:sz="8" w:space="0" w:color="auto"/>
              <w:right w:val="single" w:sz="8" w:space="0" w:color="auto"/>
            </w:tcBorders>
            <w:shd w:val="clear" w:color="000000" w:fill="FFFFFF"/>
            <w:noWrap/>
            <w:vAlign w:val="center"/>
            <w:hideMark/>
          </w:tcPr>
          <w:p w14:paraId="42AEA96D" w14:textId="591E9589"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94,73</w:t>
            </w:r>
          </w:p>
        </w:tc>
        <w:tc>
          <w:tcPr>
            <w:tcW w:w="960" w:type="dxa"/>
            <w:tcBorders>
              <w:top w:val="nil"/>
              <w:left w:val="nil"/>
              <w:bottom w:val="single" w:sz="8" w:space="0" w:color="auto"/>
              <w:right w:val="single" w:sz="8" w:space="0" w:color="auto"/>
            </w:tcBorders>
            <w:shd w:val="clear" w:color="000000" w:fill="FFFFFF"/>
            <w:noWrap/>
            <w:vAlign w:val="center"/>
            <w:hideMark/>
          </w:tcPr>
          <w:p w14:paraId="41A684ED" w14:textId="25ADE9D1"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96,47</w:t>
            </w:r>
          </w:p>
        </w:tc>
        <w:tc>
          <w:tcPr>
            <w:tcW w:w="1240" w:type="dxa"/>
            <w:tcBorders>
              <w:top w:val="nil"/>
              <w:left w:val="nil"/>
              <w:bottom w:val="single" w:sz="8" w:space="0" w:color="auto"/>
              <w:right w:val="single" w:sz="8" w:space="0" w:color="auto"/>
            </w:tcBorders>
            <w:shd w:val="clear" w:color="000000" w:fill="FFFFFF"/>
            <w:noWrap/>
            <w:vAlign w:val="center"/>
            <w:hideMark/>
          </w:tcPr>
          <w:p w14:paraId="2C465922" w14:textId="562C4EC9"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8 222,71</w:t>
            </w:r>
          </w:p>
        </w:tc>
        <w:tc>
          <w:tcPr>
            <w:tcW w:w="960" w:type="dxa"/>
            <w:tcBorders>
              <w:top w:val="nil"/>
              <w:left w:val="nil"/>
              <w:bottom w:val="single" w:sz="8" w:space="0" w:color="auto"/>
              <w:right w:val="single" w:sz="8" w:space="0" w:color="auto"/>
            </w:tcBorders>
            <w:shd w:val="clear" w:color="000000" w:fill="FFFFFF"/>
            <w:noWrap/>
            <w:vAlign w:val="center"/>
            <w:hideMark/>
          </w:tcPr>
          <w:p w14:paraId="21D62972" w14:textId="6BAE3772"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94,63</w:t>
            </w:r>
          </w:p>
        </w:tc>
      </w:tr>
      <w:tr w:rsidR="00E47AA9" w:rsidRPr="00E47AA9" w14:paraId="2F0316DD"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28FE68C1"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здравоохранения Приморского края"</w:t>
            </w:r>
          </w:p>
        </w:tc>
        <w:tc>
          <w:tcPr>
            <w:tcW w:w="1420" w:type="dxa"/>
            <w:tcBorders>
              <w:top w:val="nil"/>
              <w:left w:val="nil"/>
              <w:bottom w:val="single" w:sz="8" w:space="0" w:color="auto"/>
              <w:right w:val="single" w:sz="8" w:space="0" w:color="auto"/>
            </w:tcBorders>
            <w:shd w:val="clear" w:color="auto" w:fill="auto"/>
            <w:noWrap/>
            <w:vAlign w:val="center"/>
            <w:hideMark/>
          </w:tcPr>
          <w:p w14:paraId="4305870F" w14:textId="1B1C429F"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37 088,42</w:t>
            </w:r>
          </w:p>
        </w:tc>
        <w:tc>
          <w:tcPr>
            <w:tcW w:w="1300" w:type="dxa"/>
            <w:tcBorders>
              <w:top w:val="nil"/>
              <w:left w:val="nil"/>
              <w:bottom w:val="single" w:sz="8" w:space="0" w:color="auto"/>
              <w:right w:val="single" w:sz="8" w:space="0" w:color="auto"/>
            </w:tcBorders>
            <w:shd w:val="clear" w:color="auto" w:fill="auto"/>
            <w:noWrap/>
            <w:vAlign w:val="center"/>
            <w:hideMark/>
          </w:tcPr>
          <w:p w14:paraId="461B2736" w14:textId="12B6D287" w:rsidR="008B68AB" w:rsidRPr="00E47AA9" w:rsidRDefault="008B68AB" w:rsidP="00F812D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36 059,0</w:t>
            </w:r>
            <w:r w:rsidR="00F812DC" w:rsidRPr="00E47AA9">
              <w:rPr>
                <w:rFonts w:ascii="Times New Roman" w:hAnsi="Times New Roman" w:cs="Times New Roman"/>
                <w:sz w:val="20"/>
                <w:szCs w:val="20"/>
              </w:rPr>
              <w:t>1</w:t>
            </w:r>
          </w:p>
        </w:tc>
        <w:tc>
          <w:tcPr>
            <w:tcW w:w="960" w:type="dxa"/>
            <w:tcBorders>
              <w:top w:val="nil"/>
              <w:left w:val="nil"/>
              <w:bottom w:val="single" w:sz="8" w:space="0" w:color="auto"/>
              <w:right w:val="single" w:sz="8" w:space="0" w:color="auto"/>
            </w:tcBorders>
            <w:shd w:val="clear" w:color="000000" w:fill="FFFFFF"/>
            <w:vAlign w:val="center"/>
            <w:hideMark/>
          </w:tcPr>
          <w:p w14:paraId="1ABC1783" w14:textId="7AD231E1"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15,22</w:t>
            </w:r>
          </w:p>
        </w:tc>
        <w:tc>
          <w:tcPr>
            <w:tcW w:w="960" w:type="dxa"/>
            <w:tcBorders>
              <w:top w:val="nil"/>
              <w:left w:val="nil"/>
              <w:bottom w:val="single" w:sz="8" w:space="0" w:color="auto"/>
              <w:right w:val="single" w:sz="8" w:space="0" w:color="auto"/>
            </w:tcBorders>
            <w:shd w:val="clear" w:color="000000" w:fill="FFFFFF"/>
            <w:vAlign w:val="center"/>
            <w:hideMark/>
          </w:tcPr>
          <w:p w14:paraId="3CDECEB6" w14:textId="17C23521"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97,22</w:t>
            </w:r>
          </w:p>
        </w:tc>
        <w:tc>
          <w:tcPr>
            <w:tcW w:w="1240" w:type="dxa"/>
            <w:tcBorders>
              <w:top w:val="nil"/>
              <w:left w:val="nil"/>
              <w:bottom w:val="single" w:sz="8" w:space="0" w:color="auto"/>
              <w:right w:val="single" w:sz="8" w:space="0" w:color="auto"/>
            </w:tcBorders>
            <w:shd w:val="clear" w:color="000000" w:fill="FFFFFF"/>
            <w:vAlign w:val="center"/>
            <w:hideMark/>
          </w:tcPr>
          <w:p w14:paraId="4AACF8F4" w14:textId="305D1040" w:rsidR="008B68AB" w:rsidRPr="00E47AA9" w:rsidRDefault="008B68AB" w:rsidP="00F812D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1 029,</w:t>
            </w:r>
            <w:r w:rsidR="00F812DC" w:rsidRPr="00E47AA9">
              <w:rPr>
                <w:rFonts w:ascii="Times New Roman" w:hAnsi="Times New Roman" w:cs="Times New Roman"/>
                <w:sz w:val="20"/>
                <w:szCs w:val="20"/>
              </w:rPr>
              <w:t>39</w:t>
            </w:r>
          </w:p>
        </w:tc>
        <w:tc>
          <w:tcPr>
            <w:tcW w:w="960" w:type="dxa"/>
            <w:tcBorders>
              <w:top w:val="nil"/>
              <w:left w:val="nil"/>
              <w:bottom w:val="single" w:sz="8" w:space="0" w:color="auto"/>
              <w:right w:val="single" w:sz="8" w:space="0" w:color="auto"/>
            </w:tcBorders>
            <w:shd w:val="clear" w:color="000000" w:fill="FFFFFF"/>
            <w:vAlign w:val="center"/>
            <w:hideMark/>
          </w:tcPr>
          <w:p w14:paraId="68D78480" w14:textId="1FACD120"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11,85</w:t>
            </w:r>
          </w:p>
        </w:tc>
      </w:tr>
      <w:tr w:rsidR="00E47AA9" w:rsidRPr="00E47AA9" w14:paraId="7789A391"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2490F97F"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образования Приморского края"</w:t>
            </w:r>
          </w:p>
        </w:tc>
        <w:tc>
          <w:tcPr>
            <w:tcW w:w="1420" w:type="dxa"/>
            <w:tcBorders>
              <w:top w:val="nil"/>
              <w:left w:val="nil"/>
              <w:bottom w:val="single" w:sz="8" w:space="0" w:color="auto"/>
              <w:right w:val="single" w:sz="8" w:space="0" w:color="auto"/>
            </w:tcBorders>
            <w:shd w:val="clear" w:color="auto" w:fill="auto"/>
            <w:noWrap/>
            <w:vAlign w:val="center"/>
            <w:hideMark/>
          </w:tcPr>
          <w:p w14:paraId="68C0557A" w14:textId="6FA457B3"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48 359,43</w:t>
            </w:r>
          </w:p>
        </w:tc>
        <w:tc>
          <w:tcPr>
            <w:tcW w:w="1300" w:type="dxa"/>
            <w:tcBorders>
              <w:top w:val="nil"/>
              <w:left w:val="nil"/>
              <w:bottom w:val="single" w:sz="8" w:space="0" w:color="auto"/>
              <w:right w:val="single" w:sz="8" w:space="0" w:color="auto"/>
            </w:tcBorders>
            <w:shd w:val="clear" w:color="auto" w:fill="auto"/>
            <w:noWrap/>
            <w:vAlign w:val="center"/>
            <w:hideMark/>
          </w:tcPr>
          <w:p w14:paraId="359C0914" w14:textId="429F132B"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47 079,52</w:t>
            </w:r>
          </w:p>
        </w:tc>
        <w:tc>
          <w:tcPr>
            <w:tcW w:w="960" w:type="dxa"/>
            <w:tcBorders>
              <w:top w:val="nil"/>
              <w:left w:val="nil"/>
              <w:bottom w:val="single" w:sz="8" w:space="0" w:color="auto"/>
              <w:right w:val="single" w:sz="8" w:space="0" w:color="auto"/>
            </w:tcBorders>
            <w:shd w:val="clear" w:color="000000" w:fill="FFFFFF"/>
            <w:vAlign w:val="center"/>
            <w:hideMark/>
          </w:tcPr>
          <w:p w14:paraId="3E15235A" w14:textId="3D37F322"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19,87</w:t>
            </w:r>
          </w:p>
        </w:tc>
        <w:tc>
          <w:tcPr>
            <w:tcW w:w="960" w:type="dxa"/>
            <w:tcBorders>
              <w:top w:val="nil"/>
              <w:left w:val="nil"/>
              <w:bottom w:val="single" w:sz="8" w:space="0" w:color="auto"/>
              <w:right w:val="single" w:sz="8" w:space="0" w:color="auto"/>
            </w:tcBorders>
            <w:shd w:val="clear" w:color="000000" w:fill="FFFFFF"/>
            <w:vAlign w:val="center"/>
            <w:hideMark/>
          </w:tcPr>
          <w:p w14:paraId="4BF9FA6D" w14:textId="443EFC7A"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97,35</w:t>
            </w:r>
          </w:p>
        </w:tc>
        <w:tc>
          <w:tcPr>
            <w:tcW w:w="1240" w:type="dxa"/>
            <w:tcBorders>
              <w:top w:val="nil"/>
              <w:left w:val="nil"/>
              <w:bottom w:val="single" w:sz="8" w:space="0" w:color="auto"/>
              <w:right w:val="single" w:sz="8" w:space="0" w:color="auto"/>
            </w:tcBorders>
            <w:shd w:val="clear" w:color="000000" w:fill="FFFFFF"/>
            <w:vAlign w:val="center"/>
            <w:hideMark/>
          </w:tcPr>
          <w:p w14:paraId="5009136B" w14:textId="2D69F284"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1 279,91</w:t>
            </w:r>
          </w:p>
        </w:tc>
        <w:tc>
          <w:tcPr>
            <w:tcW w:w="960" w:type="dxa"/>
            <w:tcBorders>
              <w:top w:val="nil"/>
              <w:left w:val="nil"/>
              <w:bottom w:val="single" w:sz="8" w:space="0" w:color="auto"/>
              <w:right w:val="single" w:sz="8" w:space="0" w:color="auto"/>
            </w:tcBorders>
            <w:shd w:val="clear" w:color="000000" w:fill="FFFFFF"/>
            <w:vAlign w:val="center"/>
            <w:hideMark/>
          </w:tcPr>
          <w:p w14:paraId="073AD853" w14:textId="3B5D4113"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14,73</w:t>
            </w:r>
          </w:p>
        </w:tc>
      </w:tr>
      <w:tr w:rsidR="00E47AA9" w:rsidRPr="00E47AA9" w14:paraId="2FBBE628"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7654F373"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 "Социальная поддержка населения Приморского края"</w:t>
            </w:r>
          </w:p>
        </w:tc>
        <w:tc>
          <w:tcPr>
            <w:tcW w:w="1420" w:type="dxa"/>
            <w:tcBorders>
              <w:top w:val="nil"/>
              <w:left w:val="nil"/>
              <w:bottom w:val="single" w:sz="8" w:space="0" w:color="auto"/>
              <w:right w:val="single" w:sz="8" w:space="0" w:color="auto"/>
            </w:tcBorders>
            <w:shd w:val="clear" w:color="auto" w:fill="auto"/>
            <w:noWrap/>
            <w:vAlign w:val="center"/>
            <w:hideMark/>
          </w:tcPr>
          <w:p w14:paraId="340C73B2" w14:textId="37A94744"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32 010,29</w:t>
            </w:r>
          </w:p>
        </w:tc>
        <w:tc>
          <w:tcPr>
            <w:tcW w:w="1300" w:type="dxa"/>
            <w:tcBorders>
              <w:top w:val="nil"/>
              <w:left w:val="nil"/>
              <w:bottom w:val="single" w:sz="8" w:space="0" w:color="auto"/>
              <w:right w:val="single" w:sz="8" w:space="0" w:color="auto"/>
            </w:tcBorders>
            <w:shd w:val="clear" w:color="auto" w:fill="auto"/>
            <w:noWrap/>
            <w:vAlign w:val="center"/>
            <w:hideMark/>
          </w:tcPr>
          <w:p w14:paraId="5CBF4350" w14:textId="03F40B4F"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31 768,94</w:t>
            </w:r>
          </w:p>
        </w:tc>
        <w:tc>
          <w:tcPr>
            <w:tcW w:w="960" w:type="dxa"/>
            <w:tcBorders>
              <w:top w:val="nil"/>
              <w:left w:val="nil"/>
              <w:bottom w:val="single" w:sz="8" w:space="0" w:color="auto"/>
              <w:right w:val="single" w:sz="8" w:space="0" w:color="auto"/>
            </w:tcBorders>
            <w:shd w:val="clear" w:color="000000" w:fill="FFFFFF"/>
            <w:vAlign w:val="center"/>
            <w:hideMark/>
          </w:tcPr>
          <w:p w14:paraId="30863120" w14:textId="15ADB892"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13,40</w:t>
            </w:r>
          </w:p>
        </w:tc>
        <w:tc>
          <w:tcPr>
            <w:tcW w:w="960" w:type="dxa"/>
            <w:tcBorders>
              <w:top w:val="nil"/>
              <w:left w:val="nil"/>
              <w:bottom w:val="single" w:sz="8" w:space="0" w:color="auto"/>
              <w:right w:val="single" w:sz="8" w:space="0" w:color="auto"/>
            </w:tcBorders>
            <w:shd w:val="clear" w:color="000000" w:fill="FFFFFF"/>
            <w:vAlign w:val="center"/>
            <w:hideMark/>
          </w:tcPr>
          <w:p w14:paraId="27176308" w14:textId="28F0FE17"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99,25</w:t>
            </w:r>
          </w:p>
        </w:tc>
        <w:tc>
          <w:tcPr>
            <w:tcW w:w="1240" w:type="dxa"/>
            <w:tcBorders>
              <w:top w:val="nil"/>
              <w:left w:val="nil"/>
              <w:bottom w:val="single" w:sz="8" w:space="0" w:color="auto"/>
              <w:right w:val="single" w:sz="8" w:space="0" w:color="auto"/>
            </w:tcBorders>
            <w:shd w:val="clear" w:color="000000" w:fill="FFFFFF"/>
            <w:vAlign w:val="center"/>
            <w:hideMark/>
          </w:tcPr>
          <w:p w14:paraId="473EEB8B" w14:textId="6AC97F14"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241,35</w:t>
            </w:r>
          </w:p>
        </w:tc>
        <w:tc>
          <w:tcPr>
            <w:tcW w:w="960" w:type="dxa"/>
            <w:tcBorders>
              <w:top w:val="nil"/>
              <w:left w:val="nil"/>
              <w:bottom w:val="single" w:sz="8" w:space="0" w:color="auto"/>
              <w:right w:val="single" w:sz="8" w:space="0" w:color="auto"/>
            </w:tcBorders>
            <w:shd w:val="clear" w:color="000000" w:fill="FFFFFF"/>
            <w:vAlign w:val="center"/>
            <w:hideMark/>
          </w:tcPr>
          <w:p w14:paraId="53DF11D4" w14:textId="2B52EC42"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2,78</w:t>
            </w:r>
          </w:p>
        </w:tc>
      </w:tr>
      <w:tr w:rsidR="00E47AA9" w:rsidRPr="00E47AA9" w14:paraId="32A8D432"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567954D6"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"Содействие занятости населения Приморского края"</w:t>
            </w:r>
          </w:p>
        </w:tc>
        <w:tc>
          <w:tcPr>
            <w:tcW w:w="1420" w:type="dxa"/>
            <w:tcBorders>
              <w:top w:val="nil"/>
              <w:left w:val="nil"/>
              <w:bottom w:val="single" w:sz="8" w:space="0" w:color="auto"/>
              <w:right w:val="single" w:sz="8" w:space="0" w:color="auto"/>
            </w:tcBorders>
            <w:shd w:val="clear" w:color="auto" w:fill="auto"/>
            <w:noWrap/>
            <w:vAlign w:val="center"/>
            <w:hideMark/>
          </w:tcPr>
          <w:p w14:paraId="07B87A73" w14:textId="1E872A22"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1 800,62</w:t>
            </w:r>
          </w:p>
        </w:tc>
        <w:tc>
          <w:tcPr>
            <w:tcW w:w="1300" w:type="dxa"/>
            <w:tcBorders>
              <w:top w:val="nil"/>
              <w:left w:val="nil"/>
              <w:bottom w:val="single" w:sz="8" w:space="0" w:color="auto"/>
              <w:right w:val="single" w:sz="8" w:space="0" w:color="auto"/>
            </w:tcBorders>
            <w:shd w:val="clear" w:color="auto" w:fill="auto"/>
            <w:noWrap/>
            <w:vAlign w:val="center"/>
            <w:hideMark/>
          </w:tcPr>
          <w:p w14:paraId="4B3E460C" w14:textId="2DA7E706"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1 788,67</w:t>
            </w:r>
          </w:p>
        </w:tc>
        <w:tc>
          <w:tcPr>
            <w:tcW w:w="960" w:type="dxa"/>
            <w:tcBorders>
              <w:top w:val="nil"/>
              <w:left w:val="nil"/>
              <w:bottom w:val="single" w:sz="8" w:space="0" w:color="auto"/>
              <w:right w:val="single" w:sz="8" w:space="0" w:color="auto"/>
            </w:tcBorders>
            <w:shd w:val="clear" w:color="000000" w:fill="FFFFFF"/>
            <w:vAlign w:val="center"/>
            <w:hideMark/>
          </w:tcPr>
          <w:p w14:paraId="2F122402" w14:textId="1FB81E54"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0,75</w:t>
            </w:r>
          </w:p>
        </w:tc>
        <w:tc>
          <w:tcPr>
            <w:tcW w:w="960" w:type="dxa"/>
            <w:tcBorders>
              <w:top w:val="nil"/>
              <w:left w:val="nil"/>
              <w:bottom w:val="single" w:sz="8" w:space="0" w:color="auto"/>
              <w:right w:val="single" w:sz="8" w:space="0" w:color="auto"/>
            </w:tcBorders>
            <w:shd w:val="clear" w:color="000000" w:fill="FFFFFF"/>
            <w:vAlign w:val="center"/>
            <w:hideMark/>
          </w:tcPr>
          <w:p w14:paraId="65FC3EE9" w14:textId="6EB3F500"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99,34</w:t>
            </w:r>
          </w:p>
        </w:tc>
        <w:tc>
          <w:tcPr>
            <w:tcW w:w="1240" w:type="dxa"/>
            <w:tcBorders>
              <w:top w:val="nil"/>
              <w:left w:val="nil"/>
              <w:bottom w:val="single" w:sz="8" w:space="0" w:color="auto"/>
              <w:right w:val="single" w:sz="8" w:space="0" w:color="auto"/>
            </w:tcBorders>
            <w:shd w:val="clear" w:color="000000" w:fill="FFFFFF"/>
            <w:vAlign w:val="center"/>
            <w:hideMark/>
          </w:tcPr>
          <w:p w14:paraId="190656D9" w14:textId="6BDADD96"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11,95</w:t>
            </w:r>
          </w:p>
        </w:tc>
        <w:tc>
          <w:tcPr>
            <w:tcW w:w="960" w:type="dxa"/>
            <w:tcBorders>
              <w:top w:val="nil"/>
              <w:left w:val="nil"/>
              <w:bottom w:val="single" w:sz="8" w:space="0" w:color="auto"/>
              <w:right w:val="single" w:sz="8" w:space="0" w:color="auto"/>
            </w:tcBorders>
            <w:shd w:val="clear" w:color="000000" w:fill="FFFFFF"/>
            <w:vAlign w:val="center"/>
            <w:hideMark/>
          </w:tcPr>
          <w:p w14:paraId="233E9362" w14:textId="62583323"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0,14</w:t>
            </w:r>
          </w:p>
        </w:tc>
      </w:tr>
      <w:tr w:rsidR="00E47AA9" w:rsidRPr="00E47AA9" w14:paraId="413C8A1D"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11E1417B"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культуры Приморского края"</w:t>
            </w:r>
          </w:p>
        </w:tc>
        <w:tc>
          <w:tcPr>
            <w:tcW w:w="1420" w:type="dxa"/>
            <w:tcBorders>
              <w:top w:val="nil"/>
              <w:left w:val="nil"/>
              <w:bottom w:val="single" w:sz="8" w:space="0" w:color="auto"/>
              <w:right w:val="single" w:sz="8" w:space="0" w:color="auto"/>
            </w:tcBorders>
            <w:shd w:val="clear" w:color="auto" w:fill="auto"/>
            <w:noWrap/>
            <w:vAlign w:val="center"/>
            <w:hideMark/>
          </w:tcPr>
          <w:p w14:paraId="0999D1D2" w14:textId="031A7187"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3 929,56</w:t>
            </w:r>
          </w:p>
        </w:tc>
        <w:tc>
          <w:tcPr>
            <w:tcW w:w="1300" w:type="dxa"/>
            <w:tcBorders>
              <w:top w:val="nil"/>
              <w:left w:val="nil"/>
              <w:bottom w:val="single" w:sz="8" w:space="0" w:color="auto"/>
              <w:right w:val="single" w:sz="8" w:space="0" w:color="auto"/>
            </w:tcBorders>
            <w:shd w:val="clear" w:color="auto" w:fill="auto"/>
            <w:noWrap/>
            <w:vAlign w:val="center"/>
            <w:hideMark/>
          </w:tcPr>
          <w:p w14:paraId="6D13195D" w14:textId="1E082A14"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3 913,48</w:t>
            </w:r>
          </w:p>
        </w:tc>
        <w:tc>
          <w:tcPr>
            <w:tcW w:w="960" w:type="dxa"/>
            <w:tcBorders>
              <w:top w:val="nil"/>
              <w:left w:val="nil"/>
              <w:bottom w:val="single" w:sz="8" w:space="0" w:color="auto"/>
              <w:right w:val="single" w:sz="8" w:space="0" w:color="auto"/>
            </w:tcBorders>
            <w:shd w:val="clear" w:color="000000" w:fill="FFFFFF"/>
            <w:vAlign w:val="center"/>
            <w:hideMark/>
          </w:tcPr>
          <w:p w14:paraId="10C0E7D8" w14:textId="389C6D33"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1,65</w:t>
            </w:r>
          </w:p>
        </w:tc>
        <w:tc>
          <w:tcPr>
            <w:tcW w:w="960" w:type="dxa"/>
            <w:tcBorders>
              <w:top w:val="nil"/>
              <w:left w:val="nil"/>
              <w:bottom w:val="single" w:sz="8" w:space="0" w:color="auto"/>
              <w:right w:val="single" w:sz="8" w:space="0" w:color="auto"/>
            </w:tcBorders>
            <w:shd w:val="clear" w:color="000000" w:fill="FFFFFF"/>
            <w:vAlign w:val="center"/>
            <w:hideMark/>
          </w:tcPr>
          <w:p w14:paraId="538B020A" w14:textId="3F7F97D4"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99,59</w:t>
            </w:r>
          </w:p>
        </w:tc>
        <w:tc>
          <w:tcPr>
            <w:tcW w:w="1240" w:type="dxa"/>
            <w:tcBorders>
              <w:top w:val="nil"/>
              <w:left w:val="nil"/>
              <w:bottom w:val="single" w:sz="8" w:space="0" w:color="auto"/>
              <w:right w:val="single" w:sz="8" w:space="0" w:color="auto"/>
            </w:tcBorders>
            <w:shd w:val="clear" w:color="000000" w:fill="FFFFFF"/>
            <w:vAlign w:val="center"/>
            <w:hideMark/>
          </w:tcPr>
          <w:p w14:paraId="16DA18CB" w14:textId="4FADC1AC"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16,08</w:t>
            </w:r>
          </w:p>
        </w:tc>
        <w:tc>
          <w:tcPr>
            <w:tcW w:w="960" w:type="dxa"/>
            <w:tcBorders>
              <w:top w:val="nil"/>
              <w:left w:val="nil"/>
              <w:bottom w:val="single" w:sz="8" w:space="0" w:color="auto"/>
              <w:right w:val="single" w:sz="8" w:space="0" w:color="auto"/>
            </w:tcBorders>
            <w:shd w:val="clear" w:color="000000" w:fill="FFFFFF"/>
            <w:vAlign w:val="center"/>
            <w:hideMark/>
          </w:tcPr>
          <w:p w14:paraId="47F5F172" w14:textId="08D0D614"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0,19</w:t>
            </w:r>
          </w:p>
        </w:tc>
      </w:tr>
      <w:tr w:rsidR="00E47AA9" w:rsidRPr="00E47AA9" w14:paraId="2AAC91B8"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4A8B635C"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"Обеспечение доступным жильем и качественными услугами жилищно-коммунального хозяйства населения Приморского края" </w:t>
            </w:r>
          </w:p>
        </w:tc>
        <w:tc>
          <w:tcPr>
            <w:tcW w:w="1420" w:type="dxa"/>
            <w:tcBorders>
              <w:top w:val="nil"/>
              <w:left w:val="nil"/>
              <w:bottom w:val="single" w:sz="8" w:space="0" w:color="auto"/>
              <w:right w:val="single" w:sz="8" w:space="0" w:color="auto"/>
            </w:tcBorders>
            <w:shd w:val="clear" w:color="auto" w:fill="auto"/>
            <w:noWrap/>
            <w:vAlign w:val="center"/>
            <w:hideMark/>
          </w:tcPr>
          <w:p w14:paraId="606F9EAE" w14:textId="0A2A8496"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32 039,94</w:t>
            </w:r>
          </w:p>
        </w:tc>
        <w:tc>
          <w:tcPr>
            <w:tcW w:w="1300" w:type="dxa"/>
            <w:tcBorders>
              <w:top w:val="nil"/>
              <w:left w:val="nil"/>
              <w:bottom w:val="single" w:sz="8" w:space="0" w:color="auto"/>
              <w:right w:val="single" w:sz="8" w:space="0" w:color="auto"/>
            </w:tcBorders>
            <w:shd w:val="clear" w:color="auto" w:fill="auto"/>
            <w:noWrap/>
            <w:vAlign w:val="center"/>
            <w:hideMark/>
          </w:tcPr>
          <w:p w14:paraId="35276662" w14:textId="084C71FD"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29 645,98</w:t>
            </w:r>
          </w:p>
        </w:tc>
        <w:tc>
          <w:tcPr>
            <w:tcW w:w="960" w:type="dxa"/>
            <w:tcBorders>
              <w:top w:val="nil"/>
              <w:left w:val="nil"/>
              <w:bottom w:val="single" w:sz="8" w:space="0" w:color="auto"/>
              <w:right w:val="single" w:sz="8" w:space="0" w:color="auto"/>
            </w:tcBorders>
            <w:shd w:val="clear" w:color="000000" w:fill="FFFFFF"/>
            <w:vAlign w:val="center"/>
            <w:hideMark/>
          </w:tcPr>
          <w:p w14:paraId="438F8A07" w14:textId="41DF8DE8"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12,51</w:t>
            </w:r>
          </w:p>
        </w:tc>
        <w:tc>
          <w:tcPr>
            <w:tcW w:w="960" w:type="dxa"/>
            <w:tcBorders>
              <w:top w:val="nil"/>
              <w:left w:val="nil"/>
              <w:bottom w:val="single" w:sz="8" w:space="0" w:color="auto"/>
              <w:right w:val="single" w:sz="8" w:space="0" w:color="auto"/>
            </w:tcBorders>
            <w:shd w:val="clear" w:color="000000" w:fill="FFFFFF"/>
            <w:vAlign w:val="center"/>
            <w:hideMark/>
          </w:tcPr>
          <w:p w14:paraId="74AF12DE" w14:textId="00C470B8"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92,53</w:t>
            </w:r>
          </w:p>
        </w:tc>
        <w:tc>
          <w:tcPr>
            <w:tcW w:w="1240" w:type="dxa"/>
            <w:tcBorders>
              <w:top w:val="nil"/>
              <w:left w:val="nil"/>
              <w:bottom w:val="single" w:sz="8" w:space="0" w:color="auto"/>
              <w:right w:val="single" w:sz="8" w:space="0" w:color="auto"/>
            </w:tcBorders>
            <w:shd w:val="clear" w:color="000000" w:fill="FFFFFF"/>
            <w:vAlign w:val="center"/>
            <w:hideMark/>
          </w:tcPr>
          <w:p w14:paraId="7B73D72A" w14:textId="217B16F3"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2 393,96</w:t>
            </w:r>
          </w:p>
        </w:tc>
        <w:tc>
          <w:tcPr>
            <w:tcW w:w="960" w:type="dxa"/>
            <w:tcBorders>
              <w:top w:val="nil"/>
              <w:left w:val="nil"/>
              <w:bottom w:val="single" w:sz="8" w:space="0" w:color="auto"/>
              <w:right w:val="single" w:sz="8" w:space="0" w:color="auto"/>
            </w:tcBorders>
            <w:shd w:val="clear" w:color="000000" w:fill="FFFFFF"/>
            <w:vAlign w:val="center"/>
            <w:hideMark/>
          </w:tcPr>
          <w:p w14:paraId="261264AA" w14:textId="5DADE91E"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27,55</w:t>
            </w:r>
          </w:p>
        </w:tc>
      </w:tr>
      <w:tr w:rsidR="00E47AA9" w:rsidRPr="00E47AA9" w14:paraId="4FD0FA76"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395F1005"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"Защита населения и территории от чрезвычайных ситуаций, обеспечение пожарной безопасности и безопасности людей на водных объектах Приморского края" </w:t>
            </w:r>
          </w:p>
        </w:tc>
        <w:tc>
          <w:tcPr>
            <w:tcW w:w="1420" w:type="dxa"/>
            <w:tcBorders>
              <w:top w:val="nil"/>
              <w:left w:val="nil"/>
              <w:bottom w:val="single" w:sz="8" w:space="0" w:color="auto"/>
              <w:right w:val="single" w:sz="8" w:space="0" w:color="auto"/>
            </w:tcBorders>
            <w:shd w:val="clear" w:color="auto" w:fill="auto"/>
            <w:noWrap/>
            <w:vAlign w:val="center"/>
            <w:hideMark/>
          </w:tcPr>
          <w:p w14:paraId="0EF650EF" w14:textId="5062B769"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4 319,86</w:t>
            </w:r>
          </w:p>
        </w:tc>
        <w:tc>
          <w:tcPr>
            <w:tcW w:w="1300" w:type="dxa"/>
            <w:tcBorders>
              <w:top w:val="nil"/>
              <w:left w:val="nil"/>
              <w:bottom w:val="single" w:sz="8" w:space="0" w:color="auto"/>
              <w:right w:val="single" w:sz="8" w:space="0" w:color="auto"/>
            </w:tcBorders>
            <w:shd w:val="clear" w:color="auto" w:fill="auto"/>
            <w:noWrap/>
            <w:vAlign w:val="center"/>
            <w:hideMark/>
          </w:tcPr>
          <w:p w14:paraId="1A8B8E62" w14:textId="3D7FC07E"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4 310,71</w:t>
            </w:r>
          </w:p>
        </w:tc>
        <w:tc>
          <w:tcPr>
            <w:tcW w:w="960" w:type="dxa"/>
            <w:tcBorders>
              <w:top w:val="nil"/>
              <w:left w:val="nil"/>
              <w:bottom w:val="single" w:sz="8" w:space="0" w:color="auto"/>
              <w:right w:val="single" w:sz="8" w:space="0" w:color="auto"/>
            </w:tcBorders>
            <w:shd w:val="clear" w:color="000000" w:fill="FFFFFF"/>
            <w:vAlign w:val="center"/>
            <w:hideMark/>
          </w:tcPr>
          <w:p w14:paraId="76E209DC" w14:textId="028429DA"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1,82</w:t>
            </w:r>
          </w:p>
        </w:tc>
        <w:tc>
          <w:tcPr>
            <w:tcW w:w="960" w:type="dxa"/>
            <w:tcBorders>
              <w:top w:val="nil"/>
              <w:left w:val="nil"/>
              <w:bottom w:val="single" w:sz="8" w:space="0" w:color="auto"/>
              <w:right w:val="single" w:sz="8" w:space="0" w:color="auto"/>
            </w:tcBorders>
            <w:shd w:val="clear" w:color="000000" w:fill="FFFFFF"/>
            <w:vAlign w:val="center"/>
            <w:hideMark/>
          </w:tcPr>
          <w:p w14:paraId="58A128F8" w14:textId="5B9E9823"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99,79</w:t>
            </w:r>
          </w:p>
        </w:tc>
        <w:tc>
          <w:tcPr>
            <w:tcW w:w="1240" w:type="dxa"/>
            <w:tcBorders>
              <w:top w:val="nil"/>
              <w:left w:val="nil"/>
              <w:bottom w:val="single" w:sz="8" w:space="0" w:color="auto"/>
              <w:right w:val="single" w:sz="8" w:space="0" w:color="auto"/>
            </w:tcBorders>
            <w:shd w:val="clear" w:color="000000" w:fill="FFFFFF"/>
            <w:vAlign w:val="center"/>
            <w:hideMark/>
          </w:tcPr>
          <w:p w14:paraId="39AD893C" w14:textId="10B12A5A"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9,15</w:t>
            </w:r>
          </w:p>
        </w:tc>
        <w:tc>
          <w:tcPr>
            <w:tcW w:w="960" w:type="dxa"/>
            <w:tcBorders>
              <w:top w:val="nil"/>
              <w:left w:val="nil"/>
              <w:bottom w:val="single" w:sz="8" w:space="0" w:color="auto"/>
              <w:right w:val="single" w:sz="8" w:space="0" w:color="auto"/>
            </w:tcBorders>
            <w:shd w:val="clear" w:color="000000" w:fill="FFFFFF"/>
            <w:vAlign w:val="center"/>
            <w:hideMark/>
          </w:tcPr>
          <w:p w14:paraId="5176A627" w14:textId="15A47EB5"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0,11</w:t>
            </w:r>
          </w:p>
        </w:tc>
      </w:tr>
      <w:tr w:rsidR="00E47AA9" w:rsidRPr="00E47AA9" w14:paraId="3996B762"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1F2567F9"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"Охрана окружающей среды Приморского края" </w:t>
            </w:r>
          </w:p>
        </w:tc>
        <w:tc>
          <w:tcPr>
            <w:tcW w:w="1420" w:type="dxa"/>
            <w:tcBorders>
              <w:top w:val="nil"/>
              <w:left w:val="nil"/>
              <w:bottom w:val="single" w:sz="8" w:space="0" w:color="auto"/>
              <w:right w:val="single" w:sz="8" w:space="0" w:color="auto"/>
            </w:tcBorders>
            <w:shd w:val="clear" w:color="auto" w:fill="auto"/>
            <w:noWrap/>
            <w:vAlign w:val="center"/>
            <w:hideMark/>
          </w:tcPr>
          <w:p w14:paraId="79126C88" w14:textId="566A974E"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2 747,53</w:t>
            </w:r>
          </w:p>
        </w:tc>
        <w:tc>
          <w:tcPr>
            <w:tcW w:w="1300" w:type="dxa"/>
            <w:tcBorders>
              <w:top w:val="nil"/>
              <w:left w:val="nil"/>
              <w:bottom w:val="single" w:sz="8" w:space="0" w:color="auto"/>
              <w:right w:val="single" w:sz="8" w:space="0" w:color="auto"/>
            </w:tcBorders>
            <w:shd w:val="clear" w:color="auto" w:fill="auto"/>
            <w:noWrap/>
            <w:vAlign w:val="center"/>
            <w:hideMark/>
          </w:tcPr>
          <w:p w14:paraId="52DA9CA2" w14:textId="50064E95"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2 530,60</w:t>
            </w:r>
          </w:p>
        </w:tc>
        <w:tc>
          <w:tcPr>
            <w:tcW w:w="960" w:type="dxa"/>
            <w:tcBorders>
              <w:top w:val="nil"/>
              <w:left w:val="nil"/>
              <w:bottom w:val="single" w:sz="8" w:space="0" w:color="auto"/>
              <w:right w:val="single" w:sz="8" w:space="0" w:color="auto"/>
            </w:tcBorders>
            <w:shd w:val="clear" w:color="000000" w:fill="FFFFFF"/>
            <w:vAlign w:val="center"/>
            <w:hideMark/>
          </w:tcPr>
          <w:p w14:paraId="27B7DD2D" w14:textId="5EBA8C8E"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1,07</w:t>
            </w:r>
          </w:p>
        </w:tc>
        <w:tc>
          <w:tcPr>
            <w:tcW w:w="960" w:type="dxa"/>
            <w:tcBorders>
              <w:top w:val="nil"/>
              <w:left w:val="nil"/>
              <w:bottom w:val="single" w:sz="8" w:space="0" w:color="auto"/>
              <w:right w:val="single" w:sz="8" w:space="0" w:color="auto"/>
            </w:tcBorders>
            <w:shd w:val="clear" w:color="000000" w:fill="FFFFFF"/>
            <w:vAlign w:val="center"/>
            <w:hideMark/>
          </w:tcPr>
          <w:p w14:paraId="53ACD785" w14:textId="1A05992E"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92,10</w:t>
            </w:r>
          </w:p>
        </w:tc>
        <w:tc>
          <w:tcPr>
            <w:tcW w:w="1240" w:type="dxa"/>
            <w:tcBorders>
              <w:top w:val="nil"/>
              <w:left w:val="nil"/>
              <w:bottom w:val="single" w:sz="8" w:space="0" w:color="auto"/>
              <w:right w:val="single" w:sz="8" w:space="0" w:color="auto"/>
            </w:tcBorders>
            <w:shd w:val="clear" w:color="000000" w:fill="FFFFFF"/>
            <w:vAlign w:val="center"/>
            <w:hideMark/>
          </w:tcPr>
          <w:p w14:paraId="28D4F0CB" w14:textId="1269CD1C"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216,93</w:t>
            </w:r>
          </w:p>
        </w:tc>
        <w:tc>
          <w:tcPr>
            <w:tcW w:w="960" w:type="dxa"/>
            <w:tcBorders>
              <w:top w:val="nil"/>
              <w:left w:val="nil"/>
              <w:bottom w:val="single" w:sz="8" w:space="0" w:color="auto"/>
              <w:right w:val="single" w:sz="8" w:space="0" w:color="auto"/>
            </w:tcBorders>
            <w:shd w:val="clear" w:color="000000" w:fill="FFFFFF"/>
            <w:vAlign w:val="center"/>
            <w:hideMark/>
          </w:tcPr>
          <w:p w14:paraId="0C266FAB" w14:textId="79B9F50E"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2,50</w:t>
            </w:r>
          </w:p>
        </w:tc>
      </w:tr>
      <w:tr w:rsidR="00E47AA9" w:rsidRPr="00E47AA9" w14:paraId="05D4B55D"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6605F048"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"Развитие физической культуры и спорта Приморского края" </w:t>
            </w:r>
          </w:p>
        </w:tc>
        <w:tc>
          <w:tcPr>
            <w:tcW w:w="1420" w:type="dxa"/>
            <w:tcBorders>
              <w:top w:val="nil"/>
              <w:left w:val="nil"/>
              <w:bottom w:val="single" w:sz="8" w:space="0" w:color="auto"/>
              <w:right w:val="single" w:sz="8" w:space="0" w:color="auto"/>
            </w:tcBorders>
            <w:shd w:val="clear" w:color="auto" w:fill="auto"/>
            <w:noWrap/>
            <w:vAlign w:val="center"/>
            <w:hideMark/>
          </w:tcPr>
          <w:p w14:paraId="0CDFF784" w14:textId="55155BAA"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6 564,12</w:t>
            </w:r>
          </w:p>
        </w:tc>
        <w:tc>
          <w:tcPr>
            <w:tcW w:w="1300" w:type="dxa"/>
            <w:tcBorders>
              <w:top w:val="nil"/>
              <w:left w:val="nil"/>
              <w:bottom w:val="single" w:sz="8" w:space="0" w:color="auto"/>
              <w:right w:val="single" w:sz="8" w:space="0" w:color="auto"/>
            </w:tcBorders>
            <w:shd w:val="clear" w:color="auto" w:fill="auto"/>
            <w:noWrap/>
            <w:vAlign w:val="center"/>
            <w:hideMark/>
          </w:tcPr>
          <w:p w14:paraId="07273203" w14:textId="1F835730"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6 214,92</w:t>
            </w:r>
          </w:p>
        </w:tc>
        <w:tc>
          <w:tcPr>
            <w:tcW w:w="960" w:type="dxa"/>
            <w:tcBorders>
              <w:top w:val="nil"/>
              <w:left w:val="nil"/>
              <w:bottom w:val="single" w:sz="8" w:space="0" w:color="auto"/>
              <w:right w:val="single" w:sz="8" w:space="0" w:color="auto"/>
            </w:tcBorders>
            <w:shd w:val="clear" w:color="000000" w:fill="FFFFFF"/>
            <w:vAlign w:val="center"/>
            <w:hideMark/>
          </w:tcPr>
          <w:p w14:paraId="05B65344" w14:textId="0528B3D6"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2,62</w:t>
            </w:r>
          </w:p>
        </w:tc>
        <w:tc>
          <w:tcPr>
            <w:tcW w:w="960" w:type="dxa"/>
            <w:tcBorders>
              <w:top w:val="nil"/>
              <w:left w:val="nil"/>
              <w:bottom w:val="single" w:sz="8" w:space="0" w:color="auto"/>
              <w:right w:val="single" w:sz="8" w:space="0" w:color="auto"/>
            </w:tcBorders>
            <w:shd w:val="clear" w:color="000000" w:fill="FFFFFF"/>
            <w:vAlign w:val="center"/>
            <w:hideMark/>
          </w:tcPr>
          <w:p w14:paraId="3EA517B1" w14:textId="46A3C727"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94,68</w:t>
            </w:r>
          </w:p>
        </w:tc>
        <w:tc>
          <w:tcPr>
            <w:tcW w:w="1240" w:type="dxa"/>
            <w:tcBorders>
              <w:top w:val="nil"/>
              <w:left w:val="nil"/>
              <w:bottom w:val="single" w:sz="8" w:space="0" w:color="auto"/>
              <w:right w:val="single" w:sz="8" w:space="0" w:color="auto"/>
            </w:tcBorders>
            <w:shd w:val="clear" w:color="000000" w:fill="FFFFFF"/>
            <w:vAlign w:val="center"/>
            <w:hideMark/>
          </w:tcPr>
          <w:p w14:paraId="5E8ABFC9" w14:textId="109249BB"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349,20</w:t>
            </w:r>
          </w:p>
        </w:tc>
        <w:tc>
          <w:tcPr>
            <w:tcW w:w="960" w:type="dxa"/>
            <w:tcBorders>
              <w:top w:val="nil"/>
              <w:left w:val="nil"/>
              <w:bottom w:val="single" w:sz="8" w:space="0" w:color="auto"/>
              <w:right w:val="single" w:sz="8" w:space="0" w:color="auto"/>
            </w:tcBorders>
            <w:shd w:val="clear" w:color="000000" w:fill="FFFFFF"/>
            <w:vAlign w:val="center"/>
            <w:hideMark/>
          </w:tcPr>
          <w:p w14:paraId="0BEC5DBC" w14:textId="7DAB18FC"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4,02</w:t>
            </w:r>
          </w:p>
        </w:tc>
      </w:tr>
      <w:tr w:rsidR="00E47AA9" w:rsidRPr="00E47AA9" w14:paraId="2AFFA6DB"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4C3E6FE0"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туризма в Приморском крае"</w:t>
            </w:r>
          </w:p>
        </w:tc>
        <w:tc>
          <w:tcPr>
            <w:tcW w:w="1420" w:type="dxa"/>
            <w:tcBorders>
              <w:top w:val="nil"/>
              <w:left w:val="nil"/>
              <w:bottom w:val="single" w:sz="8" w:space="0" w:color="auto"/>
              <w:right w:val="single" w:sz="8" w:space="0" w:color="auto"/>
            </w:tcBorders>
            <w:shd w:val="clear" w:color="auto" w:fill="auto"/>
            <w:noWrap/>
            <w:vAlign w:val="center"/>
            <w:hideMark/>
          </w:tcPr>
          <w:p w14:paraId="1256BBF8" w14:textId="6B3DF39D"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1 112,52</w:t>
            </w:r>
          </w:p>
        </w:tc>
        <w:tc>
          <w:tcPr>
            <w:tcW w:w="1300" w:type="dxa"/>
            <w:tcBorders>
              <w:top w:val="nil"/>
              <w:left w:val="nil"/>
              <w:bottom w:val="single" w:sz="8" w:space="0" w:color="auto"/>
              <w:right w:val="single" w:sz="8" w:space="0" w:color="auto"/>
            </w:tcBorders>
            <w:shd w:val="clear" w:color="auto" w:fill="auto"/>
            <w:noWrap/>
            <w:vAlign w:val="center"/>
            <w:hideMark/>
          </w:tcPr>
          <w:p w14:paraId="2475D989" w14:textId="1D7BCDD9"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1 093,41</w:t>
            </w:r>
          </w:p>
        </w:tc>
        <w:tc>
          <w:tcPr>
            <w:tcW w:w="960" w:type="dxa"/>
            <w:tcBorders>
              <w:top w:val="nil"/>
              <w:left w:val="nil"/>
              <w:bottom w:val="single" w:sz="8" w:space="0" w:color="auto"/>
              <w:right w:val="single" w:sz="8" w:space="0" w:color="auto"/>
            </w:tcBorders>
            <w:shd w:val="clear" w:color="000000" w:fill="FFFFFF"/>
            <w:vAlign w:val="center"/>
            <w:hideMark/>
          </w:tcPr>
          <w:p w14:paraId="58271856" w14:textId="31C48577"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0,46</w:t>
            </w:r>
          </w:p>
        </w:tc>
        <w:tc>
          <w:tcPr>
            <w:tcW w:w="960" w:type="dxa"/>
            <w:tcBorders>
              <w:top w:val="nil"/>
              <w:left w:val="nil"/>
              <w:bottom w:val="single" w:sz="8" w:space="0" w:color="auto"/>
              <w:right w:val="single" w:sz="8" w:space="0" w:color="auto"/>
            </w:tcBorders>
            <w:shd w:val="clear" w:color="000000" w:fill="FFFFFF"/>
            <w:vAlign w:val="center"/>
            <w:hideMark/>
          </w:tcPr>
          <w:p w14:paraId="6EDD8497" w14:textId="6661F315"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98,28</w:t>
            </w:r>
          </w:p>
        </w:tc>
        <w:tc>
          <w:tcPr>
            <w:tcW w:w="1240" w:type="dxa"/>
            <w:tcBorders>
              <w:top w:val="nil"/>
              <w:left w:val="nil"/>
              <w:bottom w:val="single" w:sz="8" w:space="0" w:color="auto"/>
              <w:right w:val="single" w:sz="8" w:space="0" w:color="auto"/>
            </w:tcBorders>
            <w:shd w:val="clear" w:color="000000" w:fill="FFFFFF"/>
            <w:vAlign w:val="center"/>
            <w:hideMark/>
          </w:tcPr>
          <w:p w14:paraId="43347D88" w14:textId="520E44A2"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19,11</w:t>
            </w:r>
          </w:p>
        </w:tc>
        <w:tc>
          <w:tcPr>
            <w:tcW w:w="960" w:type="dxa"/>
            <w:tcBorders>
              <w:top w:val="nil"/>
              <w:left w:val="nil"/>
              <w:bottom w:val="single" w:sz="8" w:space="0" w:color="auto"/>
              <w:right w:val="single" w:sz="8" w:space="0" w:color="auto"/>
            </w:tcBorders>
            <w:shd w:val="clear" w:color="000000" w:fill="FFFFFF"/>
            <w:vAlign w:val="center"/>
            <w:hideMark/>
          </w:tcPr>
          <w:p w14:paraId="4FC09ACE" w14:textId="2CE22F6E"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0,22</w:t>
            </w:r>
          </w:p>
        </w:tc>
      </w:tr>
      <w:tr w:rsidR="00E47AA9" w:rsidRPr="00E47AA9" w14:paraId="1F800B48"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2CB0E71E"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"Информационное общество"</w:t>
            </w:r>
          </w:p>
        </w:tc>
        <w:tc>
          <w:tcPr>
            <w:tcW w:w="1420" w:type="dxa"/>
            <w:tcBorders>
              <w:top w:val="nil"/>
              <w:left w:val="nil"/>
              <w:bottom w:val="single" w:sz="8" w:space="0" w:color="auto"/>
              <w:right w:val="single" w:sz="8" w:space="0" w:color="auto"/>
            </w:tcBorders>
            <w:shd w:val="clear" w:color="auto" w:fill="auto"/>
            <w:noWrap/>
            <w:vAlign w:val="center"/>
            <w:hideMark/>
          </w:tcPr>
          <w:p w14:paraId="199F2F49" w14:textId="18400EBA"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4 470,37</w:t>
            </w:r>
          </w:p>
        </w:tc>
        <w:tc>
          <w:tcPr>
            <w:tcW w:w="1300" w:type="dxa"/>
            <w:tcBorders>
              <w:top w:val="nil"/>
              <w:left w:val="nil"/>
              <w:bottom w:val="single" w:sz="8" w:space="0" w:color="auto"/>
              <w:right w:val="single" w:sz="8" w:space="0" w:color="auto"/>
            </w:tcBorders>
            <w:shd w:val="clear" w:color="auto" w:fill="auto"/>
            <w:noWrap/>
            <w:vAlign w:val="center"/>
            <w:hideMark/>
          </w:tcPr>
          <w:p w14:paraId="0AE5BEA4" w14:textId="497212AA"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4 466,64</w:t>
            </w:r>
          </w:p>
        </w:tc>
        <w:tc>
          <w:tcPr>
            <w:tcW w:w="960" w:type="dxa"/>
            <w:tcBorders>
              <w:top w:val="nil"/>
              <w:left w:val="nil"/>
              <w:bottom w:val="single" w:sz="8" w:space="0" w:color="auto"/>
              <w:right w:val="single" w:sz="8" w:space="0" w:color="auto"/>
            </w:tcBorders>
            <w:shd w:val="clear" w:color="000000" w:fill="FFFFFF"/>
            <w:vAlign w:val="center"/>
            <w:hideMark/>
          </w:tcPr>
          <w:p w14:paraId="2ACF591E" w14:textId="772814AB"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1,88</w:t>
            </w:r>
          </w:p>
        </w:tc>
        <w:tc>
          <w:tcPr>
            <w:tcW w:w="960" w:type="dxa"/>
            <w:tcBorders>
              <w:top w:val="nil"/>
              <w:left w:val="nil"/>
              <w:bottom w:val="single" w:sz="8" w:space="0" w:color="auto"/>
              <w:right w:val="single" w:sz="8" w:space="0" w:color="auto"/>
            </w:tcBorders>
            <w:shd w:val="clear" w:color="000000" w:fill="FFFFFF"/>
            <w:vAlign w:val="center"/>
            <w:hideMark/>
          </w:tcPr>
          <w:p w14:paraId="6F9AAEEF" w14:textId="41180433"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99,92</w:t>
            </w:r>
          </w:p>
        </w:tc>
        <w:tc>
          <w:tcPr>
            <w:tcW w:w="1240" w:type="dxa"/>
            <w:tcBorders>
              <w:top w:val="nil"/>
              <w:left w:val="nil"/>
              <w:bottom w:val="single" w:sz="8" w:space="0" w:color="auto"/>
              <w:right w:val="single" w:sz="8" w:space="0" w:color="auto"/>
            </w:tcBorders>
            <w:shd w:val="clear" w:color="000000" w:fill="FFFFFF"/>
            <w:vAlign w:val="center"/>
            <w:hideMark/>
          </w:tcPr>
          <w:p w14:paraId="1C35FB44" w14:textId="4CEACA85"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3,73</w:t>
            </w:r>
          </w:p>
        </w:tc>
        <w:tc>
          <w:tcPr>
            <w:tcW w:w="960" w:type="dxa"/>
            <w:tcBorders>
              <w:top w:val="nil"/>
              <w:left w:val="nil"/>
              <w:bottom w:val="single" w:sz="8" w:space="0" w:color="auto"/>
              <w:right w:val="single" w:sz="8" w:space="0" w:color="auto"/>
            </w:tcBorders>
            <w:shd w:val="clear" w:color="000000" w:fill="FFFFFF"/>
            <w:vAlign w:val="center"/>
            <w:hideMark/>
          </w:tcPr>
          <w:p w14:paraId="5DF51DAB" w14:textId="480E90B5"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0,04</w:t>
            </w:r>
          </w:p>
        </w:tc>
      </w:tr>
      <w:tr w:rsidR="00E47AA9" w:rsidRPr="00E47AA9" w14:paraId="21D9D4B2"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0E3D7AB0"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"Развитие транспортного комплекса Приморского края" </w:t>
            </w:r>
          </w:p>
        </w:tc>
        <w:tc>
          <w:tcPr>
            <w:tcW w:w="1420" w:type="dxa"/>
            <w:tcBorders>
              <w:top w:val="nil"/>
              <w:left w:val="nil"/>
              <w:bottom w:val="single" w:sz="8" w:space="0" w:color="auto"/>
              <w:right w:val="single" w:sz="8" w:space="0" w:color="auto"/>
            </w:tcBorders>
            <w:shd w:val="clear" w:color="auto" w:fill="auto"/>
            <w:noWrap/>
            <w:vAlign w:val="center"/>
            <w:hideMark/>
          </w:tcPr>
          <w:p w14:paraId="679867E2" w14:textId="2C5272E6"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26 616,86</w:t>
            </w:r>
          </w:p>
        </w:tc>
        <w:tc>
          <w:tcPr>
            <w:tcW w:w="1300" w:type="dxa"/>
            <w:tcBorders>
              <w:top w:val="nil"/>
              <w:left w:val="nil"/>
              <w:bottom w:val="single" w:sz="8" w:space="0" w:color="auto"/>
              <w:right w:val="single" w:sz="8" w:space="0" w:color="auto"/>
            </w:tcBorders>
            <w:shd w:val="clear" w:color="auto" w:fill="auto"/>
            <w:noWrap/>
            <w:vAlign w:val="center"/>
            <w:hideMark/>
          </w:tcPr>
          <w:p w14:paraId="5CD640E9" w14:textId="3968ECAD"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24 431,90</w:t>
            </w:r>
          </w:p>
        </w:tc>
        <w:tc>
          <w:tcPr>
            <w:tcW w:w="960" w:type="dxa"/>
            <w:tcBorders>
              <w:top w:val="nil"/>
              <w:left w:val="nil"/>
              <w:bottom w:val="single" w:sz="8" w:space="0" w:color="auto"/>
              <w:right w:val="single" w:sz="8" w:space="0" w:color="auto"/>
            </w:tcBorders>
            <w:shd w:val="clear" w:color="000000" w:fill="FFFFFF"/>
            <w:vAlign w:val="center"/>
            <w:hideMark/>
          </w:tcPr>
          <w:p w14:paraId="2285157F" w14:textId="55ABFDB7"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10,31</w:t>
            </w:r>
          </w:p>
        </w:tc>
        <w:tc>
          <w:tcPr>
            <w:tcW w:w="960" w:type="dxa"/>
            <w:tcBorders>
              <w:top w:val="nil"/>
              <w:left w:val="nil"/>
              <w:bottom w:val="single" w:sz="8" w:space="0" w:color="auto"/>
              <w:right w:val="single" w:sz="8" w:space="0" w:color="auto"/>
            </w:tcBorders>
            <w:shd w:val="clear" w:color="000000" w:fill="FFFFFF"/>
            <w:vAlign w:val="center"/>
            <w:hideMark/>
          </w:tcPr>
          <w:p w14:paraId="66965D5C" w14:textId="74196CA6"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91,79</w:t>
            </w:r>
          </w:p>
        </w:tc>
        <w:tc>
          <w:tcPr>
            <w:tcW w:w="1240" w:type="dxa"/>
            <w:tcBorders>
              <w:top w:val="nil"/>
              <w:left w:val="nil"/>
              <w:bottom w:val="single" w:sz="8" w:space="0" w:color="auto"/>
              <w:right w:val="single" w:sz="8" w:space="0" w:color="auto"/>
            </w:tcBorders>
            <w:shd w:val="clear" w:color="000000" w:fill="FFFFFF"/>
            <w:vAlign w:val="center"/>
            <w:hideMark/>
          </w:tcPr>
          <w:p w14:paraId="3188836A" w14:textId="14DD9B1E"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2 184,96</w:t>
            </w:r>
          </w:p>
        </w:tc>
        <w:tc>
          <w:tcPr>
            <w:tcW w:w="960" w:type="dxa"/>
            <w:tcBorders>
              <w:top w:val="nil"/>
              <w:left w:val="nil"/>
              <w:bottom w:val="single" w:sz="8" w:space="0" w:color="auto"/>
              <w:right w:val="single" w:sz="8" w:space="0" w:color="auto"/>
            </w:tcBorders>
            <w:shd w:val="clear" w:color="000000" w:fill="FFFFFF"/>
            <w:vAlign w:val="center"/>
            <w:hideMark/>
          </w:tcPr>
          <w:p w14:paraId="5D26500C" w14:textId="233F0E80"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25,14</w:t>
            </w:r>
          </w:p>
        </w:tc>
      </w:tr>
      <w:tr w:rsidR="00E47AA9" w:rsidRPr="00E47AA9" w14:paraId="2A1DBA37"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3CC17F90"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"Энергоэффективность, развитие газоснабжения и энергетики в Приморском крае" </w:t>
            </w:r>
          </w:p>
        </w:tc>
        <w:tc>
          <w:tcPr>
            <w:tcW w:w="1420" w:type="dxa"/>
            <w:tcBorders>
              <w:top w:val="nil"/>
              <w:left w:val="nil"/>
              <w:bottom w:val="single" w:sz="8" w:space="0" w:color="auto"/>
              <w:right w:val="single" w:sz="8" w:space="0" w:color="auto"/>
            </w:tcBorders>
            <w:shd w:val="clear" w:color="auto" w:fill="auto"/>
            <w:noWrap/>
            <w:vAlign w:val="center"/>
            <w:hideMark/>
          </w:tcPr>
          <w:p w14:paraId="66479B6A" w14:textId="620FA96C"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2 995,53</w:t>
            </w:r>
          </w:p>
        </w:tc>
        <w:tc>
          <w:tcPr>
            <w:tcW w:w="1300" w:type="dxa"/>
            <w:tcBorders>
              <w:top w:val="nil"/>
              <w:left w:val="nil"/>
              <w:bottom w:val="single" w:sz="8" w:space="0" w:color="auto"/>
              <w:right w:val="single" w:sz="8" w:space="0" w:color="auto"/>
            </w:tcBorders>
            <w:shd w:val="clear" w:color="auto" w:fill="auto"/>
            <w:noWrap/>
            <w:vAlign w:val="center"/>
            <w:hideMark/>
          </w:tcPr>
          <w:p w14:paraId="6422251F" w14:textId="6D5B0E86"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2 682,68</w:t>
            </w:r>
          </w:p>
        </w:tc>
        <w:tc>
          <w:tcPr>
            <w:tcW w:w="960" w:type="dxa"/>
            <w:tcBorders>
              <w:top w:val="nil"/>
              <w:left w:val="nil"/>
              <w:bottom w:val="single" w:sz="8" w:space="0" w:color="auto"/>
              <w:right w:val="single" w:sz="8" w:space="0" w:color="auto"/>
            </w:tcBorders>
            <w:shd w:val="clear" w:color="000000" w:fill="FFFFFF"/>
            <w:vAlign w:val="center"/>
            <w:hideMark/>
          </w:tcPr>
          <w:p w14:paraId="0CF6FA85" w14:textId="63A37871"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1,13</w:t>
            </w:r>
          </w:p>
        </w:tc>
        <w:tc>
          <w:tcPr>
            <w:tcW w:w="960" w:type="dxa"/>
            <w:tcBorders>
              <w:top w:val="nil"/>
              <w:left w:val="nil"/>
              <w:bottom w:val="single" w:sz="8" w:space="0" w:color="auto"/>
              <w:right w:val="single" w:sz="8" w:space="0" w:color="auto"/>
            </w:tcBorders>
            <w:shd w:val="clear" w:color="000000" w:fill="FFFFFF"/>
            <w:vAlign w:val="center"/>
            <w:hideMark/>
          </w:tcPr>
          <w:p w14:paraId="79F57523" w14:textId="543FF563"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89,56</w:t>
            </w:r>
          </w:p>
        </w:tc>
        <w:tc>
          <w:tcPr>
            <w:tcW w:w="1240" w:type="dxa"/>
            <w:tcBorders>
              <w:top w:val="nil"/>
              <w:left w:val="nil"/>
              <w:bottom w:val="single" w:sz="8" w:space="0" w:color="auto"/>
              <w:right w:val="single" w:sz="8" w:space="0" w:color="auto"/>
            </w:tcBorders>
            <w:shd w:val="clear" w:color="000000" w:fill="FFFFFF"/>
            <w:vAlign w:val="center"/>
            <w:hideMark/>
          </w:tcPr>
          <w:p w14:paraId="589BC217" w14:textId="39C27B35"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312,85</w:t>
            </w:r>
          </w:p>
        </w:tc>
        <w:tc>
          <w:tcPr>
            <w:tcW w:w="960" w:type="dxa"/>
            <w:tcBorders>
              <w:top w:val="nil"/>
              <w:left w:val="nil"/>
              <w:bottom w:val="single" w:sz="8" w:space="0" w:color="auto"/>
              <w:right w:val="single" w:sz="8" w:space="0" w:color="auto"/>
            </w:tcBorders>
            <w:shd w:val="clear" w:color="000000" w:fill="FFFFFF"/>
            <w:vAlign w:val="center"/>
            <w:hideMark/>
          </w:tcPr>
          <w:p w14:paraId="6A71C84A" w14:textId="38DD77F0"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3,60</w:t>
            </w:r>
          </w:p>
        </w:tc>
      </w:tr>
      <w:tr w:rsidR="00E47AA9" w:rsidRPr="00E47AA9" w14:paraId="6D0A2867"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517DA912" w14:textId="7CF27464"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lastRenderedPageBreak/>
              <w:t xml:space="preserve">"Развитие сельского хозяйства и регулирования рынков сельскохозяйственной продукции, сырья и продовольствия" </w:t>
            </w:r>
          </w:p>
        </w:tc>
        <w:tc>
          <w:tcPr>
            <w:tcW w:w="1420" w:type="dxa"/>
            <w:tcBorders>
              <w:top w:val="nil"/>
              <w:left w:val="nil"/>
              <w:bottom w:val="single" w:sz="8" w:space="0" w:color="auto"/>
              <w:right w:val="single" w:sz="8" w:space="0" w:color="auto"/>
            </w:tcBorders>
            <w:shd w:val="clear" w:color="auto" w:fill="auto"/>
            <w:noWrap/>
            <w:vAlign w:val="center"/>
            <w:hideMark/>
          </w:tcPr>
          <w:p w14:paraId="5CCBF041" w14:textId="29CF82C1"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5 628,58</w:t>
            </w:r>
          </w:p>
        </w:tc>
        <w:tc>
          <w:tcPr>
            <w:tcW w:w="1300" w:type="dxa"/>
            <w:tcBorders>
              <w:top w:val="nil"/>
              <w:left w:val="nil"/>
              <w:bottom w:val="single" w:sz="8" w:space="0" w:color="auto"/>
              <w:right w:val="single" w:sz="8" w:space="0" w:color="auto"/>
            </w:tcBorders>
            <w:shd w:val="clear" w:color="auto" w:fill="auto"/>
            <w:noWrap/>
            <w:vAlign w:val="center"/>
            <w:hideMark/>
          </w:tcPr>
          <w:p w14:paraId="16CCC9DA" w14:textId="2C36425B"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5 592,27</w:t>
            </w:r>
          </w:p>
        </w:tc>
        <w:tc>
          <w:tcPr>
            <w:tcW w:w="960" w:type="dxa"/>
            <w:tcBorders>
              <w:top w:val="nil"/>
              <w:left w:val="nil"/>
              <w:bottom w:val="single" w:sz="8" w:space="0" w:color="auto"/>
              <w:right w:val="single" w:sz="8" w:space="0" w:color="auto"/>
            </w:tcBorders>
            <w:shd w:val="clear" w:color="000000" w:fill="FFFFFF"/>
            <w:vAlign w:val="center"/>
            <w:hideMark/>
          </w:tcPr>
          <w:p w14:paraId="49687AAC" w14:textId="63C3FBA8"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2,36</w:t>
            </w:r>
          </w:p>
        </w:tc>
        <w:tc>
          <w:tcPr>
            <w:tcW w:w="960" w:type="dxa"/>
            <w:tcBorders>
              <w:top w:val="nil"/>
              <w:left w:val="nil"/>
              <w:bottom w:val="single" w:sz="8" w:space="0" w:color="auto"/>
              <w:right w:val="single" w:sz="8" w:space="0" w:color="auto"/>
            </w:tcBorders>
            <w:shd w:val="clear" w:color="000000" w:fill="FFFFFF"/>
            <w:vAlign w:val="center"/>
            <w:hideMark/>
          </w:tcPr>
          <w:p w14:paraId="48370774" w14:textId="6C97BE0E"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99,35</w:t>
            </w:r>
          </w:p>
        </w:tc>
        <w:tc>
          <w:tcPr>
            <w:tcW w:w="1240" w:type="dxa"/>
            <w:tcBorders>
              <w:top w:val="nil"/>
              <w:left w:val="nil"/>
              <w:bottom w:val="single" w:sz="8" w:space="0" w:color="auto"/>
              <w:right w:val="single" w:sz="8" w:space="0" w:color="auto"/>
            </w:tcBorders>
            <w:shd w:val="clear" w:color="000000" w:fill="FFFFFF"/>
            <w:vAlign w:val="center"/>
            <w:hideMark/>
          </w:tcPr>
          <w:p w14:paraId="0225C75C" w14:textId="34C36489"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36,31</w:t>
            </w:r>
          </w:p>
        </w:tc>
        <w:tc>
          <w:tcPr>
            <w:tcW w:w="960" w:type="dxa"/>
            <w:tcBorders>
              <w:top w:val="nil"/>
              <w:left w:val="nil"/>
              <w:bottom w:val="single" w:sz="8" w:space="0" w:color="auto"/>
              <w:right w:val="single" w:sz="8" w:space="0" w:color="auto"/>
            </w:tcBorders>
            <w:shd w:val="clear" w:color="000000" w:fill="FFFFFF"/>
            <w:vAlign w:val="center"/>
            <w:hideMark/>
          </w:tcPr>
          <w:p w14:paraId="7E5DBC35" w14:textId="31A938B8"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0,42</w:t>
            </w:r>
          </w:p>
        </w:tc>
      </w:tr>
      <w:tr w:rsidR="00E47AA9" w:rsidRPr="00E47AA9" w14:paraId="39FBB24A"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39BCDE98"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рыбохозяйственного комплекса в Приморском крае"</w:t>
            </w:r>
          </w:p>
        </w:tc>
        <w:tc>
          <w:tcPr>
            <w:tcW w:w="1420" w:type="dxa"/>
            <w:tcBorders>
              <w:top w:val="nil"/>
              <w:left w:val="nil"/>
              <w:bottom w:val="single" w:sz="8" w:space="0" w:color="auto"/>
              <w:right w:val="single" w:sz="8" w:space="0" w:color="auto"/>
            </w:tcBorders>
            <w:shd w:val="clear" w:color="auto" w:fill="auto"/>
            <w:noWrap/>
            <w:vAlign w:val="center"/>
            <w:hideMark/>
          </w:tcPr>
          <w:p w14:paraId="1DB44BB5" w14:textId="2D441D0D"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43,91</w:t>
            </w:r>
          </w:p>
        </w:tc>
        <w:tc>
          <w:tcPr>
            <w:tcW w:w="1300" w:type="dxa"/>
            <w:tcBorders>
              <w:top w:val="nil"/>
              <w:left w:val="nil"/>
              <w:bottom w:val="single" w:sz="8" w:space="0" w:color="auto"/>
              <w:right w:val="single" w:sz="8" w:space="0" w:color="auto"/>
            </w:tcBorders>
            <w:shd w:val="clear" w:color="auto" w:fill="auto"/>
            <w:noWrap/>
            <w:vAlign w:val="center"/>
            <w:hideMark/>
          </w:tcPr>
          <w:p w14:paraId="28C9141B" w14:textId="13DD1E78"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43,23</w:t>
            </w:r>
          </w:p>
        </w:tc>
        <w:tc>
          <w:tcPr>
            <w:tcW w:w="960" w:type="dxa"/>
            <w:tcBorders>
              <w:top w:val="nil"/>
              <w:left w:val="nil"/>
              <w:bottom w:val="single" w:sz="8" w:space="0" w:color="auto"/>
              <w:right w:val="single" w:sz="8" w:space="0" w:color="auto"/>
            </w:tcBorders>
            <w:shd w:val="clear" w:color="000000" w:fill="FFFFFF"/>
            <w:vAlign w:val="center"/>
            <w:hideMark/>
          </w:tcPr>
          <w:p w14:paraId="45150FDF" w14:textId="3D5C006D"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0,02</w:t>
            </w:r>
          </w:p>
        </w:tc>
        <w:tc>
          <w:tcPr>
            <w:tcW w:w="960" w:type="dxa"/>
            <w:tcBorders>
              <w:top w:val="nil"/>
              <w:left w:val="nil"/>
              <w:bottom w:val="single" w:sz="8" w:space="0" w:color="auto"/>
              <w:right w:val="single" w:sz="8" w:space="0" w:color="auto"/>
            </w:tcBorders>
            <w:shd w:val="clear" w:color="000000" w:fill="FFFFFF"/>
            <w:vAlign w:val="center"/>
            <w:hideMark/>
          </w:tcPr>
          <w:p w14:paraId="540EC377" w14:textId="6301CC74"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98,45</w:t>
            </w:r>
          </w:p>
        </w:tc>
        <w:tc>
          <w:tcPr>
            <w:tcW w:w="1240" w:type="dxa"/>
            <w:tcBorders>
              <w:top w:val="nil"/>
              <w:left w:val="nil"/>
              <w:bottom w:val="single" w:sz="8" w:space="0" w:color="auto"/>
              <w:right w:val="single" w:sz="8" w:space="0" w:color="auto"/>
            </w:tcBorders>
            <w:shd w:val="clear" w:color="000000" w:fill="FFFFFF"/>
            <w:vAlign w:val="center"/>
            <w:hideMark/>
          </w:tcPr>
          <w:p w14:paraId="556D83D2" w14:textId="3750DA35"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0,68</w:t>
            </w:r>
          </w:p>
        </w:tc>
        <w:tc>
          <w:tcPr>
            <w:tcW w:w="960" w:type="dxa"/>
            <w:tcBorders>
              <w:top w:val="nil"/>
              <w:left w:val="nil"/>
              <w:bottom w:val="single" w:sz="8" w:space="0" w:color="auto"/>
              <w:right w:val="single" w:sz="8" w:space="0" w:color="auto"/>
            </w:tcBorders>
            <w:shd w:val="clear" w:color="000000" w:fill="FFFFFF"/>
            <w:vAlign w:val="center"/>
            <w:hideMark/>
          </w:tcPr>
          <w:p w14:paraId="6566F617" w14:textId="4D1EF409"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0,01</w:t>
            </w:r>
          </w:p>
        </w:tc>
      </w:tr>
      <w:tr w:rsidR="00E47AA9" w:rsidRPr="00E47AA9" w14:paraId="3D7DF009"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07F383DF"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лесного хозяйства в Приморском крае"</w:t>
            </w:r>
          </w:p>
        </w:tc>
        <w:tc>
          <w:tcPr>
            <w:tcW w:w="1420" w:type="dxa"/>
            <w:tcBorders>
              <w:top w:val="nil"/>
              <w:left w:val="nil"/>
              <w:bottom w:val="single" w:sz="8" w:space="0" w:color="auto"/>
              <w:right w:val="single" w:sz="8" w:space="0" w:color="auto"/>
            </w:tcBorders>
            <w:shd w:val="clear" w:color="auto" w:fill="auto"/>
            <w:noWrap/>
            <w:vAlign w:val="center"/>
            <w:hideMark/>
          </w:tcPr>
          <w:p w14:paraId="2416C453" w14:textId="01425C0F"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2 264,98</w:t>
            </w:r>
          </w:p>
        </w:tc>
        <w:tc>
          <w:tcPr>
            <w:tcW w:w="1300" w:type="dxa"/>
            <w:tcBorders>
              <w:top w:val="nil"/>
              <w:left w:val="nil"/>
              <w:bottom w:val="single" w:sz="8" w:space="0" w:color="auto"/>
              <w:right w:val="single" w:sz="8" w:space="0" w:color="auto"/>
            </w:tcBorders>
            <w:shd w:val="clear" w:color="auto" w:fill="auto"/>
            <w:noWrap/>
            <w:vAlign w:val="center"/>
            <w:hideMark/>
          </w:tcPr>
          <w:p w14:paraId="1876747A" w14:textId="471795B1"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2 239,02</w:t>
            </w:r>
          </w:p>
        </w:tc>
        <w:tc>
          <w:tcPr>
            <w:tcW w:w="960" w:type="dxa"/>
            <w:tcBorders>
              <w:top w:val="nil"/>
              <w:left w:val="nil"/>
              <w:bottom w:val="single" w:sz="8" w:space="0" w:color="auto"/>
              <w:right w:val="single" w:sz="8" w:space="0" w:color="auto"/>
            </w:tcBorders>
            <w:shd w:val="clear" w:color="000000" w:fill="FFFFFF"/>
            <w:vAlign w:val="center"/>
            <w:hideMark/>
          </w:tcPr>
          <w:p w14:paraId="135F3B5F" w14:textId="3783C3F9"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0,94</w:t>
            </w:r>
          </w:p>
        </w:tc>
        <w:tc>
          <w:tcPr>
            <w:tcW w:w="960" w:type="dxa"/>
            <w:tcBorders>
              <w:top w:val="nil"/>
              <w:left w:val="nil"/>
              <w:bottom w:val="single" w:sz="8" w:space="0" w:color="auto"/>
              <w:right w:val="single" w:sz="8" w:space="0" w:color="auto"/>
            </w:tcBorders>
            <w:shd w:val="clear" w:color="000000" w:fill="FFFFFF"/>
            <w:vAlign w:val="center"/>
            <w:hideMark/>
          </w:tcPr>
          <w:p w14:paraId="47757730" w14:textId="484C1A0A"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98,85</w:t>
            </w:r>
          </w:p>
        </w:tc>
        <w:tc>
          <w:tcPr>
            <w:tcW w:w="1240" w:type="dxa"/>
            <w:tcBorders>
              <w:top w:val="nil"/>
              <w:left w:val="nil"/>
              <w:bottom w:val="single" w:sz="8" w:space="0" w:color="auto"/>
              <w:right w:val="single" w:sz="8" w:space="0" w:color="auto"/>
            </w:tcBorders>
            <w:shd w:val="clear" w:color="000000" w:fill="FFFFFF"/>
            <w:vAlign w:val="center"/>
            <w:hideMark/>
          </w:tcPr>
          <w:p w14:paraId="006A57D0" w14:textId="6BFBD5EB"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25,96</w:t>
            </w:r>
          </w:p>
        </w:tc>
        <w:tc>
          <w:tcPr>
            <w:tcW w:w="960" w:type="dxa"/>
            <w:tcBorders>
              <w:top w:val="nil"/>
              <w:left w:val="nil"/>
              <w:bottom w:val="single" w:sz="8" w:space="0" w:color="auto"/>
              <w:right w:val="single" w:sz="8" w:space="0" w:color="auto"/>
            </w:tcBorders>
            <w:shd w:val="clear" w:color="000000" w:fill="FFFFFF"/>
            <w:vAlign w:val="center"/>
            <w:hideMark/>
          </w:tcPr>
          <w:p w14:paraId="0AB78535" w14:textId="3EDB4A0E"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0,30</w:t>
            </w:r>
          </w:p>
        </w:tc>
      </w:tr>
      <w:tr w:rsidR="00E47AA9" w:rsidRPr="00E47AA9" w14:paraId="3D62AE04"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236E6DF0"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"Экономическое развитие и инновационная экономика Приморского края" </w:t>
            </w:r>
          </w:p>
        </w:tc>
        <w:tc>
          <w:tcPr>
            <w:tcW w:w="1420" w:type="dxa"/>
            <w:tcBorders>
              <w:top w:val="nil"/>
              <w:left w:val="nil"/>
              <w:bottom w:val="single" w:sz="8" w:space="0" w:color="auto"/>
              <w:right w:val="single" w:sz="8" w:space="0" w:color="auto"/>
            </w:tcBorders>
            <w:shd w:val="clear" w:color="auto" w:fill="auto"/>
            <w:noWrap/>
            <w:vAlign w:val="center"/>
            <w:hideMark/>
          </w:tcPr>
          <w:p w14:paraId="5E7C581E" w14:textId="1A1A9F26"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15 788,25</w:t>
            </w:r>
          </w:p>
        </w:tc>
        <w:tc>
          <w:tcPr>
            <w:tcW w:w="1300" w:type="dxa"/>
            <w:tcBorders>
              <w:top w:val="nil"/>
              <w:left w:val="nil"/>
              <w:bottom w:val="single" w:sz="8" w:space="0" w:color="auto"/>
              <w:right w:val="single" w:sz="8" w:space="0" w:color="auto"/>
            </w:tcBorders>
            <w:shd w:val="clear" w:color="auto" w:fill="auto"/>
            <w:noWrap/>
            <w:vAlign w:val="center"/>
            <w:hideMark/>
          </w:tcPr>
          <w:p w14:paraId="634D5F1F" w14:textId="7341E17F"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15 753,41</w:t>
            </w:r>
          </w:p>
        </w:tc>
        <w:tc>
          <w:tcPr>
            <w:tcW w:w="960" w:type="dxa"/>
            <w:tcBorders>
              <w:top w:val="nil"/>
              <w:left w:val="nil"/>
              <w:bottom w:val="single" w:sz="8" w:space="0" w:color="auto"/>
              <w:right w:val="single" w:sz="8" w:space="0" w:color="auto"/>
            </w:tcBorders>
            <w:shd w:val="clear" w:color="000000" w:fill="FFFFFF"/>
            <w:vAlign w:val="center"/>
            <w:hideMark/>
          </w:tcPr>
          <w:p w14:paraId="2A471B81" w14:textId="3813E8BB"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6,65</w:t>
            </w:r>
          </w:p>
        </w:tc>
        <w:tc>
          <w:tcPr>
            <w:tcW w:w="960" w:type="dxa"/>
            <w:tcBorders>
              <w:top w:val="nil"/>
              <w:left w:val="nil"/>
              <w:bottom w:val="single" w:sz="8" w:space="0" w:color="auto"/>
              <w:right w:val="single" w:sz="8" w:space="0" w:color="auto"/>
            </w:tcBorders>
            <w:shd w:val="clear" w:color="000000" w:fill="FFFFFF"/>
            <w:vAlign w:val="center"/>
            <w:hideMark/>
          </w:tcPr>
          <w:p w14:paraId="04F6E548" w14:textId="5CF53DDE"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99,78</w:t>
            </w:r>
          </w:p>
        </w:tc>
        <w:tc>
          <w:tcPr>
            <w:tcW w:w="1240" w:type="dxa"/>
            <w:tcBorders>
              <w:top w:val="nil"/>
              <w:left w:val="nil"/>
              <w:bottom w:val="single" w:sz="8" w:space="0" w:color="auto"/>
              <w:right w:val="single" w:sz="8" w:space="0" w:color="auto"/>
            </w:tcBorders>
            <w:shd w:val="clear" w:color="000000" w:fill="FFFFFF"/>
            <w:vAlign w:val="center"/>
            <w:hideMark/>
          </w:tcPr>
          <w:p w14:paraId="0EC69E3A" w14:textId="6157932A"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34,84</w:t>
            </w:r>
          </w:p>
        </w:tc>
        <w:tc>
          <w:tcPr>
            <w:tcW w:w="960" w:type="dxa"/>
            <w:tcBorders>
              <w:top w:val="nil"/>
              <w:left w:val="nil"/>
              <w:bottom w:val="single" w:sz="8" w:space="0" w:color="auto"/>
              <w:right w:val="single" w:sz="8" w:space="0" w:color="auto"/>
            </w:tcBorders>
            <w:shd w:val="clear" w:color="000000" w:fill="FFFFFF"/>
            <w:vAlign w:val="center"/>
            <w:hideMark/>
          </w:tcPr>
          <w:p w14:paraId="74B0CAD8" w14:textId="100230C0"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0,40</w:t>
            </w:r>
          </w:p>
        </w:tc>
      </w:tr>
      <w:tr w:rsidR="00E47AA9" w:rsidRPr="00E47AA9" w14:paraId="0F4CA687"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0DBA9883"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"Безопасный край" </w:t>
            </w:r>
          </w:p>
        </w:tc>
        <w:tc>
          <w:tcPr>
            <w:tcW w:w="1420" w:type="dxa"/>
            <w:tcBorders>
              <w:top w:val="nil"/>
              <w:left w:val="nil"/>
              <w:bottom w:val="single" w:sz="8" w:space="0" w:color="auto"/>
              <w:right w:val="single" w:sz="8" w:space="0" w:color="auto"/>
            </w:tcBorders>
            <w:shd w:val="clear" w:color="auto" w:fill="auto"/>
            <w:noWrap/>
            <w:vAlign w:val="center"/>
            <w:hideMark/>
          </w:tcPr>
          <w:p w14:paraId="4A7990E3" w14:textId="211E9DEA"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1 371,77</w:t>
            </w:r>
          </w:p>
        </w:tc>
        <w:tc>
          <w:tcPr>
            <w:tcW w:w="1300" w:type="dxa"/>
            <w:tcBorders>
              <w:top w:val="nil"/>
              <w:left w:val="nil"/>
              <w:bottom w:val="single" w:sz="8" w:space="0" w:color="auto"/>
              <w:right w:val="single" w:sz="8" w:space="0" w:color="auto"/>
            </w:tcBorders>
            <w:shd w:val="clear" w:color="auto" w:fill="auto"/>
            <w:noWrap/>
            <w:vAlign w:val="center"/>
            <w:hideMark/>
          </w:tcPr>
          <w:p w14:paraId="34B83041" w14:textId="5540E924"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1 363,57</w:t>
            </w:r>
          </w:p>
        </w:tc>
        <w:tc>
          <w:tcPr>
            <w:tcW w:w="960" w:type="dxa"/>
            <w:tcBorders>
              <w:top w:val="nil"/>
              <w:left w:val="nil"/>
              <w:bottom w:val="single" w:sz="8" w:space="0" w:color="auto"/>
              <w:right w:val="single" w:sz="8" w:space="0" w:color="auto"/>
            </w:tcBorders>
            <w:shd w:val="clear" w:color="000000" w:fill="FFFFFF"/>
            <w:vAlign w:val="center"/>
            <w:hideMark/>
          </w:tcPr>
          <w:p w14:paraId="191FF4A6" w14:textId="5CC65497"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0,58</w:t>
            </w:r>
          </w:p>
        </w:tc>
        <w:tc>
          <w:tcPr>
            <w:tcW w:w="960" w:type="dxa"/>
            <w:tcBorders>
              <w:top w:val="nil"/>
              <w:left w:val="nil"/>
              <w:bottom w:val="single" w:sz="8" w:space="0" w:color="auto"/>
              <w:right w:val="single" w:sz="8" w:space="0" w:color="auto"/>
            </w:tcBorders>
            <w:shd w:val="clear" w:color="000000" w:fill="FFFFFF"/>
            <w:vAlign w:val="center"/>
            <w:hideMark/>
          </w:tcPr>
          <w:p w14:paraId="79F93F45" w14:textId="2A478B52"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99,40</w:t>
            </w:r>
          </w:p>
        </w:tc>
        <w:tc>
          <w:tcPr>
            <w:tcW w:w="1240" w:type="dxa"/>
            <w:tcBorders>
              <w:top w:val="nil"/>
              <w:left w:val="nil"/>
              <w:bottom w:val="single" w:sz="8" w:space="0" w:color="auto"/>
              <w:right w:val="single" w:sz="8" w:space="0" w:color="auto"/>
            </w:tcBorders>
            <w:shd w:val="clear" w:color="000000" w:fill="FFFFFF"/>
            <w:vAlign w:val="center"/>
            <w:hideMark/>
          </w:tcPr>
          <w:p w14:paraId="69FD3865" w14:textId="660D5A20"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8,20</w:t>
            </w:r>
          </w:p>
        </w:tc>
        <w:tc>
          <w:tcPr>
            <w:tcW w:w="960" w:type="dxa"/>
            <w:tcBorders>
              <w:top w:val="nil"/>
              <w:left w:val="nil"/>
              <w:bottom w:val="single" w:sz="8" w:space="0" w:color="auto"/>
              <w:right w:val="single" w:sz="8" w:space="0" w:color="auto"/>
            </w:tcBorders>
            <w:shd w:val="clear" w:color="000000" w:fill="FFFFFF"/>
            <w:vAlign w:val="center"/>
            <w:hideMark/>
          </w:tcPr>
          <w:p w14:paraId="32695E1F" w14:textId="34575AD9"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0,09</w:t>
            </w:r>
          </w:p>
        </w:tc>
      </w:tr>
      <w:tr w:rsidR="00E47AA9" w:rsidRPr="00E47AA9" w14:paraId="137BAEF1"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0A9D45AA"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 "Патриотическое воспитание граждан, реализация государственной национальной политики и развитие институтов гражданского общества на территории Приморского края"</w:t>
            </w:r>
          </w:p>
        </w:tc>
        <w:tc>
          <w:tcPr>
            <w:tcW w:w="1420" w:type="dxa"/>
            <w:tcBorders>
              <w:top w:val="nil"/>
              <w:left w:val="nil"/>
              <w:bottom w:val="single" w:sz="8" w:space="0" w:color="auto"/>
              <w:right w:val="single" w:sz="8" w:space="0" w:color="auto"/>
            </w:tcBorders>
            <w:shd w:val="clear" w:color="auto" w:fill="auto"/>
            <w:noWrap/>
            <w:vAlign w:val="center"/>
            <w:hideMark/>
          </w:tcPr>
          <w:p w14:paraId="4E863C36" w14:textId="70028628"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352,67</w:t>
            </w:r>
          </w:p>
        </w:tc>
        <w:tc>
          <w:tcPr>
            <w:tcW w:w="1300" w:type="dxa"/>
            <w:tcBorders>
              <w:top w:val="nil"/>
              <w:left w:val="nil"/>
              <w:bottom w:val="single" w:sz="8" w:space="0" w:color="auto"/>
              <w:right w:val="single" w:sz="8" w:space="0" w:color="auto"/>
            </w:tcBorders>
            <w:shd w:val="clear" w:color="auto" w:fill="auto"/>
            <w:noWrap/>
            <w:vAlign w:val="center"/>
            <w:hideMark/>
          </w:tcPr>
          <w:p w14:paraId="0EC0B8F7" w14:textId="0B283FFF"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352,58</w:t>
            </w:r>
          </w:p>
        </w:tc>
        <w:tc>
          <w:tcPr>
            <w:tcW w:w="960" w:type="dxa"/>
            <w:tcBorders>
              <w:top w:val="nil"/>
              <w:left w:val="nil"/>
              <w:bottom w:val="single" w:sz="8" w:space="0" w:color="auto"/>
              <w:right w:val="single" w:sz="8" w:space="0" w:color="auto"/>
            </w:tcBorders>
            <w:shd w:val="clear" w:color="000000" w:fill="FFFFFF"/>
            <w:vAlign w:val="center"/>
            <w:hideMark/>
          </w:tcPr>
          <w:p w14:paraId="12848AF0" w14:textId="060C7BD7"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0,15</w:t>
            </w:r>
          </w:p>
        </w:tc>
        <w:tc>
          <w:tcPr>
            <w:tcW w:w="960" w:type="dxa"/>
            <w:tcBorders>
              <w:top w:val="nil"/>
              <w:left w:val="nil"/>
              <w:bottom w:val="single" w:sz="8" w:space="0" w:color="auto"/>
              <w:right w:val="single" w:sz="8" w:space="0" w:color="auto"/>
            </w:tcBorders>
            <w:shd w:val="clear" w:color="000000" w:fill="FFFFFF"/>
            <w:vAlign w:val="center"/>
            <w:hideMark/>
          </w:tcPr>
          <w:p w14:paraId="01D2DD4D" w14:textId="602BC0B9"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99,97</w:t>
            </w:r>
          </w:p>
        </w:tc>
        <w:tc>
          <w:tcPr>
            <w:tcW w:w="1240" w:type="dxa"/>
            <w:tcBorders>
              <w:top w:val="nil"/>
              <w:left w:val="nil"/>
              <w:bottom w:val="single" w:sz="8" w:space="0" w:color="auto"/>
              <w:right w:val="single" w:sz="8" w:space="0" w:color="auto"/>
            </w:tcBorders>
            <w:shd w:val="clear" w:color="000000" w:fill="FFFFFF"/>
            <w:vAlign w:val="center"/>
            <w:hideMark/>
          </w:tcPr>
          <w:p w14:paraId="11808AB9" w14:textId="10050A86"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0,09</w:t>
            </w:r>
          </w:p>
        </w:tc>
        <w:tc>
          <w:tcPr>
            <w:tcW w:w="960" w:type="dxa"/>
            <w:tcBorders>
              <w:top w:val="nil"/>
              <w:left w:val="nil"/>
              <w:bottom w:val="single" w:sz="8" w:space="0" w:color="auto"/>
              <w:right w:val="single" w:sz="8" w:space="0" w:color="auto"/>
            </w:tcBorders>
            <w:shd w:val="clear" w:color="000000" w:fill="FFFFFF"/>
            <w:vAlign w:val="center"/>
            <w:hideMark/>
          </w:tcPr>
          <w:p w14:paraId="0B569415" w14:textId="15D17468"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r>
      <w:tr w:rsidR="00E47AA9" w:rsidRPr="00E47AA9" w14:paraId="0517FE4B"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0AF307B4" w14:textId="77777777" w:rsidR="008B68AB" w:rsidRPr="00E47AA9" w:rsidRDefault="008B68AB" w:rsidP="008B68AB">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"Формирование современной городской среды муниципальных образований Приморского края" </w:t>
            </w:r>
          </w:p>
        </w:tc>
        <w:tc>
          <w:tcPr>
            <w:tcW w:w="1420" w:type="dxa"/>
            <w:tcBorders>
              <w:top w:val="nil"/>
              <w:left w:val="nil"/>
              <w:bottom w:val="single" w:sz="8" w:space="0" w:color="auto"/>
              <w:right w:val="single" w:sz="8" w:space="0" w:color="auto"/>
            </w:tcBorders>
            <w:shd w:val="clear" w:color="auto" w:fill="auto"/>
            <w:noWrap/>
            <w:vAlign w:val="center"/>
            <w:hideMark/>
          </w:tcPr>
          <w:p w14:paraId="287B480D" w14:textId="763A3AEE"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3 231,10</w:t>
            </w:r>
          </w:p>
        </w:tc>
        <w:tc>
          <w:tcPr>
            <w:tcW w:w="1300" w:type="dxa"/>
            <w:tcBorders>
              <w:top w:val="nil"/>
              <w:left w:val="nil"/>
              <w:bottom w:val="single" w:sz="8" w:space="0" w:color="auto"/>
              <w:right w:val="single" w:sz="8" w:space="0" w:color="auto"/>
            </w:tcBorders>
            <w:shd w:val="clear" w:color="auto" w:fill="auto"/>
            <w:noWrap/>
            <w:vAlign w:val="center"/>
            <w:hideMark/>
          </w:tcPr>
          <w:p w14:paraId="1C87F563" w14:textId="4CB62AC7"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3 183,05</w:t>
            </w:r>
          </w:p>
        </w:tc>
        <w:tc>
          <w:tcPr>
            <w:tcW w:w="960" w:type="dxa"/>
            <w:tcBorders>
              <w:top w:val="nil"/>
              <w:left w:val="nil"/>
              <w:bottom w:val="single" w:sz="8" w:space="0" w:color="auto"/>
              <w:right w:val="single" w:sz="8" w:space="0" w:color="auto"/>
            </w:tcBorders>
            <w:shd w:val="clear" w:color="000000" w:fill="FFFFFF"/>
            <w:vAlign w:val="center"/>
            <w:hideMark/>
          </w:tcPr>
          <w:p w14:paraId="26DDA890" w14:textId="5B8292C6"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1,34</w:t>
            </w:r>
          </w:p>
        </w:tc>
        <w:tc>
          <w:tcPr>
            <w:tcW w:w="960" w:type="dxa"/>
            <w:tcBorders>
              <w:top w:val="nil"/>
              <w:left w:val="nil"/>
              <w:bottom w:val="single" w:sz="8" w:space="0" w:color="auto"/>
              <w:right w:val="single" w:sz="8" w:space="0" w:color="auto"/>
            </w:tcBorders>
            <w:shd w:val="clear" w:color="000000" w:fill="FFFFFF"/>
            <w:vAlign w:val="center"/>
            <w:hideMark/>
          </w:tcPr>
          <w:p w14:paraId="20986EBC" w14:textId="79E804DC"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98,51</w:t>
            </w:r>
          </w:p>
        </w:tc>
        <w:tc>
          <w:tcPr>
            <w:tcW w:w="1240" w:type="dxa"/>
            <w:tcBorders>
              <w:top w:val="nil"/>
              <w:left w:val="nil"/>
              <w:bottom w:val="single" w:sz="8" w:space="0" w:color="auto"/>
              <w:right w:val="single" w:sz="8" w:space="0" w:color="auto"/>
            </w:tcBorders>
            <w:shd w:val="clear" w:color="000000" w:fill="FFFFFF"/>
            <w:vAlign w:val="center"/>
            <w:hideMark/>
          </w:tcPr>
          <w:p w14:paraId="12DCF4A5" w14:textId="4B607D32"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48,05</w:t>
            </w:r>
          </w:p>
        </w:tc>
        <w:tc>
          <w:tcPr>
            <w:tcW w:w="960" w:type="dxa"/>
            <w:tcBorders>
              <w:top w:val="nil"/>
              <w:left w:val="nil"/>
              <w:bottom w:val="single" w:sz="8" w:space="0" w:color="auto"/>
              <w:right w:val="single" w:sz="8" w:space="0" w:color="auto"/>
            </w:tcBorders>
            <w:shd w:val="clear" w:color="000000" w:fill="FFFFFF"/>
            <w:vAlign w:val="center"/>
            <w:hideMark/>
          </w:tcPr>
          <w:p w14:paraId="41A22952" w14:textId="273B1621" w:rsidR="008B68AB" w:rsidRPr="00E47AA9" w:rsidRDefault="008B68AB" w:rsidP="008B68AB">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0,55</w:t>
            </w:r>
          </w:p>
        </w:tc>
      </w:tr>
      <w:tr w:rsidR="00E47AA9" w:rsidRPr="00E47AA9" w14:paraId="46580973"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hideMark/>
          </w:tcPr>
          <w:p w14:paraId="04832C03" w14:textId="77777777" w:rsidR="008B68AB" w:rsidRPr="00E47AA9" w:rsidRDefault="008B68AB" w:rsidP="008B68AB">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Непрограммные направления деятельности органов государственной власти</w:t>
            </w:r>
          </w:p>
        </w:tc>
        <w:tc>
          <w:tcPr>
            <w:tcW w:w="1420" w:type="dxa"/>
            <w:tcBorders>
              <w:top w:val="nil"/>
              <w:left w:val="nil"/>
              <w:bottom w:val="single" w:sz="8" w:space="0" w:color="auto"/>
              <w:right w:val="single" w:sz="8" w:space="0" w:color="auto"/>
            </w:tcBorders>
            <w:shd w:val="clear" w:color="auto" w:fill="auto"/>
            <w:noWrap/>
            <w:vAlign w:val="center"/>
            <w:hideMark/>
          </w:tcPr>
          <w:p w14:paraId="373C1B60" w14:textId="6776A914"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12 947,95</w:t>
            </w:r>
          </w:p>
        </w:tc>
        <w:tc>
          <w:tcPr>
            <w:tcW w:w="1300" w:type="dxa"/>
            <w:tcBorders>
              <w:top w:val="nil"/>
              <w:left w:val="nil"/>
              <w:bottom w:val="single" w:sz="8" w:space="0" w:color="auto"/>
              <w:right w:val="single" w:sz="8" w:space="0" w:color="auto"/>
            </w:tcBorders>
            <w:shd w:val="clear" w:color="auto" w:fill="auto"/>
            <w:noWrap/>
            <w:vAlign w:val="center"/>
            <w:hideMark/>
          </w:tcPr>
          <w:p w14:paraId="17F2F2C4" w14:textId="3BF4D592"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12 481,08</w:t>
            </w:r>
          </w:p>
        </w:tc>
        <w:tc>
          <w:tcPr>
            <w:tcW w:w="960" w:type="dxa"/>
            <w:tcBorders>
              <w:top w:val="nil"/>
              <w:left w:val="nil"/>
              <w:bottom w:val="single" w:sz="8" w:space="0" w:color="auto"/>
              <w:right w:val="single" w:sz="8" w:space="0" w:color="auto"/>
            </w:tcBorders>
            <w:shd w:val="clear" w:color="000000" w:fill="FFFFFF"/>
            <w:vAlign w:val="center"/>
            <w:hideMark/>
          </w:tcPr>
          <w:p w14:paraId="5E580837" w14:textId="5D0CC21C"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5,27</w:t>
            </w:r>
          </w:p>
        </w:tc>
        <w:tc>
          <w:tcPr>
            <w:tcW w:w="960" w:type="dxa"/>
            <w:tcBorders>
              <w:top w:val="nil"/>
              <w:left w:val="nil"/>
              <w:bottom w:val="single" w:sz="8" w:space="0" w:color="auto"/>
              <w:right w:val="single" w:sz="8" w:space="0" w:color="auto"/>
            </w:tcBorders>
            <w:shd w:val="clear" w:color="000000" w:fill="FFFFFF"/>
            <w:vAlign w:val="center"/>
            <w:hideMark/>
          </w:tcPr>
          <w:p w14:paraId="72401CF7" w14:textId="30870FCA"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96,39</w:t>
            </w:r>
          </w:p>
        </w:tc>
        <w:tc>
          <w:tcPr>
            <w:tcW w:w="1240" w:type="dxa"/>
            <w:tcBorders>
              <w:top w:val="nil"/>
              <w:left w:val="nil"/>
              <w:bottom w:val="single" w:sz="8" w:space="0" w:color="auto"/>
              <w:right w:val="single" w:sz="8" w:space="0" w:color="auto"/>
            </w:tcBorders>
            <w:shd w:val="clear" w:color="000000" w:fill="FFFFFF"/>
            <w:vAlign w:val="center"/>
            <w:hideMark/>
          </w:tcPr>
          <w:p w14:paraId="20A41AA8" w14:textId="5EB16652"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466,87</w:t>
            </w:r>
          </w:p>
        </w:tc>
        <w:tc>
          <w:tcPr>
            <w:tcW w:w="960" w:type="dxa"/>
            <w:tcBorders>
              <w:top w:val="nil"/>
              <w:left w:val="nil"/>
              <w:bottom w:val="single" w:sz="8" w:space="0" w:color="auto"/>
              <w:right w:val="single" w:sz="8" w:space="0" w:color="auto"/>
            </w:tcBorders>
            <w:shd w:val="clear" w:color="000000" w:fill="FFFFFF"/>
            <w:vAlign w:val="center"/>
            <w:hideMark/>
          </w:tcPr>
          <w:p w14:paraId="529F5A4C" w14:textId="1D0F3CA2"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5,37</w:t>
            </w:r>
          </w:p>
        </w:tc>
      </w:tr>
      <w:tr w:rsidR="00E47AA9" w:rsidRPr="00E47AA9" w14:paraId="0F47DF99" w14:textId="77777777" w:rsidTr="008B68AB">
        <w:trPr>
          <w:trHeight w:val="20"/>
        </w:trPr>
        <w:tc>
          <w:tcPr>
            <w:tcW w:w="2978" w:type="dxa"/>
            <w:tcBorders>
              <w:top w:val="nil"/>
              <w:left w:val="single" w:sz="4" w:space="0" w:color="auto"/>
              <w:bottom w:val="single" w:sz="4" w:space="0" w:color="auto"/>
              <w:right w:val="single" w:sz="4" w:space="0" w:color="auto"/>
            </w:tcBorders>
            <w:shd w:val="clear" w:color="000000" w:fill="FFFFFF"/>
            <w:noWrap/>
            <w:hideMark/>
          </w:tcPr>
          <w:p w14:paraId="3A6F5393" w14:textId="77777777" w:rsidR="008B68AB" w:rsidRPr="00E47AA9" w:rsidRDefault="008B68AB" w:rsidP="008B68AB">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Всего расходов</w:t>
            </w:r>
          </w:p>
        </w:tc>
        <w:tc>
          <w:tcPr>
            <w:tcW w:w="1420" w:type="dxa"/>
            <w:tcBorders>
              <w:top w:val="nil"/>
              <w:left w:val="nil"/>
              <w:bottom w:val="single" w:sz="8" w:space="0" w:color="auto"/>
              <w:right w:val="single" w:sz="8" w:space="0" w:color="auto"/>
            </w:tcBorders>
            <w:shd w:val="clear" w:color="000000" w:fill="FFFFFF"/>
            <w:noWrap/>
            <w:vAlign w:val="center"/>
            <w:hideMark/>
          </w:tcPr>
          <w:p w14:paraId="5BE5FD3A" w14:textId="4AA9A1E2"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245 684,26</w:t>
            </w:r>
          </w:p>
        </w:tc>
        <w:tc>
          <w:tcPr>
            <w:tcW w:w="1300" w:type="dxa"/>
            <w:tcBorders>
              <w:top w:val="nil"/>
              <w:left w:val="nil"/>
              <w:bottom w:val="single" w:sz="8" w:space="0" w:color="auto"/>
              <w:right w:val="single" w:sz="8" w:space="0" w:color="auto"/>
            </w:tcBorders>
            <w:shd w:val="clear" w:color="000000" w:fill="FFFFFF"/>
            <w:noWrap/>
            <w:vAlign w:val="center"/>
            <w:hideMark/>
          </w:tcPr>
          <w:p w14:paraId="21307735" w14:textId="6517CAF2"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236 994,68</w:t>
            </w:r>
          </w:p>
        </w:tc>
        <w:tc>
          <w:tcPr>
            <w:tcW w:w="960" w:type="dxa"/>
            <w:tcBorders>
              <w:top w:val="nil"/>
              <w:left w:val="nil"/>
              <w:bottom w:val="single" w:sz="8" w:space="0" w:color="auto"/>
              <w:right w:val="single" w:sz="8" w:space="0" w:color="auto"/>
            </w:tcBorders>
            <w:shd w:val="clear" w:color="000000" w:fill="FFFFFF"/>
            <w:noWrap/>
            <w:vAlign w:val="center"/>
            <w:hideMark/>
          </w:tcPr>
          <w:p w14:paraId="5B59FDA0" w14:textId="6CC59948"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100,00</w:t>
            </w:r>
          </w:p>
        </w:tc>
        <w:tc>
          <w:tcPr>
            <w:tcW w:w="960" w:type="dxa"/>
            <w:tcBorders>
              <w:top w:val="nil"/>
              <w:left w:val="nil"/>
              <w:bottom w:val="single" w:sz="8" w:space="0" w:color="auto"/>
              <w:right w:val="single" w:sz="8" w:space="0" w:color="auto"/>
            </w:tcBorders>
            <w:shd w:val="clear" w:color="000000" w:fill="FFFFFF"/>
            <w:vAlign w:val="center"/>
            <w:hideMark/>
          </w:tcPr>
          <w:p w14:paraId="2663C702" w14:textId="6970AE34"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96,46</w:t>
            </w:r>
          </w:p>
        </w:tc>
        <w:tc>
          <w:tcPr>
            <w:tcW w:w="1240" w:type="dxa"/>
            <w:tcBorders>
              <w:top w:val="nil"/>
              <w:left w:val="nil"/>
              <w:bottom w:val="single" w:sz="8" w:space="0" w:color="auto"/>
              <w:right w:val="single" w:sz="8" w:space="0" w:color="auto"/>
            </w:tcBorders>
            <w:shd w:val="clear" w:color="000000" w:fill="FFFFFF"/>
            <w:vAlign w:val="center"/>
            <w:hideMark/>
          </w:tcPr>
          <w:p w14:paraId="5CD65012" w14:textId="50C36904"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8 689,58</w:t>
            </w:r>
          </w:p>
        </w:tc>
        <w:tc>
          <w:tcPr>
            <w:tcW w:w="960" w:type="dxa"/>
            <w:tcBorders>
              <w:top w:val="nil"/>
              <w:left w:val="nil"/>
              <w:bottom w:val="single" w:sz="8" w:space="0" w:color="auto"/>
              <w:right w:val="single" w:sz="8" w:space="0" w:color="auto"/>
            </w:tcBorders>
            <w:shd w:val="clear" w:color="000000" w:fill="FFFFFF"/>
            <w:noWrap/>
            <w:vAlign w:val="center"/>
            <w:hideMark/>
          </w:tcPr>
          <w:p w14:paraId="24CAB329" w14:textId="72868C59" w:rsidR="008B68AB" w:rsidRPr="00E47AA9" w:rsidRDefault="008B68AB" w:rsidP="008B68AB">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100,00</w:t>
            </w:r>
          </w:p>
        </w:tc>
      </w:tr>
    </w:tbl>
    <w:p w14:paraId="5359B0CB" w14:textId="77777777" w:rsidR="00576D56" w:rsidRPr="00E47AA9" w:rsidRDefault="00576D56" w:rsidP="00576D56">
      <w:pPr>
        <w:spacing w:after="0" w:line="240" w:lineRule="auto"/>
        <w:ind w:firstLine="708"/>
        <w:jc w:val="both"/>
        <w:rPr>
          <w:rFonts w:ascii="Times New Roman" w:eastAsia="Times New Roman" w:hAnsi="Times New Roman" w:cs="Times New Roman"/>
          <w:sz w:val="28"/>
          <w:szCs w:val="28"/>
        </w:rPr>
      </w:pPr>
    </w:p>
    <w:p w14:paraId="32E04F23" w14:textId="77777777" w:rsidR="00576D56" w:rsidRPr="00E47AA9" w:rsidRDefault="00576D56" w:rsidP="00576D5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Основной объем расходов в краевом бюджете занимают пять программ, на которые направлен наибольший объем (71,31 %) расходов краевого бюджета:</w:t>
      </w:r>
    </w:p>
    <w:p w14:paraId="6248C110" w14:textId="77777777"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ГП "Развитие образования Приморского края" – 19,87 %, или 47079,52 млн рублей (в 2023 году – 19,86 %, или 43427,59 млн рублей);</w:t>
      </w:r>
    </w:p>
    <w:p w14:paraId="1C236A5E" w14:textId="77777777"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ГП "Развитие здравоохранения Приморского края" – 15,22 %, или 36059,01 млн рублей (в 2023 году – 14,04 %, или 30700,81 млн рублей); </w:t>
      </w:r>
    </w:p>
    <w:p w14:paraId="15B44CAD" w14:textId="77777777"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ГП "Социальная поддержка населения Приморского края" – 13,40 %, или 31768,94 млн рублей (в 2023 году – 14,27 %, или 31205,35 млн рублей);</w:t>
      </w:r>
    </w:p>
    <w:p w14:paraId="40EE48FD" w14:textId="77777777"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ГП "Обеспечение доступным жильем и качественными услугами жилищно-коммунального хозяйства населения Приморского края" – 12,51 %, или 29645,98 млн рублей (в 2023 году – 11,26 %, или 24622,13 млн рублей);</w:t>
      </w:r>
    </w:p>
    <w:p w14:paraId="1072D7F9" w14:textId="77777777"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ГП "Развитие транспортного комплекса Приморского края" – 10,31 %, или 24431,90 млн рублей (в 2023 году – 9,56 %, или 20895,18 млн рублей).</w:t>
      </w:r>
    </w:p>
    <w:p w14:paraId="20D41891" w14:textId="77777777"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Доли в общем объеме расходов по остальным программам составляют от 6,65 % (ГП "Экономическое развитие и инновационная экономика Приморского края") до 0,02 % (ГП "Развитие рыбохозяйственного комплекса Приморского края"). </w:t>
      </w:r>
    </w:p>
    <w:p w14:paraId="03BF337E" w14:textId="77777777"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b/>
          <w:sz w:val="28"/>
          <w:szCs w:val="28"/>
        </w:rPr>
        <w:lastRenderedPageBreak/>
        <w:t>3.</w:t>
      </w:r>
      <w:r w:rsidRPr="00E47AA9">
        <w:rPr>
          <w:rFonts w:ascii="Times New Roman" w:eastAsia="Times New Roman" w:hAnsi="Times New Roman" w:cs="Times New Roman"/>
          <w:sz w:val="28"/>
          <w:szCs w:val="28"/>
        </w:rPr>
        <w:t> В программных расходах реализуются мероприятия Адресной инвестиционной программы Приморского края</w:t>
      </w:r>
      <w:r w:rsidRPr="00E47AA9">
        <w:rPr>
          <w:rStyle w:val="a8"/>
          <w:rFonts w:ascii="Times New Roman" w:hAnsi="Times New Roman"/>
          <w:sz w:val="28"/>
          <w:szCs w:val="28"/>
        </w:rPr>
        <w:footnoteReference w:id="27"/>
      </w:r>
      <w:r w:rsidRPr="00E47AA9">
        <w:rPr>
          <w:rFonts w:ascii="Times New Roman" w:eastAsia="Times New Roman" w:hAnsi="Times New Roman" w:cs="Times New Roman"/>
          <w:sz w:val="28"/>
          <w:szCs w:val="28"/>
        </w:rPr>
        <w:t xml:space="preserve"> (далее – АИП), направленные на комплексное развитие Приморского края и муниципальных образований.</w:t>
      </w:r>
    </w:p>
    <w:p w14:paraId="592720D2" w14:textId="77777777"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В 2024 году бюджетные ассигнования на реализацию мероприятий АИП предусмотрены в рамках 14 государственных программ на строительство и реконструкцию 173 объектов в общем объеме 19704,04 млн рублей. </w:t>
      </w:r>
    </w:p>
    <w:p w14:paraId="2016F6A3" w14:textId="77777777" w:rsidR="001218B5"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В 2024 году профинансировано 149 объектов на 15689,38 млн рублей, или 79,62 %. </w:t>
      </w:r>
    </w:p>
    <w:p w14:paraId="4D22ED08" w14:textId="7E85B018" w:rsidR="00576D56" w:rsidRPr="00E47AA9" w:rsidRDefault="001218B5" w:rsidP="00576D56">
      <w:pPr>
        <w:tabs>
          <w:tab w:val="left" w:pos="851"/>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В рамках АИП на территории края планировалось ввести в эксплуатацию 52 объекта. Согласно </w:t>
      </w:r>
      <w:proofErr w:type="gramStart"/>
      <w:r w:rsidRPr="00E47AA9">
        <w:rPr>
          <w:rFonts w:ascii="Times New Roman" w:eastAsia="Times New Roman" w:hAnsi="Times New Roman" w:cs="Times New Roman"/>
          <w:sz w:val="28"/>
          <w:szCs w:val="28"/>
        </w:rPr>
        <w:t>отчету</w:t>
      </w:r>
      <w:proofErr w:type="gramEnd"/>
      <w:r w:rsidRPr="00E47AA9">
        <w:rPr>
          <w:rFonts w:ascii="Times New Roman" w:eastAsia="Times New Roman" w:hAnsi="Times New Roman" w:cs="Times New Roman"/>
          <w:sz w:val="28"/>
          <w:szCs w:val="28"/>
        </w:rPr>
        <w:t xml:space="preserve"> об исполнении АИП за 2024 год, введены в эксплуатацию (приобретены) 31 объект.</w:t>
      </w:r>
    </w:p>
    <w:p w14:paraId="4FEC3674" w14:textId="77777777"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Общий объем неиспользованных бюджетных ассигнований на АИП составил 4014,66 млн рублей (</w:t>
      </w:r>
      <w:r w:rsidR="00684CB4" w:rsidRPr="00E47AA9">
        <w:rPr>
          <w:rFonts w:ascii="Times New Roman" w:eastAsia="Times New Roman" w:hAnsi="Times New Roman" w:cs="Times New Roman"/>
          <w:sz w:val="28"/>
          <w:szCs w:val="28"/>
        </w:rPr>
        <w:t>46,20</w:t>
      </w:r>
      <w:r w:rsidRPr="00E47AA9">
        <w:rPr>
          <w:rFonts w:ascii="Times New Roman" w:eastAsia="Times New Roman" w:hAnsi="Times New Roman" w:cs="Times New Roman"/>
          <w:sz w:val="28"/>
          <w:szCs w:val="28"/>
        </w:rPr>
        <w:t xml:space="preserve"> % в общем объеме неисполненных бюджетных назначений (8689,58 млн рублей).</w:t>
      </w:r>
    </w:p>
    <w:p w14:paraId="33F1E538" w14:textId="77777777"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Исполнение расходов АИП в разрезе ГП за отчетный год представлено в таблице. </w:t>
      </w:r>
    </w:p>
    <w:tbl>
      <w:tblPr>
        <w:tblW w:w="9260" w:type="dxa"/>
        <w:tblLook w:val="04A0" w:firstRow="1" w:lastRow="0" w:firstColumn="1" w:lastColumn="0" w:noHBand="0" w:noVBand="1"/>
      </w:tblPr>
      <w:tblGrid>
        <w:gridCol w:w="560"/>
        <w:gridCol w:w="3060"/>
        <w:gridCol w:w="1920"/>
        <w:gridCol w:w="1920"/>
        <w:gridCol w:w="1800"/>
      </w:tblGrid>
      <w:tr w:rsidR="00E47AA9" w:rsidRPr="00E47AA9" w14:paraId="211CD8EE" w14:textId="77777777" w:rsidTr="00576D56">
        <w:trPr>
          <w:trHeight w:val="20"/>
          <w:tblHeader/>
        </w:trPr>
        <w:tc>
          <w:tcPr>
            <w:tcW w:w="560" w:type="dxa"/>
            <w:tcBorders>
              <w:top w:val="nil"/>
              <w:left w:val="nil"/>
              <w:bottom w:val="nil"/>
              <w:right w:val="nil"/>
            </w:tcBorders>
            <w:shd w:val="clear" w:color="auto" w:fill="auto"/>
            <w:noWrap/>
            <w:vAlign w:val="bottom"/>
            <w:hideMark/>
          </w:tcPr>
          <w:p w14:paraId="61F37074"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p>
        </w:tc>
        <w:tc>
          <w:tcPr>
            <w:tcW w:w="3060" w:type="dxa"/>
            <w:tcBorders>
              <w:top w:val="nil"/>
              <w:left w:val="nil"/>
              <w:bottom w:val="nil"/>
              <w:right w:val="nil"/>
            </w:tcBorders>
            <w:shd w:val="clear" w:color="auto" w:fill="auto"/>
            <w:noWrap/>
            <w:vAlign w:val="bottom"/>
            <w:hideMark/>
          </w:tcPr>
          <w:p w14:paraId="532E0D8C"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p>
        </w:tc>
        <w:tc>
          <w:tcPr>
            <w:tcW w:w="1920" w:type="dxa"/>
            <w:tcBorders>
              <w:top w:val="nil"/>
              <w:left w:val="nil"/>
              <w:bottom w:val="nil"/>
              <w:right w:val="nil"/>
            </w:tcBorders>
            <w:shd w:val="clear" w:color="auto" w:fill="auto"/>
            <w:noWrap/>
            <w:vAlign w:val="bottom"/>
            <w:hideMark/>
          </w:tcPr>
          <w:p w14:paraId="28CA93EB"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p>
        </w:tc>
        <w:tc>
          <w:tcPr>
            <w:tcW w:w="1920" w:type="dxa"/>
            <w:tcBorders>
              <w:top w:val="nil"/>
              <w:left w:val="nil"/>
              <w:bottom w:val="nil"/>
              <w:right w:val="nil"/>
            </w:tcBorders>
            <w:shd w:val="clear" w:color="auto" w:fill="auto"/>
            <w:noWrap/>
            <w:vAlign w:val="bottom"/>
            <w:hideMark/>
          </w:tcPr>
          <w:p w14:paraId="7E9972F6"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p>
        </w:tc>
        <w:tc>
          <w:tcPr>
            <w:tcW w:w="1800" w:type="dxa"/>
            <w:tcBorders>
              <w:top w:val="nil"/>
              <w:left w:val="nil"/>
              <w:bottom w:val="nil"/>
              <w:right w:val="nil"/>
            </w:tcBorders>
            <w:shd w:val="clear" w:color="auto" w:fill="auto"/>
            <w:noWrap/>
            <w:vAlign w:val="bottom"/>
            <w:hideMark/>
          </w:tcPr>
          <w:p w14:paraId="5FDC4A57"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0EDD1AB6" w14:textId="77777777" w:rsidTr="00576D56">
        <w:trPr>
          <w:trHeight w:val="20"/>
          <w:tblHeader/>
        </w:trPr>
        <w:tc>
          <w:tcPr>
            <w:tcW w:w="5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BAD675"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 </w:t>
            </w:r>
          </w:p>
        </w:tc>
        <w:tc>
          <w:tcPr>
            <w:tcW w:w="30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248F5"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ГП</w:t>
            </w:r>
          </w:p>
        </w:tc>
        <w:tc>
          <w:tcPr>
            <w:tcW w:w="5640" w:type="dxa"/>
            <w:gridSpan w:val="3"/>
            <w:tcBorders>
              <w:top w:val="single" w:sz="4" w:space="0" w:color="000000"/>
              <w:left w:val="nil"/>
              <w:bottom w:val="single" w:sz="4" w:space="0" w:color="000000"/>
              <w:right w:val="single" w:sz="4" w:space="0" w:color="000000"/>
            </w:tcBorders>
            <w:shd w:val="clear" w:color="auto" w:fill="auto"/>
            <w:hideMark/>
          </w:tcPr>
          <w:p w14:paraId="64759B8B" w14:textId="77777777" w:rsidR="00576D56" w:rsidRPr="00E47AA9" w:rsidRDefault="00576D56" w:rsidP="00576D56">
            <w:pPr>
              <w:spacing w:after="0" w:line="240" w:lineRule="auto"/>
              <w:jc w:val="center"/>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2024 год</w:t>
            </w:r>
          </w:p>
        </w:tc>
      </w:tr>
      <w:tr w:rsidR="00E47AA9" w:rsidRPr="00E47AA9" w14:paraId="4AB1E231" w14:textId="77777777" w:rsidTr="00576D56">
        <w:trPr>
          <w:trHeight w:val="20"/>
          <w:tblHeader/>
        </w:trPr>
        <w:tc>
          <w:tcPr>
            <w:tcW w:w="560" w:type="dxa"/>
            <w:vMerge/>
            <w:tcBorders>
              <w:top w:val="single" w:sz="4" w:space="0" w:color="000000"/>
              <w:left w:val="single" w:sz="4" w:space="0" w:color="000000"/>
              <w:bottom w:val="single" w:sz="4" w:space="0" w:color="000000"/>
              <w:right w:val="single" w:sz="4" w:space="0" w:color="000000"/>
            </w:tcBorders>
            <w:vAlign w:val="center"/>
            <w:hideMark/>
          </w:tcPr>
          <w:p w14:paraId="53566B38"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p>
        </w:tc>
        <w:tc>
          <w:tcPr>
            <w:tcW w:w="3060" w:type="dxa"/>
            <w:vMerge/>
            <w:tcBorders>
              <w:top w:val="single" w:sz="4" w:space="0" w:color="000000"/>
              <w:left w:val="single" w:sz="4" w:space="0" w:color="000000"/>
              <w:bottom w:val="single" w:sz="4" w:space="0" w:color="000000"/>
              <w:right w:val="single" w:sz="4" w:space="0" w:color="000000"/>
            </w:tcBorders>
            <w:vAlign w:val="center"/>
            <w:hideMark/>
          </w:tcPr>
          <w:p w14:paraId="355C188A"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p>
        </w:tc>
        <w:tc>
          <w:tcPr>
            <w:tcW w:w="1920" w:type="dxa"/>
            <w:tcBorders>
              <w:top w:val="nil"/>
              <w:left w:val="nil"/>
              <w:bottom w:val="single" w:sz="4" w:space="0" w:color="000000"/>
              <w:right w:val="single" w:sz="4" w:space="0" w:color="000000"/>
            </w:tcBorders>
            <w:shd w:val="clear" w:color="auto" w:fill="auto"/>
            <w:vAlign w:val="center"/>
            <w:hideMark/>
          </w:tcPr>
          <w:p w14:paraId="29262DC4"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Ресурсное обеспечение АИП на 2024 год</w:t>
            </w:r>
          </w:p>
        </w:tc>
        <w:tc>
          <w:tcPr>
            <w:tcW w:w="1920" w:type="dxa"/>
            <w:tcBorders>
              <w:top w:val="nil"/>
              <w:left w:val="nil"/>
              <w:bottom w:val="single" w:sz="4" w:space="0" w:color="000000"/>
              <w:right w:val="single" w:sz="4" w:space="0" w:color="000000"/>
            </w:tcBorders>
            <w:shd w:val="clear" w:color="auto" w:fill="auto"/>
            <w:vAlign w:val="center"/>
            <w:hideMark/>
          </w:tcPr>
          <w:p w14:paraId="38B6848E"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Исполнение АИП</w:t>
            </w:r>
          </w:p>
        </w:tc>
        <w:tc>
          <w:tcPr>
            <w:tcW w:w="1800" w:type="dxa"/>
            <w:tcBorders>
              <w:top w:val="nil"/>
              <w:left w:val="nil"/>
              <w:bottom w:val="single" w:sz="4" w:space="0" w:color="000000"/>
              <w:right w:val="single" w:sz="4" w:space="0" w:color="000000"/>
            </w:tcBorders>
            <w:shd w:val="clear" w:color="auto" w:fill="auto"/>
            <w:vAlign w:val="center"/>
            <w:hideMark/>
          </w:tcPr>
          <w:p w14:paraId="4D0818F2"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Неисполненный остаток</w:t>
            </w:r>
          </w:p>
        </w:tc>
      </w:tr>
      <w:tr w:rsidR="00E47AA9" w:rsidRPr="00E47AA9" w14:paraId="1D9751BC" w14:textId="77777777" w:rsidTr="00576D56">
        <w:trPr>
          <w:trHeight w:val="20"/>
        </w:trPr>
        <w:tc>
          <w:tcPr>
            <w:tcW w:w="560" w:type="dxa"/>
            <w:tcBorders>
              <w:top w:val="nil"/>
              <w:left w:val="single" w:sz="4" w:space="0" w:color="000000"/>
              <w:bottom w:val="single" w:sz="4" w:space="0" w:color="000000"/>
              <w:right w:val="single" w:sz="4" w:space="0" w:color="000000"/>
            </w:tcBorders>
            <w:shd w:val="clear" w:color="auto" w:fill="auto"/>
            <w:hideMark/>
          </w:tcPr>
          <w:p w14:paraId="253F4952" w14:textId="77777777" w:rsidR="00576D56" w:rsidRPr="00E47AA9" w:rsidRDefault="00576D56" w:rsidP="00576D56">
            <w:pPr>
              <w:spacing w:after="0" w:line="240" w:lineRule="auto"/>
              <w:jc w:val="center"/>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 </w:t>
            </w:r>
          </w:p>
        </w:tc>
        <w:tc>
          <w:tcPr>
            <w:tcW w:w="3060" w:type="dxa"/>
            <w:tcBorders>
              <w:top w:val="nil"/>
              <w:left w:val="nil"/>
              <w:bottom w:val="single" w:sz="4" w:space="0" w:color="000000"/>
              <w:right w:val="single" w:sz="4" w:space="0" w:color="000000"/>
            </w:tcBorders>
            <w:shd w:val="clear" w:color="auto" w:fill="auto"/>
            <w:hideMark/>
          </w:tcPr>
          <w:p w14:paraId="07EC8843" w14:textId="77777777" w:rsidR="00576D56" w:rsidRPr="00E47AA9" w:rsidRDefault="00576D56" w:rsidP="00576D56">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Всего</w:t>
            </w:r>
          </w:p>
        </w:tc>
        <w:tc>
          <w:tcPr>
            <w:tcW w:w="1920" w:type="dxa"/>
            <w:tcBorders>
              <w:top w:val="nil"/>
              <w:left w:val="nil"/>
              <w:bottom w:val="single" w:sz="4" w:space="0" w:color="000000"/>
              <w:right w:val="single" w:sz="4" w:space="0" w:color="000000"/>
            </w:tcBorders>
            <w:shd w:val="clear" w:color="auto" w:fill="auto"/>
            <w:hideMark/>
          </w:tcPr>
          <w:p w14:paraId="18343208" w14:textId="77777777" w:rsidR="00576D56" w:rsidRPr="00E47AA9" w:rsidRDefault="00576D56" w:rsidP="00576D56">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19 704,04</w:t>
            </w:r>
          </w:p>
        </w:tc>
        <w:tc>
          <w:tcPr>
            <w:tcW w:w="1920" w:type="dxa"/>
            <w:tcBorders>
              <w:top w:val="nil"/>
              <w:left w:val="nil"/>
              <w:bottom w:val="single" w:sz="4" w:space="0" w:color="000000"/>
              <w:right w:val="single" w:sz="4" w:space="0" w:color="000000"/>
            </w:tcBorders>
            <w:shd w:val="clear" w:color="auto" w:fill="auto"/>
            <w:hideMark/>
          </w:tcPr>
          <w:p w14:paraId="25701F85" w14:textId="77777777" w:rsidR="00576D56" w:rsidRPr="00E47AA9" w:rsidRDefault="00576D56" w:rsidP="00576D56">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15 689,38</w:t>
            </w:r>
          </w:p>
        </w:tc>
        <w:tc>
          <w:tcPr>
            <w:tcW w:w="1800" w:type="dxa"/>
            <w:tcBorders>
              <w:top w:val="nil"/>
              <w:left w:val="nil"/>
              <w:bottom w:val="single" w:sz="4" w:space="0" w:color="000000"/>
              <w:right w:val="single" w:sz="4" w:space="0" w:color="000000"/>
            </w:tcBorders>
            <w:shd w:val="clear" w:color="auto" w:fill="auto"/>
            <w:hideMark/>
          </w:tcPr>
          <w:p w14:paraId="5975F726" w14:textId="77777777" w:rsidR="00576D56" w:rsidRPr="00E47AA9" w:rsidRDefault="00576D56" w:rsidP="00576D56">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4 014,66</w:t>
            </w:r>
          </w:p>
        </w:tc>
      </w:tr>
      <w:tr w:rsidR="00E47AA9" w:rsidRPr="00E47AA9" w14:paraId="50B9F517" w14:textId="77777777" w:rsidTr="00576D56">
        <w:trPr>
          <w:trHeight w:val="20"/>
        </w:trPr>
        <w:tc>
          <w:tcPr>
            <w:tcW w:w="560" w:type="dxa"/>
            <w:tcBorders>
              <w:top w:val="nil"/>
              <w:left w:val="single" w:sz="4" w:space="0" w:color="000000"/>
              <w:bottom w:val="single" w:sz="4" w:space="0" w:color="000000"/>
              <w:right w:val="single" w:sz="4" w:space="0" w:color="000000"/>
            </w:tcBorders>
            <w:shd w:val="clear" w:color="auto" w:fill="auto"/>
            <w:hideMark/>
          </w:tcPr>
          <w:p w14:paraId="51276679"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w:t>
            </w:r>
          </w:p>
        </w:tc>
        <w:tc>
          <w:tcPr>
            <w:tcW w:w="3060" w:type="dxa"/>
            <w:tcBorders>
              <w:top w:val="nil"/>
              <w:left w:val="nil"/>
              <w:bottom w:val="single" w:sz="4" w:space="0" w:color="000000"/>
              <w:right w:val="single" w:sz="4" w:space="0" w:color="000000"/>
            </w:tcBorders>
            <w:shd w:val="clear" w:color="auto" w:fill="auto"/>
            <w:hideMark/>
          </w:tcPr>
          <w:p w14:paraId="6F930D3D"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здравоохранения Приморского края</w:t>
            </w:r>
          </w:p>
        </w:tc>
        <w:tc>
          <w:tcPr>
            <w:tcW w:w="1920" w:type="dxa"/>
            <w:tcBorders>
              <w:top w:val="nil"/>
              <w:left w:val="nil"/>
              <w:bottom w:val="single" w:sz="4" w:space="0" w:color="000000"/>
              <w:right w:val="single" w:sz="4" w:space="0" w:color="000000"/>
            </w:tcBorders>
            <w:shd w:val="clear" w:color="auto" w:fill="auto"/>
            <w:hideMark/>
          </w:tcPr>
          <w:p w14:paraId="776FE2D4"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2 828,94</w:t>
            </w:r>
          </w:p>
        </w:tc>
        <w:tc>
          <w:tcPr>
            <w:tcW w:w="1920" w:type="dxa"/>
            <w:tcBorders>
              <w:top w:val="nil"/>
              <w:left w:val="nil"/>
              <w:bottom w:val="single" w:sz="4" w:space="0" w:color="000000"/>
              <w:right w:val="single" w:sz="4" w:space="0" w:color="000000"/>
            </w:tcBorders>
            <w:shd w:val="clear" w:color="auto" w:fill="auto"/>
            <w:hideMark/>
          </w:tcPr>
          <w:p w14:paraId="1A5DE105"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1 900,51</w:t>
            </w:r>
          </w:p>
        </w:tc>
        <w:tc>
          <w:tcPr>
            <w:tcW w:w="1800" w:type="dxa"/>
            <w:tcBorders>
              <w:top w:val="nil"/>
              <w:left w:val="nil"/>
              <w:bottom w:val="single" w:sz="4" w:space="0" w:color="000000"/>
              <w:right w:val="single" w:sz="4" w:space="0" w:color="000000"/>
            </w:tcBorders>
            <w:shd w:val="clear" w:color="auto" w:fill="auto"/>
            <w:hideMark/>
          </w:tcPr>
          <w:p w14:paraId="1E8E35FD"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928,43</w:t>
            </w:r>
          </w:p>
        </w:tc>
      </w:tr>
      <w:tr w:rsidR="00E47AA9" w:rsidRPr="00E47AA9" w14:paraId="2DAE5E88" w14:textId="77777777" w:rsidTr="00576D56">
        <w:trPr>
          <w:trHeight w:val="20"/>
        </w:trPr>
        <w:tc>
          <w:tcPr>
            <w:tcW w:w="560" w:type="dxa"/>
            <w:tcBorders>
              <w:top w:val="nil"/>
              <w:left w:val="single" w:sz="4" w:space="0" w:color="000000"/>
              <w:bottom w:val="single" w:sz="4" w:space="0" w:color="000000"/>
              <w:right w:val="single" w:sz="4" w:space="0" w:color="000000"/>
            </w:tcBorders>
            <w:shd w:val="clear" w:color="auto" w:fill="auto"/>
            <w:hideMark/>
          </w:tcPr>
          <w:p w14:paraId="08FC4674"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w:t>
            </w:r>
          </w:p>
        </w:tc>
        <w:tc>
          <w:tcPr>
            <w:tcW w:w="3060" w:type="dxa"/>
            <w:tcBorders>
              <w:top w:val="nil"/>
              <w:left w:val="nil"/>
              <w:bottom w:val="single" w:sz="4" w:space="0" w:color="000000"/>
              <w:right w:val="single" w:sz="4" w:space="0" w:color="000000"/>
            </w:tcBorders>
            <w:shd w:val="clear" w:color="auto" w:fill="auto"/>
            <w:hideMark/>
          </w:tcPr>
          <w:p w14:paraId="51279479"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образования Приморского края</w:t>
            </w:r>
          </w:p>
        </w:tc>
        <w:tc>
          <w:tcPr>
            <w:tcW w:w="1920" w:type="dxa"/>
            <w:tcBorders>
              <w:top w:val="nil"/>
              <w:left w:val="nil"/>
              <w:bottom w:val="single" w:sz="4" w:space="0" w:color="000000"/>
              <w:right w:val="single" w:sz="4" w:space="0" w:color="000000"/>
            </w:tcBorders>
            <w:shd w:val="clear" w:color="auto" w:fill="auto"/>
            <w:hideMark/>
          </w:tcPr>
          <w:p w14:paraId="7677D8F8"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2 705,99</w:t>
            </w:r>
          </w:p>
        </w:tc>
        <w:tc>
          <w:tcPr>
            <w:tcW w:w="1920" w:type="dxa"/>
            <w:tcBorders>
              <w:top w:val="nil"/>
              <w:left w:val="nil"/>
              <w:bottom w:val="single" w:sz="4" w:space="0" w:color="000000"/>
              <w:right w:val="single" w:sz="4" w:space="0" w:color="000000"/>
            </w:tcBorders>
            <w:shd w:val="clear" w:color="auto" w:fill="auto"/>
            <w:hideMark/>
          </w:tcPr>
          <w:p w14:paraId="6ECB9B53"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1 749,27</w:t>
            </w:r>
          </w:p>
        </w:tc>
        <w:tc>
          <w:tcPr>
            <w:tcW w:w="1800" w:type="dxa"/>
            <w:tcBorders>
              <w:top w:val="nil"/>
              <w:left w:val="nil"/>
              <w:bottom w:val="single" w:sz="4" w:space="0" w:color="000000"/>
              <w:right w:val="single" w:sz="4" w:space="0" w:color="000000"/>
            </w:tcBorders>
            <w:shd w:val="clear" w:color="auto" w:fill="auto"/>
            <w:hideMark/>
          </w:tcPr>
          <w:p w14:paraId="1412BB76"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956,72</w:t>
            </w:r>
          </w:p>
        </w:tc>
      </w:tr>
      <w:tr w:rsidR="00E47AA9" w:rsidRPr="00E47AA9" w14:paraId="44EC9506" w14:textId="77777777" w:rsidTr="00576D56">
        <w:trPr>
          <w:trHeight w:val="20"/>
        </w:trPr>
        <w:tc>
          <w:tcPr>
            <w:tcW w:w="560" w:type="dxa"/>
            <w:tcBorders>
              <w:top w:val="nil"/>
              <w:left w:val="single" w:sz="4" w:space="0" w:color="000000"/>
              <w:bottom w:val="single" w:sz="4" w:space="0" w:color="000000"/>
              <w:right w:val="single" w:sz="4" w:space="0" w:color="000000"/>
            </w:tcBorders>
            <w:shd w:val="clear" w:color="auto" w:fill="auto"/>
            <w:hideMark/>
          </w:tcPr>
          <w:p w14:paraId="156D57E2"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w:t>
            </w:r>
          </w:p>
        </w:tc>
        <w:tc>
          <w:tcPr>
            <w:tcW w:w="3060" w:type="dxa"/>
            <w:tcBorders>
              <w:top w:val="nil"/>
              <w:left w:val="nil"/>
              <w:bottom w:val="single" w:sz="4" w:space="0" w:color="000000"/>
              <w:right w:val="single" w:sz="4" w:space="0" w:color="000000"/>
            </w:tcBorders>
            <w:shd w:val="clear" w:color="auto" w:fill="auto"/>
            <w:hideMark/>
          </w:tcPr>
          <w:p w14:paraId="1ED12FBA"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Социальная поддержка населения Приморского края</w:t>
            </w:r>
          </w:p>
        </w:tc>
        <w:tc>
          <w:tcPr>
            <w:tcW w:w="1920" w:type="dxa"/>
            <w:tcBorders>
              <w:top w:val="nil"/>
              <w:left w:val="nil"/>
              <w:bottom w:val="single" w:sz="4" w:space="0" w:color="000000"/>
              <w:right w:val="single" w:sz="4" w:space="0" w:color="000000"/>
            </w:tcBorders>
            <w:shd w:val="clear" w:color="auto" w:fill="auto"/>
            <w:hideMark/>
          </w:tcPr>
          <w:p w14:paraId="5A20B601"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93,80</w:t>
            </w:r>
          </w:p>
        </w:tc>
        <w:tc>
          <w:tcPr>
            <w:tcW w:w="1920" w:type="dxa"/>
            <w:tcBorders>
              <w:top w:val="nil"/>
              <w:left w:val="nil"/>
              <w:bottom w:val="single" w:sz="4" w:space="0" w:color="000000"/>
              <w:right w:val="single" w:sz="4" w:space="0" w:color="000000"/>
            </w:tcBorders>
            <w:shd w:val="clear" w:color="auto" w:fill="auto"/>
            <w:hideMark/>
          </w:tcPr>
          <w:p w14:paraId="33F3307C"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52,09</w:t>
            </w:r>
          </w:p>
        </w:tc>
        <w:tc>
          <w:tcPr>
            <w:tcW w:w="1800" w:type="dxa"/>
            <w:tcBorders>
              <w:top w:val="nil"/>
              <w:left w:val="nil"/>
              <w:bottom w:val="single" w:sz="4" w:space="0" w:color="000000"/>
              <w:right w:val="single" w:sz="4" w:space="0" w:color="000000"/>
            </w:tcBorders>
            <w:shd w:val="clear" w:color="auto" w:fill="auto"/>
            <w:hideMark/>
          </w:tcPr>
          <w:p w14:paraId="1397E303"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41,71</w:t>
            </w:r>
          </w:p>
        </w:tc>
      </w:tr>
      <w:tr w:rsidR="00E47AA9" w:rsidRPr="00E47AA9" w14:paraId="1C987D95" w14:textId="77777777" w:rsidTr="00576D56">
        <w:trPr>
          <w:trHeight w:val="20"/>
        </w:trPr>
        <w:tc>
          <w:tcPr>
            <w:tcW w:w="560" w:type="dxa"/>
            <w:tcBorders>
              <w:top w:val="nil"/>
              <w:left w:val="single" w:sz="4" w:space="0" w:color="000000"/>
              <w:bottom w:val="single" w:sz="4" w:space="0" w:color="000000"/>
              <w:right w:val="single" w:sz="4" w:space="0" w:color="000000"/>
            </w:tcBorders>
            <w:shd w:val="clear" w:color="auto" w:fill="auto"/>
            <w:hideMark/>
          </w:tcPr>
          <w:p w14:paraId="431DE417"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w:t>
            </w:r>
          </w:p>
        </w:tc>
        <w:tc>
          <w:tcPr>
            <w:tcW w:w="3060" w:type="dxa"/>
            <w:tcBorders>
              <w:top w:val="nil"/>
              <w:left w:val="nil"/>
              <w:bottom w:val="single" w:sz="4" w:space="0" w:color="000000"/>
              <w:right w:val="single" w:sz="4" w:space="0" w:color="000000"/>
            </w:tcBorders>
            <w:shd w:val="clear" w:color="auto" w:fill="auto"/>
            <w:hideMark/>
          </w:tcPr>
          <w:p w14:paraId="6CC4292F"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культуры Приморского края</w:t>
            </w:r>
          </w:p>
        </w:tc>
        <w:tc>
          <w:tcPr>
            <w:tcW w:w="1920" w:type="dxa"/>
            <w:tcBorders>
              <w:top w:val="nil"/>
              <w:left w:val="nil"/>
              <w:bottom w:val="single" w:sz="4" w:space="0" w:color="000000"/>
              <w:right w:val="single" w:sz="4" w:space="0" w:color="000000"/>
            </w:tcBorders>
            <w:shd w:val="clear" w:color="auto" w:fill="auto"/>
            <w:hideMark/>
          </w:tcPr>
          <w:p w14:paraId="3C6CE051"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513,17</w:t>
            </w:r>
          </w:p>
        </w:tc>
        <w:tc>
          <w:tcPr>
            <w:tcW w:w="1920" w:type="dxa"/>
            <w:tcBorders>
              <w:top w:val="nil"/>
              <w:left w:val="nil"/>
              <w:bottom w:val="single" w:sz="4" w:space="0" w:color="000000"/>
              <w:right w:val="single" w:sz="4" w:space="0" w:color="000000"/>
            </w:tcBorders>
            <w:shd w:val="clear" w:color="auto" w:fill="auto"/>
            <w:hideMark/>
          </w:tcPr>
          <w:p w14:paraId="37E66129"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510,89</w:t>
            </w:r>
          </w:p>
        </w:tc>
        <w:tc>
          <w:tcPr>
            <w:tcW w:w="1800" w:type="dxa"/>
            <w:tcBorders>
              <w:top w:val="nil"/>
              <w:left w:val="nil"/>
              <w:bottom w:val="single" w:sz="4" w:space="0" w:color="000000"/>
              <w:right w:val="single" w:sz="4" w:space="0" w:color="000000"/>
            </w:tcBorders>
            <w:shd w:val="clear" w:color="auto" w:fill="auto"/>
            <w:hideMark/>
          </w:tcPr>
          <w:p w14:paraId="1C2A44A7"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2,28</w:t>
            </w:r>
          </w:p>
        </w:tc>
      </w:tr>
      <w:tr w:rsidR="00E47AA9" w:rsidRPr="00E47AA9" w14:paraId="6CAC4D9B" w14:textId="77777777" w:rsidTr="00576D56">
        <w:trPr>
          <w:trHeight w:val="20"/>
        </w:trPr>
        <w:tc>
          <w:tcPr>
            <w:tcW w:w="560" w:type="dxa"/>
            <w:tcBorders>
              <w:top w:val="nil"/>
              <w:left w:val="single" w:sz="4" w:space="0" w:color="000000"/>
              <w:bottom w:val="single" w:sz="4" w:space="0" w:color="000000"/>
              <w:right w:val="single" w:sz="4" w:space="0" w:color="000000"/>
            </w:tcBorders>
            <w:shd w:val="clear" w:color="auto" w:fill="auto"/>
            <w:hideMark/>
          </w:tcPr>
          <w:p w14:paraId="21167879"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w:t>
            </w:r>
          </w:p>
        </w:tc>
        <w:tc>
          <w:tcPr>
            <w:tcW w:w="3060" w:type="dxa"/>
            <w:tcBorders>
              <w:top w:val="nil"/>
              <w:left w:val="nil"/>
              <w:bottom w:val="single" w:sz="4" w:space="0" w:color="000000"/>
              <w:right w:val="single" w:sz="4" w:space="0" w:color="000000"/>
            </w:tcBorders>
            <w:shd w:val="clear" w:color="auto" w:fill="auto"/>
            <w:hideMark/>
          </w:tcPr>
          <w:p w14:paraId="76188E66"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Обеспечение доступным жильем и качественными услугами жилищно-коммунального хозяйства населения Приморского края</w:t>
            </w:r>
          </w:p>
        </w:tc>
        <w:tc>
          <w:tcPr>
            <w:tcW w:w="1920" w:type="dxa"/>
            <w:tcBorders>
              <w:top w:val="nil"/>
              <w:left w:val="nil"/>
              <w:bottom w:val="single" w:sz="4" w:space="0" w:color="000000"/>
              <w:right w:val="single" w:sz="4" w:space="0" w:color="000000"/>
            </w:tcBorders>
            <w:shd w:val="clear" w:color="auto" w:fill="auto"/>
            <w:hideMark/>
          </w:tcPr>
          <w:p w14:paraId="271BD418"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4 257,35</w:t>
            </w:r>
          </w:p>
        </w:tc>
        <w:tc>
          <w:tcPr>
            <w:tcW w:w="1920" w:type="dxa"/>
            <w:tcBorders>
              <w:top w:val="nil"/>
              <w:left w:val="nil"/>
              <w:bottom w:val="single" w:sz="4" w:space="0" w:color="000000"/>
              <w:right w:val="single" w:sz="4" w:space="0" w:color="000000"/>
            </w:tcBorders>
            <w:shd w:val="clear" w:color="auto" w:fill="auto"/>
            <w:hideMark/>
          </w:tcPr>
          <w:p w14:paraId="71A46C11"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3 410,39</w:t>
            </w:r>
          </w:p>
        </w:tc>
        <w:tc>
          <w:tcPr>
            <w:tcW w:w="1800" w:type="dxa"/>
            <w:tcBorders>
              <w:top w:val="nil"/>
              <w:left w:val="nil"/>
              <w:bottom w:val="single" w:sz="4" w:space="0" w:color="000000"/>
              <w:right w:val="single" w:sz="4" w:space="0" w:color="000000"/>
            </w:tcBorders>
            <w:shd w:val="clear" w:color="auto" w:fill="auto"/>
            <w:hideMark/>
          </w:tcPr>
          <w:p w14:paraId="4BD2AFBA"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846,96</w:t>
            </w:r>
          </w:p>
        </w:tc>
      </w:tr>
      <w:tr w:rsidR="00E47AA9" w:rsidRPr="00E47AA9" w14:paraId="63D67FB5" w14:textId="77777777" w:rsidTr="00576D56">
        <w:trPr>
          <w:trHeight w:val="20"/>
        </w:trPr>
        <w:tc>
          <w:tcPr>
            <w:tcW w:w="560" w:type="dxa"/>
            <w:tcBorders>
              <w:top w:val="nil"/>
              <w:left w:val="single" w:sz="4" w:space="0" w:color="000000"/>
              <w:bottom w:val="single" w:sz="4" w:space="0" w:color="000000"/>
              <w:right w:val="single" w:sz="4" w:space="0" w:color="000000"/>
            </w:tcBorders>
            <w:shd w:val="clear" w:color="auto" w:fill="auto"/>
          </w:tcPr>
          <w:p w14:paraId="292A27C0"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w:t>
            </w:r>
          </w:p>
        </w:tc>
        <w:tc>
          <w:tcPr>
            <w:tcW w:w="3060" w:type="dxa"/>
            <w:tcBorders>
              <w:top w:val="nil"/>
              <w:left w:val="nil"/>
              <w:bottom w:val="single" w:sz="4" w:space="0" w:color="000000"/>
              <w:right w:val="single" w:sz="4" w:space="0" w:color="000000"/>
            </w:tcBorders>
            <w:shd w:val="clear" w:color="auto" w:fill="auto"/>
            <w:hideMark/>
          </w:tcPr>
          <w:p w14:paraId="5143AEB7"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Охрана окружающей среды Приморского края</w:t>
            </w:r>
          </w:p>
        </w:tc>
        <w:tc>
          <w:tcPr>
            <w:tcW w:w="1920" w:type="dxa"/>
            <w:tcBorders>
              <w:top w:val="nil"/>
              <w:left w:val="nil"/>
              <w:bottom w:val="single" w:sz="4" w:space="0" w:color="000000"/>
              <w:right w:val="single" w:sz="4" w:space="0" w:color="000000"/>
            </w:tcBorders>
            <w:shd w:val="clear" w:color="auto" w:fill="auto"/>
            <w:hideMark/>
          </w:tcPr>
          <w:p w14:paraId="2C9284A3"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393,24</w:t>
            </w:r>
          </w:p>
        </w:tc>
        <w:tc>
          <w:tcPr>
            <w:tcW w:w="1920" w:type="dxa"/>
            <w:tcBorders>
              <w:top w:val="nil"/>
              <w:left w:val="nil"/>
              <w:bottom w:val="single" w:sz="4" w:space="0" w:color="000000"/>
              <w:right w:val="single" w:sz="4" w:space="0" w:color="000000"/>
            </w:tcBorders>
            <w:shd w:val="clear" w:color="auto" w:fill="auto"/>
            <w:hideMark/>
          </w:tcPr>
          <w:p w14:paraId="0BF7391C"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302,27</w:t>
            </w:r>
          </w:p>
        </w:tc>
        <w:tc>
          <w:tcPr>
            <w:tcW w:w="1800" w:type="dxa"/>
            <w:tcBorders>
              <w:top w:val="nil"/>
              <w:left w:val="nil"/>
              <w:bottom w:val="single" w:sz="4" w:space="0" w:color="000000"/>
              <w:right w:val="single" w:sz="4" w:space="0" w:color="000000"/>
            </w:tcBorders>
            <w:shd w:val="clear" w:color="auto" w:fill="auto"/>
            <w:hideMark/>
          </w:tcPr>
          <w:p w14:paraId="26569D1F"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90,97</w:t>
            </w:r>
          </w:p>
        </w:tc>
      </w:tr>
      <w:tr w:rsidR="00E47AA9" w:rsidRPr="00E47AA9" w14:paraId="4EC9617C" w14:textId="77777777" w:rsidTr="00576D56">
        <w:trPr>
          <w:trHeight w:val="20"/>
        </w:trPr>
        <w:tc>
          <w:tcPr>
            <w:tcW w:w="560" w:type="dxa"/>
            <w:tcBorders>
              <w:top w:val="nil"/>
              <w:left w:val="single" w:sz="4" w:space="0" w:color="000000"/>
              <w:bottom w:val="single" w:sz="4" w:space="0" w:color="000000"/>
              <w:right w:val="single" w:sz="4" w:space="0" w:color="000000"/>
            </w:tcBorders>
            <w:shd w:val="clear" w:color="auto" w:fill="auto"/>
          </w:tcPr>
          <w:p w14:paraId="36EE2D9A"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w:t>
            </w:r>
          </w:p>
        </w:tc>
        <w:tc>
          <w:tcPr>
            <w:tcW w:w="3060" w:type="dxa"/>
            <w:tcBorders>
              <w:top w:val="nil"/>
              <w:left w:val="nil"/>
              <w:bottom w:val="single" w:sz="4" w:space="0" w:color="000000"/>
              <w:right w:val="single" w:sz="4" w:space="0" w:color="000000"/>
            </w:tcBorders>
            <w:shd w:val="clear" w:color="auto" w:fill="auto"/>
            <w:hideMark/>
          </w:tcPr>
          <w:p w14:paraId="6A584788"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физической культуры и спорта Приморского края</w:t>
            </w:r>
          </w:p>
        </w:tc>
        <w:tc>
          <w:tcPr>
            <w:tcW w:w="1920" w:type="dxa"/>
            <w:tcBorders>
              <w:top w:val="nil"/>
              <w:left w:val="nil"/>
              <w:bottom w:val="single" w:sz="4" w:space="0" w:color="000000"/>
              <w:right w:val="single" w:sz="4" w:space="0" w:color="000000"/>
            </w:tcBorders>
            <w:shd w:val="clear" w:color="auto" w:fill="auto"/>
            <w:hideMark/>
          </w:tcPr>
          <w:p w14:paraId="57BD1D66"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2 137,96</w:t>
            </w:r>
          </w:p>
        </w:tc>
        <w:tc>
          <w:tcPr>
            <w:tcW w:w="1920" w:type="dxa"/>
            <w:tcBorders>
              <w:top w:val="nil"/>
              <w:left w:val="nil"/>
              <w:bottom w:val="single" w:sz="4" w:space="0" w:color="000000"/>
              <w:right w:val="single" w:sz="4" w:space="0" w:color="000000"/>
            </w:tcBorders>
            <w:shd w:val="clear" w:color="auto" w:fill="auto"/>
            <w:hideMark/>
          </w:tcPr>
          <w:p w14:paraId="0D1DA89A"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1 864,55</w:t>
            </w:r>
          </w:p>
        </w:tc>
        <w:tc>
          <w:tcPr>
            <w:tcW w:w="1800" w:type="dxa"/>
            <w:tcBorders>
              <w:top w:val="nil"/>
              <w:left w:val="nil"/>
              <w:bottom w:val="single" w:sz="4" w:space="0" w:color="000000"/>
              <w:right w:val="single" w:sz="4" w:space="0" w:color="000000"/>
            </w:tcBorders>
            <w:shd w:val="clear" w:color="auto" w:fill="auto"/>
            <w:hideMark/>
          </w:tcPr>
          <w:p w14:paraId="45D9C78E"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273,41</w:t>
            </w:r>
          </w:p>
        </w:tc>
      </w:tr>
      <w:tr w:rsidR="00E47AA9" w:rsidRPr="00E47AA9" w14:paraId="04629858" w14:textId="77777777" w:rsidTr="00576D56">
        <w:trPr>
          <w:trHeight w:val="20"/>
        </w:trPr>
        <w:tc>
          <w:tcPr>
            <w:tcW w:w="560" w:type="dxa"/>
            <w:tcBorders>
              <w:top w:val="nil"/>
              <w:left w:val="single" w:sz="4" w:space="0" w:color="000000"/>
              <w:bottom w:val="single" w:sz="4" w:space="0" w:color="000000"/>
              <w:right w:val="single" w:sz="4" w:space="0" w:color="000000"/>
            </w:tcBorders>
            <w:shd w:val="clear" w:color="auto" w:fill="auto"/>
          </w:tcPr>
          <w:p w14:paraId="1EADB627"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w:t>
            </w:r>
          </w:p>
        </w:tc>
        <w:tc>
          <w:tcPr>
            <w:tcW w:w="3060" w:type="dxa"/>
            <w:tcBorders>
              <w:top w:val="nil"/>
              <w:left w:val="nil"/>
              <w:bottom w:val="single" w:sz="4" w:space="0" w:color="000000"/>
              <w:right w:val="single" w:sz="4" w:space="0" w:color="000000"/>
            </w:tcBorders>
            <w:shd w:val="clear" w:color="auto" w:fill="auto"/>
            <w:hideMark/>
          </w:tcPr>
          <w:p w14:paraId="0931C36C"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туризма в Приморском крае</w:t>
            </w:r>
          </w:p>
        </w:tc>
        <w:tc>
          <w:tcPr>
            <w:tcW w:w="1920" w:type="dxa"/>
            <w:tcBorders>
              <w:top w:val="nil"/>
              <w:left w:val="nil"/>
              <w:bottom w:val="single" w:sz="4" w:space="0" w:color="000000"/>
              <w:right w:val="single" w:sz="4" w:space="0" w:color="000000"/>
            </w:tcBorders>
            <w:shd w:val="clear" w:color="auto" w:fill="auto"/>
            <w:hideMark/>
          </w:tcPr>
          <w:p w14:paraId="5522C420"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55,16</w:t>
            </w:r>
          </w:p>
        </w:tc>
        <w:tc>
          <w:tcPr>
            <w:tcW w:w="1920" w:type="dxa"/>
            <w:tcBorders>
              <w:top w:val="nil"/>
              <w:left w:val="nil"/>
              <w:bottom w:val="single" w:sz="4" w:space="0" w:color="000000"/>
              <w:right w:val="single" w:sz="4" w:space="0" w:color="000000"/>
            </w:tcBorders>
            <w:shd w:val="clear" w:color="auto" w:fill="auto"/>
            <w:hideMark/>
          </w:tcPr>
          <w:p w14:paraId="31CADAD0"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55,16</w:t>
            </w:r>
          </w:p>
        </w:tc>
        <w:tc>
          <w:tcPr>
            <w:tcW w:w="1800" w:type="dxa"/>
            <w:tcBorders>
              <w:top w:val="nil"/>
              <w:left w:val="nil"/>
              <w:bottom w:val="single" w:sz="4" w:space="0" w:color="000000"/>
              <w:right w:val="single" w:sz="4" w:space="0" w:color="000000"/>
            </w:tcBorders>
            <w:shd w:val="clear" w:color="auto" w:fill="auto"/>
            <w:hideMark/>
          </w:tcPr>
          <w:p w14:paraId="4E393993"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E47AA9" w:rsidRPr="00E47AA9" w14:paraId="200118A1" w14:textId="77777777" w:rsidTr="00576D56">
        <w:trPr>
          <w:trHeight w:val="20"/>
        </w:trPr>
        <w:tc>
          <w:tcPr>
            <w:tcW w:w="560" w:type="dxa"/>
            <w:tcBorders>
              <w:top w:val="nil"/>
              <w:left w:val="single" w:sz="4" w:space="0" w:color="000000"/>
              <w:bottom w:val="single" w:sz="4" w:space="0" w:color="000000"/>
              <w:right w:val="single" w:sz="4" w:space="0" w:color="000000"/>
            </w:tcBorders>
            <w:shd w:val="clear" w:color="auto" w:fill="auto"/>
          </w:tcPr>
          <w:p w14:paraId="557B1693"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w:t>
            </w:r>
          </w:p>
        </w:tc>
        <w:tc>
          <w:tcPr>
            <w:tcW w:w="3060" w:type="dxa"/>
            <w:tcBorders>
              <w:top w:val="nil"/>
              <w:left w:val="nil"/>
              <w:bottom w:val="single" w:sz="4" w:space="0" w:color="000000"/>
              <w:right w:val="single" w:sz="4" w:space="0" w:color="000000"/>
            </w:tcBorders>
            <w:shd w:val="clear" w:color="auto" w:fill="auto"/>
            <w:hideMark/>
          </w:tcPr>
          <w:p w14:paraId="6E1DDE7D"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Развитие транспортного комплекса Приморского края</w:t>
            </w:r>
          </w:p>
        </w:tc>
        <w:tc>
          <w:tcPr>
            <w:tcW w:w="1920" w:type="dxa"/>
            <w:tcBorders>
              <w:top w:val="nil"/>
              <w:left w:val="nil"/>
              <w:bottom w:val="single" w:sz="4" w:space="0" w:color="000000"/>
              <w:right w:val="single" w:sz="4" w:space="0" w:color="000000"/>
            </w:tcBorders>
            <w:shd w:val="clear" w:color="auto" w:fill="auto"/>
            <w:hideMark/>
          </w:tcPr>
          <w:p w14:paraId="0AED607E"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3 415,72</w:t>
            </w:r>
          </w:p>
        </w:tc>
        <w:tc>
          <w:tcPr>
            <w:tcW w:w="1920" w:type="dxa"/>
            <w:tcBorders>
              <w:top w:val="nil"/>
              <w:left w:val="nil"/>
              <w:bottom w:val="single" w:sz="4" w:space="0" w:color="000000"/>
              <w:right w:val="single" w:sz="4" w:space="0" w:color="000000"/>
            </w:tcBorders>
            <w:shd w:val="clear" w:color="auto" w:fill="auto"/>
            <w:hideMark/>
          </w:tcPr>
          <w:p w14:paraId="4F9B77A5"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2 560,29</w:t>
            </w:r>
          </w:p>
        </w:tc>
        <w:tc>
          <w:tcPr>
            <w:tcW w:w="1800" w:type="dxa"/>
            <w:tcBorders>
              <w:top w:val="nil"/>
              <w:left w:val="nil"/>
              <w:bottom w:val="single" w:sz="4" w:space="0" w:color="000000"/>
              <w:right w:val="single" w:sz="4" w:space="0" w:color="000000"/>
            </w:tcBorders>
            <w:shd w:val="clear" w:color="auto" w:fill="auto"/>
            <w:hideMark/>
          </w:tcPr>
          <w:p w14:paraId="1A49E5C9"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855,43</w:t>
            </w:r>
          </w:p>
        </w:tc>
      </w:tr>
      <w:tr w:rsidR="00E47AA9" w:rsidRPr="00E47AA9" w14:paraId="389A3B35" w14:textId="77777777" w:rsidTr="00576D56">
        <w:trPr>
          <w:trHeight w:val="20"/>
        </w:trPr>
        <w:tc>
          <w:tcPr>
            <w:tcW w:w="560" w:type="dxa"/>
            <w:tcBorders>
              <w:top w:val="nil"/>
              <w:left w:val="single" w:sz="4" w:space="0" w:color="000000"/>
              <w:bottom w:val="single" w:sz="4" w:space="0" w:color="000000"/>
              <w:right w:val="single" w:sz="4" w:space="0" w:color="000000"/>
            </w:tcBorders>
            <w:shd w:val="clear" w:color="auto" w:fill="auto"/>
          </w:tcPr>
          <w:p w14:paraId="651A8C56"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w:t>
            </w:r>
          </w:p>
        </w:tc>
        <w:tc>
          <w:tcPr>
            <w:tcW w:w="3060" w:type="dxa"/>
            <w:tcBorders>
              <w:top w:val="nil"/>
              <w:left w:val="nil"/>
              <w:bottom w:val="single" w:sz="4" w:space="0" w:color="000000"/>
              <w:right w:val="single" w:sz="4" w:space="0" w:color="000000"/>
            </w:tcBorders>
            <w:shd w:val="clear" w:color="auto" w:fill="auto"/>
            <w:hideMark/>
          </w:tcPr>
          <w:p w14:paraId="4686B3C1"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Энергоэффективность, развитие газоснабжения и энергетики в Приморском крае</w:t>
            </w:r>
          </w:p>
        </w:tc>
        <w:tc>
          <w:tcPr>
            <w:tcW w:w="1920" w:type="dxa"/>
            <w:tcBorders>
              <w:top w:val="nil"/>
              <w:left w:val="nil"/>
              <w:bottom w:val="single" w:sz="4" w:space="0" w:color="000000"/>
              <w:right w:val="single" w:sz="4" w:space="0" w:color="000000"/>
            </w:tcBorders>
            <w:shd w:val="clear" w:color="auto" w:fill="auto"/>
            <w:hideMark/>
          </w:tcPr>
          <w:p w14:paraId="38AADE43"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660,20</w:t>
            </w:r>
          </w:p>
        </w:tc>
        <w:tc>
          <w:tcPr>
            <w:tcW w:w="1920" w:type="dxa"/>
            <w:tcBorders>
              <w:top w:val="nil"/>
              <w:left w:val="nil"/>
              <w:bottom w:val="single" w:sz="4" w:space="0" w:color="000000"/>
              <w:right w:val="single" w:sz="4" w:space="0" w:color="000000"/>
            </w:tcBorders>
            <w:shd w:val="clear" w:color="auto" w:fill="auto"/>
            <w:hideMark/>
          </w:tcPr>
          <w:p w14:paraId="0E1D8071"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643,23</w:t>
            </w:r>
          </w:p>
        </w:tc>
        <w:tc>
          <w:tcPr>
            <w:tcW w:w="1800" w:type="dxa"/>
            <w:tcBorders>
              <w:top w:val="nil"/>
              <w:left w:val="nil"/>
              <w:bottom w:val="single" w:sz="4" w:space="0" w:color="000000"/>
              <w:right w:val="single" w:sz="4" w:space="0" w:color="000000"/>
            </w:tcBorders>
            <w:shd w:val="clear" w:color="auto" w:fill="auto"/>
            <w:hideMark/>
          </w:tcPr>
          <w:p w14:paraId="1CD52933"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16,97</w:t>
            </w:r>
          </w:p>
        </w:tc>
      </w:tr>
      <w:tr w:rsidR="00E47AA9" w:rsidRPr="00E47AA9" w14:paraId="7809A994" w14:textId="77777777" w:rsidTr="00576D56">
        <w:trPr>
          <w:trHeight w:val="20"/>
        </w:trPr>
        <w:tc>
          <w:tcPr>
            <w:tcW w:w="560" w:type="dxa"/>
            <w:tcBorders>
              <w:top w:val="nil"/>
              <w:left w:val="single" w:sz="4" w:space="0" w:color="000000"/>
              <w:bottom w:val="single" w:sz="4" w:space="0" w:color="000000"/>
              <w:right w:val="single" w:sz="4" w:space="0" w:color="000000"/>
            </w:tcBorders>
            <w:shd w:val="clear" w:color="auto" w:fill="auto"/>
          </w:tcPr>
          <w:p w14:paraId="0FDE2424"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11</w:t>
            </w:r>
          </w:p>
        </w:tc>
        <w:tc>
          <w:tcPr>
            <w:tcW w:w="3060" w:type="dxa"/>
            <w:tcBorders>
              <w:top w:val="nil"/>
              <w:left w:val="nil"/>
              <w:bottom w:val="single" w:sz="4" w:space="0" w:color="000000"/>
              <w:right w:val="single" w:sz="4" w:space="0" w:color="000000"/>
            </w:tcBorders>
            <w:shd w:val="clear" w:color="auto" w:fill="auto"/>
            <w:hideMark/>
          </w:tcPr>
          <w:p w14:paraId="581D4248"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Развитие сельского хозяйства и регулирование рынков сельскохозяйственной </w:t>
            </w:r>
            <w:r w:rsidRPr="00E47AA9">
              <w:rPr>
                <w:rFonts w:ascii="Times New Roman" w:eastAsia="Times New Roman" w:hAnsi="Times New Roman" w:cs="Times New Roman"/>
                <w:sz w:val="20"/>
                <w:szCs w:val="20"/>
                <w:lang w:eastAsia="ru-RU"/>
              </w:rPr>
              <w:lastRenderedPageBreak/>
              <w:t>продукции, сырья и продовольствия</w:t>
            </w:r>
          </w:p>
        </w:tc>
        <w:tc>
          <w:tcPr>
            <w:tcW w:w="1920" w:type="dxa"/>
            <w:tcBorders>
              <w:top w:val="nil"/>
              <w:left w:val="nil"/>
              <w:bottom w:val="single" w:sz="4" w:space="0" w:color="000000"/>
              <w:right w:val="single" w:sz="4" w:space="0" w:color="000000"/>
            </w:tcBorders>
            <w:shd w:val="clear" w:color="auto" w:fill="auto"/>
            <w:hideMark/>
          </w:tcPr>
          <w:p w14:paraId="7584AFC0"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lastRenderedPageBreak/>
              <w:t>286,54</w:t>
            </w:r>
          </w:p>
        </w:tc>
        <w:tc>
          <w:tcPr>
            <w:tcW w:w="1920" w:type="dxa"/>
            <w:tcBorders>
              <w:top w:val="nil"/>
              <w:left w:val="nil"/>
              <w:bottom w:val="single" w:sz="4" w:space="0" w:color="000000"/>
              <w:right w:val="single" w:sz="4" w:space="0" w:color="000000"/>
            </w:tcBorders>
            <w:shd w:val="clear" w:color="auto" w:fill="auto"/>
            <w:hideMark/>
          </w:tcPr>
          <w:p w14:paraId="7E5752A8"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285,06</w:t>
            </w:r>
          </w:p>
        </w:tc>
        <w:tc>
          <w:tcPr>
            <w:tcW w:w="1800" w:type="dxa"/>
            <w:tcBorders>
              <w:top w:val="nil"/>
              <w:left w:val="nil"/>
              <w:bottom w:val="single" w:sz="4" w:space="0" w:color="000000"/>
              <w:right w:val="single" w:sz="4" w:space="0" w:color="000000"/>
            </w:tcBorders>
            <w:shd w:val="clear" w:color="auto" w:fill="auto"/>
            <w:hideMark/>
          </w:tcPr>
          <w:p w14:paraId="770AE53F"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1,48</w:t>
            </w:r>
          </w:p>
        </w:tc>
      </w:tr>
      <w:tr w:rsidR="00E47AA9" w:rsidRPr="00E47AA9" w14:paraId="258BB637" w14:textId="77777777" w:rsidTr="00576D56">
        <w:trPr>
          <w:trHeight w:val="20"/>
        </w:trPr>
        <w:tc>
          <w:tcPr>
            <w:tcW w:w="560" w:type="dxa"/>
            <w:tcBorders>
              <w:top w:val="nil"/>
              <w:left w:val="single" w:sz="4" w:space="0" w:color="000000"/>
              <w:bottom w:val="single" w:sz="4" w:space="0" w:color="000000"/>
              <w:right w:val="single" w:sz="4" w:space="0" w:color="000000"/>
            </w:tcBorders>
            <w:shd w:val="clear" w:color="auto" w:fill="auto"/>
          </w:tcPr>
          <w:p w14:paraId="25BB912C"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12</w:t>
            </w:r>
          </w:p>
        </w:tc>
        <w:tc>
          <w:tcPr>
            <w:tcW w:w="3060" w:type="dxa"/>
            <w:tcBorders>
              <w:top w:val="nil"/>
              <w:left w:val="nil"/>
              <w:bottom w:val="single" w:sz="4" w:space="0" w:color="000000"/>
              <w:right w:val="single" w:sz="4" w:space="0" w:color="000000"/>
            </w:tcBorders>
            <w:shd w:val="clear" w:color="auto" w:fill="auto"/>
            <w:hideMark/>
          </w:tcPr>
          <w:p w14:paraId="27BD08F2"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Экономическое развитие и инновационная экономика Приморского края</w:t>
            </w:r>
          </w:p>
        </w:tc>
        <w:tc>
          <w:tcPr>
            <w:tcW w:w="1920" w:type="dxa"/>
            <w:tcBorders>
              <w:top w:val="nil"/>
              <w:left w:val="nil"/>
              <w:bottom w:val="single" w:sz="4" w:space="0" w:color="000000"/>
              <w:right w:val="single" w:sz="4" w:space="0" w:color="000000"/>
            </w:tcBorders>
            <w:shd w:val="clear" w:color="auto" w:fill="auto"/>
            <w:hideMark/>
          </w:tcPr>
          <w:p w14:paraId="1A0CFC17"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1 883,75</w:t>
            </w:r>
          </w:p>
        </w:tc>
        <w:tc>
          <w:tcPr>
            <w:tcW w:w="1920" w:type="dxa"/>
            <w:tcBorders>
              <w:top w:val="nil"/>
              <w:left w:val="nil"/>
              <w:bottom w:val="single" w:sz="4" w:space="0" w:color="000000"/>
              <w:right w:val="single" w:sz="4" w:space="0" w:color="000000"/>
            </w:tcBorders>
            <w:shd w:val="clear" w:color="auto" w:fill="auto"/>
            <w:hideMark/>
          </w:tcPr>
          <w:p w14:paraId="7F2FBF77"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1 883,45</w:t>
            </w:r>
          </w:p>
        </w:tc>
        <w:tc>
          <w:tcPr>
            <w:tcW w:w="1800" w:type="dxa"/>
            <w:tcBorders>
              <w:top w:val="nil"/>
              <w:left w:val="nil"/>
              <w:bottom w:val="single" w:sz="4" w:space="0" w:color="000000"/>
              <w:right w:val="single" w:sz="4" w:space="0" w:color="000000"/>
            </w:tcBorders>
            <w:shd w:val="clear" w:color="auto" w:fill="auto"/>
            <w:hideMark/>
          </w:tcPr>
          <w:p w14:paraId="65D13283"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0,30</w:t>
            </w:r>
          </w:p>
        </w:tc>
      </w:tr>
      <w:tr w:rsidR="00E47AA9" w:rsidRPr="00E47AA9" w14:paraId="0AC06CAF" w14:textId="77777777" w:rsidTr="00576D56">
        <w:trPr>
          <w:trHeight w:val="20"/>
        </w:trPr>
        <w:tc>
          <w:tcPr>
            <w:tcW w:w="560" w:type="dxa"/>
            <w:tcBorders>
              <w:top w:val="nil"/>
              <w:left w:val="single" w:sz="4" w:space="0" w:color="000000"/>
              <w:bottom w:val="single" w:sz="4" w:space="0" w:color="000000"/>
              <w:right w:val="single" w:sz="4" w:space="0" w:color="000000"/>
            </w:tcBorders>
            <w:shd w:val="clear" w:color="auto" w:fill="auto"/>
          </w:tcPr>
          <w:p w14:paraId="7BDA21A9"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13</w:t>
            </w:r>
          </w:p>
        </w:tc>
        <w:tc>
          <w:tcPr>
            <w:tcW w:w="3060" w:type="dxa"/>
            <w:tcBorders>
              <w:top w:val="nil"/>
              <w:left w:val="nil"/>
              <w:bottom w:val="single" w:sz="4" w:space="0" w:color="000000"/>
              <w:right w:val="single" w:sz="4" w:space="0" w:color="000000"/>
            </w:tcBorders>
            <w:shd w:val="clear" w:color="auto" w:fill="auto"/>
            <w:hideMark/>
          </w:tcPr>
          <w:p w14:paraId="7A4A4DBF"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Безопасный край</w:t>
            </w:r>
          </w:p>
        </w:tc>
        <w:tc>
          <w:tcPr>
            <w:tcW w:w="1920" w:type="dxa"/>
            <w:tcBorders>
              <w:top w:val="nil"/>
              <w:left w:val="nil"/>
              <w:bottom w:val="single" w:sz="4" w:space="0" w:color="000000"/>
              <w:right w:val="single" w:sz="4" w:space="0" w:color="000000"/>
            </w:tcBorders>
            <w:shd w:val="clear" w:color="auto" w:fill="auto"/>
            <w:hideMark/>
          </w:tcPr>
          <w:p w14:paraId="0F95943F"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0,06</w:t>
            </w:r>
          </w:p>
        </w:tc>
        <w:tc>
          <w:tcPr>
            <w:tcW w:w="1920" w:type="dxa"/>
            <w:tcBorders>
              <w:top w:val="nil"/>
              <w:left w:val="nil"/>
              <w:bottom w:val="single" w:sz="4" w:space="0" w:color="000000"/>
              <w:right w:val="single" w:sz="4" w:space="0" w:color="000000"/>
            </w:tcBorders>
            <w:shd w:val="clear" w:color="auto" w:fill="auto"/>
            <w:noWrap/>
            <w:vAlign w:val="bottom"/>
            <w:hideMark/>
          </w:tcPr>
          <w:p w14:paraId="7864F21A"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0,06</w:t>
            </w:r>
          </w:p>
        </w:tc>
        <w:tc>
          <w:tcPr>
            <w:tcW w:w="1800" w:type="dxa"/>
            <w:tcBorders>
              <w:top w:val="nil"/>
              <w:left w:val="nil"/>
              <w:bottom w:val="single" w:sz="4" w:space="0" w:color="000000"/>
              <w:right w:val="single" w:sz="4" w:space="0" w:color="000000"/>
            </w:tcBorders>
            <w:shd w:val="clear" w:color="auto" w:fill="auto"/>
            <w:hideMark/>
          </w:tcPr>
          <w:p w14:paraId="53A8B8A5"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576D56" w:rsidRPr="00E47AA9" w14:paraId="341110A2" w14:textId="77777777" w:rsidTr="00576D56">
        <w:trPr>
          <w:trHeight w:val="20"/>
        </w:trPr>
        <w:tc>
          <w:tcPr>
            <w:tcW w:w="560" w:type="dxa"/>
            <w:tcBorders>
              <w:top w:val="nil"/>
              <w:left w:val="single" w:sz="4" w:space="0" w:color="000000"/>
              <w:bottom w:val="single" w:sz="4" w:space="0" w:color="000000"/>
              <w:right w:val="single" w:sz="4" w:space="0" w:color="000000"/>
            </w:tcBorders>
            <w:shd w:val="clear" w:color="auto" w:fill="auto"/>
          </w:tcPr>
          <w:p w14:paraId="131627C7" w14:textId="77777777" w:rsidR="00576D56" w:rsidRPr="00E47AA9" w:rsidRDefault="00576D56" w:rsidP="00576D56">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14</w:t>
            </w:r>
          </w:p>
        </w:tc>
        <w:tc>
          <w:tcPr>
            <w:tcW w:w="3060" w:type="dxa"/>
            <w:tcBorders>
              <w:top w:val="nil"/>
              <w:left w:val="nil"/>
              <w:bottom w:val="single" w:sz="4" w:space="0" w:color="000000"/>
              <w:right w:val="single" w:sz="4" w:space="0" w:color="000000"/>
            </w:tcBorders>
            <w:shd w:val="clear" w:color="auto" w:fill="auto"/>
            <w:hideMark/>
          </w:tcPr>
          <w:p w14:paraId="5400CB98" w14:textId="77777777" w:rsidR="00576D56" w:rsidRPr="00E47AA9" w:rsidRDefault="00576D56" w:rsidP="00576D56">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Формирование современной городской среды муниципальных образований Приморского края</w:t>
            </w:r>
          </w:p>
        </w:tc>
        <w:tc>
          <w:tcPr>
            <w:tcW w:w="1920" w:type="dxa"/>
            <w:tcBorders>
              <w:top w:val="nil"/>
              <w:left w:val="nil"/>
              <w:bottom w:val="single" w:sz="4" w:space="0" w:color="000000"/>
              <w:right w:val="single" w:sz="4" w:space="0" w:color="000000"/>
            </w:tcBorders>
            <w:shd w:val="clear" w:color="auto" w:fill="auto"/>
            <w:hideMark/>
          </w:tcPr>
          <w:p w14:paraId="3D8F58F1"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472,17</w:t>
            </w:r>
          </w:p>
        </w:tc>
        <w:tc>
          <w:tcPr>
            <w:tcW w:w="1920" w:type="dxa"/>
            <w:tcBorders>
              <w:top w:val="nil"/>
              <w:left w:val="nil"/>
              <w:bottom w:val="single" w:sz="4" w:space="0" w:color="000000"/>
              <w:right w:val="single" w:sz="4" w:space="0" w:color="000000"/>
            </w:tcBorders>
            <w:shd w:val="clear" w:color="auto" w:fill="auto"/>
            <w:hideMark/>
          </w:tcPr>
          <w:p w14:paraId="3F53DD68"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472,17</w:t>
            </w:r>
          </w:p>
        </w:tc>
        <w:tc>
          <w:tcPr>
            <w:tcW w:w="1800" w:type="dxa"/>
            <w:tcBorders>
              <w:top w:val="nil"/>
              <w:left w:val="nil"/>
              <w:bottom w:val="single" w:sz="4" w:space="0" w:color="000000"/>
              <w:right w:val="single" w:sz="4" w:space="0" w:color="000000"/>
            </w:tcBorders>
            <w:shd w:val="clear" w:color="auto" w:fill="auto"/>
            <w:hideMark/>
          </w:tcPr>
          <w:p w14:paraId="0F61C00B" w14:textId="77777777" w:rsidR="00576D56" w:rsidRPr="00E47AA9" w:rsidRDefault="00576D56" w:rsidP="00576D56">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bl>
    <w:p w14:paraId="0DB7D7E5" w14:textId="77777777"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rPr>
      </w:pPr>
    </w:p>
    <w:p w14:paraId="60E212C7" w14:textId="77777777"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b/>
          <w:sz w:val="28"/>
          <w:szCs w:val="28"/>
        </w:rPr>
        <w:t>4.</w:t>
      </w:r>
      <w:r w:rsidRPr="00E47AA9">
        <w:rPr>
          <w:rFonts w:ascii="Times New Roman" w:eastAsia="Times New Roman" w:hAnsi="Times New Roman" w:cs="Times New Roman"/>
          <w:sz w:val="28"/>
          <w:szCs w:val="28"/>
        </w:rPr>
        <w:t xml:space="preserve"> По итогам 2024 года общий объем неиспользованных бюджетных ассигнований составил 8689,58 млн рублей, из них в основном (94,63 %) по программным расходам – 8222,71 млн рублей. </w:t>
      </w:r>
    </w:p>
    <w:p w14:paraId="5BF74B09" w14:textId="77777777" w:rsidR="00576D56" w:rsidRPr="00E47AA9" w:rsidRDefault="00576D56" w:rsidP="00576D56">
      <w:pPr>
        <w:tabs>
          <w:tab w:val="left" w:pos="851"/>
        </w:tabs>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Наибольший объем неисполненных бюджетных ассигнований сложился по следующим ГП:</w:t>
      </w:r>
    </w:p>
    <w:p w14:paraId="390683F1" w14:textId="77777777"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rPr>
        <w:t xml:space="preserve">"Обеспечение доступным жильем и качественными услугами жилищно-коммунального хозяйства населения Приморского края" </w:t>
      </w:r>
      <w:r w:rsidRPr="00E47AA9">
        <w:rPr>
          <w:rFonts w:ascii="Times New Roman" w:eastAsia="Times New Roman" w:hAnsi="Times New Roman" w:cs="Times New Roman"/>
          <w:sz w:val="28"/>
          <w:szCs w:val="28"/>
          <w:lang w:eastAsia="ru-RU"/>
        </w:rPr>
        <w:t>– 2393,96 млн рублей, или доля 27,55 %</w:t>
      </w:r>
      <w:r w:rsidRPr="00E47AA9">
        <w:rPr>
          <w:rFonts w:ascii="Times New Roman" w:eastAsia="Times New Roman" w:hAnsi="Times New Roman" w:cs="Times New Roman"/>
          <w:sz w:val="28"/>
          <w:szCs w:val="28"/>
        </w:rPr>
        <w:t xml:space="preserve"> (в 2023 году – </w:t>
      </w:r>
      <w:r w:rsidRPr="00E47AA9">
        <w:rPr>
          <w:rFonts w:ascii="Times New Roman" w:eastAsia="Times New Roman" w:hAnsi="Times New Roman" w:cs="Times New Roman"/>
          <w:sz w:val="28"/>
          <w:szCs w:val="28"/>
          <w:lang w:eastAsia="ru-RU"/>
        </w:rPr>
        <w:t>1144,17 млн рублей, или доля 16,84 %</w:t>
      </w:r>
      <w:r w:rsidRPr="00E47AA9">
        <w:rPr>
          <w:rFonts w:ascii="Times New Roman" w:eastAsia="Times New Roman" w:hAnsi="Times New Roman" w:cs="Times New Roman"/>
          <w:sz w:val="28"/>
          <w:szCs w:val="28"/>
        </w:rPr>
        <w:t>);</w:t>
      </w:r>
    </w:p>
    <w:p w14:paraId="4A008F10" w14:textId="77777777"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"Развитие транспортного комплекса Приморского края" в сумме 2184,95 млн рублей, доля которого составила 25,14 % (в 2023 году – 1280,22 млн рублей, доля которого составила 18,85 % доля </w:t>
      </w:r>
      <w:r w:rsidRPr="00E47AA9">
        <w:rPr>
          <w:rFonts w:ascii="Times New Roman" w:eastAsia="Times New Roman" w:hAnsi="Times New Roman" w:cs="Times New Roman"/>
          <w:sz w:val="28"/>
          <w:szCs w:val="28"/>
        </w:rPr>
        <w:t>в общем объеме неисполненных расходов</w:t>
      </w:r>
      <w:r w:rsidRPr="00E47AA9">
        <w:rPr>
          <w:rFonts w:ascii="Times New Roman" w:eastAsia="Times New Roman" w:hAnsi="Times New Roman" w:cs="Times New Roman"/>
          <w:sz w:val="28"/>
          <w:szCs w:val="28"/>
          <w:lang w:eastAsia="ru-RU"/>
        </w:rPr>
        <w:t>);</w:t>
      </w:r>
    </w:p>
    <w:p w14:paraId="127D42D7" w14:textId="71C3AF35"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"Развитие образования Приморского края" – 1279,9</w:t>
      </w:r>
      <w:r w:rsidR="0082705A" w:rsidRPr="00E47AA9">
        <w:rPr>
          <w:rFonts w:ascii="Times New Roman" w:eastAsia="Times New Roman" w:hAnsi="Times New Roman" w:cs="Times New Roman"/>
          <w:sz w:val="28"/>
          <w:szCs w:val="28"/>
        </w:rPr>
        <w:t>1</w:t>
      </w:r>
      <w:r w:rsidRPr="00E47AA9">
        <w:rPr>
          <w:rFonts w:ascii="Times New Roman" w:eastAsia="Times New Roman" w:hAnsi="Times New Roman" w:cs="Times New Roman"/>
          <w:sz w:val="28"/>
          <w:szCs w:val="28"/>
        </w:rPr>
        <w:t xml:space="preserve"> млн рублей, или доля 14,73 % (в 2023 году – 1141,82 млн рублей, или доля 16,81 %);</w:t>
      </w:r>
    </w:p>
    <w:p w14:paraId="6A79E667" w14:textId="77777777"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"Развитие здравоохранения Приморского края" – 1029,41 млн рублей, или доля 11,85 % (в 2023 году – 254,60 млн рублей, или доля 3,75 %).</w:t>
      </w:r>
    </w:p>
    <w:p w14:paraId="6188F560" w14:textId="77777777" w:rsidR="00576D56" w:rsidRPr="00E47AA9" w:rsidRDefault="00576D56" w:rsidP="00576D56">
      <w:pPr>
        <w:tabs>
          <w:tab w:val="left" w:pos="851"/>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rPr>
        <w:t xml:space="preserve">Более подробно о реализации программных мероприятий изложено далее по тексту </w:t>
      </w:r>
      <w:r w:rsidR="00E632C7" w:rsidRPr="00E47AA9">
        <w:rPr>
          <w:rFonts w:ascii="Times New Roman" w:eastAsia="Times New Roman" w:hAnsi="Times New Roman" w:cs="Times New Roman"/>
          <w:sz w:val="28"/>
          <w:szCs w:val="28"/>
        </w:rPr>
        <w:t>з</w:t>
      </w:r>
      <w:r w:rsidRPr="00E47AA9">
        <w:rPr>
          <w:rFonts w:ascii="Times New Roman" w:eastAsia="Times New Roman" w:hAnsi="Times New Roman" w:cs="Times New Roman"/>
          <w:sz w:val="28"/>
          <w:szCs w:val="28"/>
        </w:rPr>
        <w:t>аключения с указанием соответствующих подпрограмм в соответствии с паспортами ГП.</w:t>
      </w:r>
    </w:p>
    <w:p w14:paraId="5E3A5CA8" w14:textId="77777777" w:rsidR="00912B9F" w:rsidRPr="00E47AA9" w:rsidRDefault="00912B9F" w:rsidP="00FD476E">
      <w:pPr>
        <w:spacing w:after="0" w:line="240" w:lineRule="auto"/>
        <w:jc w:val="center"/>
        <w:rPr>
          <w:rFonts w:ascii="Times New Roman" w:eastAsia="Times New Roman" w:hAnsi="Times New Roman" w:cs="Times New Roman"/>
          <w:b/>
          <w:sz w:val="28"/>
          <w:szCs w:val="28"/>
        </w:rPr>
      </w:pPr>
      <w:r w:rsidRPr="00E47AA9">
        <w:rPr>
          <w:rFonts w:ascii="Times New Roman" w:eastAsia="Times New Roman" w:hAnsi="Times New Roman" w:cs="Times New Roman"/>
          <w:b/>
          <w:noProof/>
          <w:sz w:val="28"/>
          <w:szCs w:val="28"/>
          <w:lang w:eastAsia="ru-RU"/>
        </w:rPr>
        <w:drawing>
          <wp:anchor distT="0" distB="0" distL="114300" distR="114300" simplePos="0" relativeHeight="251670528" behindDoc="0" locked="0" layoutInCell="1" allowOverlap="0" wp14:anchorId="3EA37AFA" wp14:editId="54FBA478">
            <wp:simplePos x="0" y="0"/>
            <wp:positionH relativeFrom="column">
              <wp:posOffset>-133564</wp:posOffset>
            </wp:positionH>
            <wp:positionV relativeFrom="paragraph">
              <wp:posOffset>50165</wp:posOffset>
            </wp:positionV>
            <wp:extent cx="1508760" cy="1156970"/>
            <wp:effectExtent l="0" t="0" r="0" b="5080"/>
            <wp:wrapSquare wrapText="bothSides"/>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08760" cy="1156970"/>
                    </a:xfrm>
                    <a:prstGeom prst="rect">
                      <a:avLst/>
                    </a:prstGeom>
                    <a:noFill/>
                  </pic:spPr>
                </pic:pic>
              </a:graphicData>
            </a:graphic>
            <wp14:sizeRelH relativeFrom="margin">
              <wp14:pctWidth>0</wp14:pctWidth>
            </wp14:sizeRelH>
            <wp14:sizeRelV relativeFrom="margin">
              <wp14:pctHeight>0</wp14:pctHeight>
            </wp14:sizeRelV>
          </wp:anchor>
        </w:drawing>
      </w:r>
      <w:r w:rsidRPr="00E47AA9">
        <w:rPr>
          <w:rFonts w:ascii="Times New Roman" w:eastAsia="Times New Roman" w:hAnsi="Times New Roman" w:cs="Times New Roman"/>
          <w:b/>
          <w:sz w:val="28"/>
          <w:szCs w:val="28"/>
        </w:rPr>
        <w:t>5.2.1. Государственная программа Приморского края "Развитие здравоохранения Приморского края"</w:t>
      </w:r>
    </w:p>
    <w:p w14:paraId="000191BF" w14:textId="77777777" w:rsidR="00912B9F" w:rsidRPr="00E47AA9" w:rsidRDefault="00912B9F" w:rsidP="00912B9F">
      <w:pPr>
        <w:spacing w:after="0" w:line="240" w:lineRule="auto"/>
        <w:ind w:firstLine="708"/>
        <w:jc w:val="both"/>
        <w:rPr>
          <w:rFonts w:ascii="Times New Roman" w:hAnsi="Times New Roman" w:cs="Times New Roman"/>
          <w:sz w:val="28"/>
          <w:szCs w:val="28"/>
        </w:rPr>
      </w:pPr>
      <w:r w:rsidRPr="00E47AA9">
        <w:rPr>
          <w:rFonts w:ascii="Times New Roman" w:eastAsia="Times New Roman" w:hAnsi="Times New Roman" w:cs="Times New Roman"/>
          <w:sz w:val="28"/>
          <w:szCs w:val="28"/>
        </w:rPr>
        <w:t>Уточненные бюджетные назначения на реализацию ГП в 2024 году (37088,42 млн рублей) исполнены на 97,22 %, или 36059,01 млн рублей (в том числе за счет средств федерального бюджета – 3137,31 млн рублей, краевого бюджета – 32921,70 млн рублей).</w:t>
      </w:r>
      <w:r w:rsidRPr="00E47AA9">
        <w:rPr>
          <w:rFonts w:ascii="Times New Roman" w:hAnsi="Times New Roman" w:cs="Times New Roman"/>
          <w:sz w:val="28"/>
          <w:szCs w:val="28"/>
        </w:rPr>
        <w:t xml:space="preserve"> </w:t>
      </w:r>
    </w:p>
    <w:p w14:paraId="5740F166"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rPr>
      </w:pPr>
      <w:r w:rsidRPr="00E47AA9">
        <w:rPr>
          <w:rFonts w:ascii="Times New Roman" w:hAnsi="Times New Roman" w:cs="Times New Roman"/>
          <w:sz w:val="28"/>
          <w:szCs w:val="28"/>
        </w:rPr>
        <w:t>Согласно паспорту ГП о</w:t>
      </w:r>
      <w:r w:rsidRPr="00E47AA9">
        <w:rPr>
          <w:rFonts w:ascii="Times New Roman" w:eastAsia="Times New Roman" w:hAnsi="Times New Roman" w:cs="Times New Roman"/>
          <w:sz w:val="28"/>
          <w:szCs w:val="28"/>
        </w:rPr>
        <w:t xml:space="preserve">тветственный исполнитель государственной программы </w:t>
      </w:r>
      <w:r w:rsidR="00816CA3"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министерство здравоохранения Приморского края, соисполнители </w:t>
      </w:r>
      <w:r w:rsidR="00816CA3"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Территориальный фонд обязательного медицинского страхования Приморского края, министерство строительства Приморского края.</w:t>
      </w:r>
    </w:p>
    <w:p w14:paraId="7179CBEA" w14:textId="77777777" w:rsidR="00912B9F" w:rsidRPr="00E47AA9" w:rsidRDefault="00912B9F" w:rsidP="00912B9F">
      <w:pPr>
        <w:spacing w:after="0" w:line="240" w:lineRule="auto"/>
        <w:ind w:firstLine="708"/>
        <w:jc w:val="both"/>
        <w:rPr>
          <w:rFonts w:ascii="Times New Roman" w:eastAsia="Times New Roman" w:hAnsi="Times New Roman" w:cs="Times New Roman"/>
        </w:rPr>
      </w:pPr>
      <w:r w:rsidRPr="00E47AA9">
        <w:rPr>
          <w:rFonts w:ascii="Times New Roman" w:eastAsia="Times New Roman" w:hAnsi="Times New Roman" w:cs="Times New Roman"/>
          <w:sz w:val="28"/>
          <w:szCs w:val="28"/>
          <w:lang w:eastAsia="ru-RU"/>
        </w:rPr>
        <w:lastRenderedPageBreak/>
        <w:t>В краевом бюджете в соответствии с ведомственной структурой расходы на реализацию ГП в 2024 году осуществляли два главных распорядителя бюджетных средств (и</w:t>
      </w:r>
      <w:r w:rsidRPr="00E47AA9">
        <w:rPr>
          <w:rFonts w:ascii="Times New Roman" w:eastAsia="Times New Roman" w:hAnsi="Times New Roman" w:cs="Times New Roman"/>
          <w:sz w:val="28"/>
          <w:szCs w:val="28"/>
        </w:rPr>
        <w:t>сполнение расходов приведено в таблице).</w:t>
      </w:r>
    </w:p>
    <w:tbl>
      <w:tblPr>
        <w:tblW w:w="9640" w:type="dxa"/>
        <w:tblInd w:w="-34" w:type="dxa"/>
        <w:tblLayout w:type="fixed"/>
        <w:tblLook w:val="04A0" w:firstRow="1" w:lastRow="0" w:firstColumn="1" w:lastColumn="0" w:noHBand="0" w:noVBand="1"/>
      </w:tblPr>
      <w:tblGrid>
        <w:gridCol w:w="546"/>
        <w:gridCol w:w="3282"/>
        <w:gridCol w:w="1559"/>
        <w:gridCol w:w="1134"/>
        <w:gridCol w:w="851"/>
        <w:gridCol w:w="850"/>
        <w:gridCol w:w="1418"/>
      </w:tblGrid>
      <w:tr w:rsidR="00E47AA9" w:rsidRPr="00E47AA9" w14:paraId="0DC3AA7D" w14:textId="77777777" w:rsidTr="00845A54">
        <w:trPr>
          <w:trHeight w:val="189"/>
          <w:tblHeader/>
        </w:trPr>
        <w:tc>
          <w:tcPr>
            <w:tcW w:w="546" w:type="dxa"/>
            <w:tcBorders>
              <w:bottom w:val="single" w:sz="4" w:space="0" w:color="auto"/>
            </w:tcBorders>
            <w:shd w:val="clear" w:color="auto" w:fill="auto"/>
            <w:textDirection w:val="btLr"/>
            <w:vAlign w:val="center"/>
          </w:tcPr>
          <w:p w14:paraId="6890D35B" w14:textId="77777777" w:rsidR="00912B9F" w:rsidRPr="00E47AA9" w:rsidRDefault="00912B9F" w:rsidP="00845A54">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rPr>
              <w:tab/>
            </w:r>
          </w:p>
        </w:tc>
        <w:tc>
          <w:tcPr>
            <w:tcW w:w="3282" w:type="dxa"/>
            <w:tcBorders>
              <w:bottom w:val="single" w:sz="4" w:space="0" w:color="auto"/>
            </w:tcBorders>
            <w:shd w:val="clear" w:color="auto" w:fill="auto"/>
            <w:vAlign w:val="center"/>
          </w:tcPr>
          <w:p w14:paraId="170933EF" w14:textId="77777777" w:rsidR="00912B9F" w:rsidRPr="00E47AA9" w:rsidRDefault="00912B9F" w:rsidP="00845A54">
            <w:pPr>
              <w:spacing w:after="0" w:line="240" w:lineRule="auto"/>
              <w:jc w:val="center"/>
              <w:rPr>
                <w:rFonts w:ascii="Times New Roman" w:eastAsia="Times New Roman" w:hAnsi="Times New Roman" w:cs="Times New Roman"/>
                <w:sz w:val="24"/>
                <w:szCs w:val="24"/>
                <w:lang w:eastAsia="ru-RU"/>
              </w:rPr>
            </w:pPr>
          </w:p>
        </w:tc>
        <w:tc>
          <w:tcPr>
            <w:tcW w:w="1559" w:type="dxa"/>
            <w:tcBorders>
              <w:bottom w:val="single" w:sz="4" w:space="0" w:color="auto"/>
            </w:tcBorders>
            <w:shd w:val="clear" w:color="auto" w:fill="auto"/>
            <w:vAlign w:val="center"/>
          </w:tcPr>
          <w:p w14:paraId="571A248D" w14:textId="77777777" w:rsidR="00912B9F" w:rsidRPr="00E47AA9" w:rsidRDefault="00912B9F" w:rsidP="00845A54">
            <w:pPr>
              <w:spacing w:after="0" w:line="240" w:lineRule="auto"/>
              <w:jc w:val="center"/>
              <w:rPr>
                <w:rFonts w:ascii="Times New Roman" w:eastAsia="Times New Roman" w:hAnsi="Times New Roman" w:cs="Times New Roman"/>
                <w:sz w:val="24"/>
                <w:szCs w:val="24"/>
                <w:lang w:eastAsia="ru-RU"/>
              </w:rPr>
            </w:pPr>
          </w:p>
        </w:tc>
        <w:tc>
          <w:tcPr>
            <w:tcW w:w="4253" w:type="dxa"/>
            <w:gridSpan w:val="4"/>
            <w:tcBorders>
              <w:bottom w:val="single" w:sz="4" w:space="0" w:color="auto"/>
            </w:tcBorders>
            <w:shd w:val="clear" w:color="auto" w:fill="auto"/>
            <w:vAlign w:val="center"/>
          </w:tcPr>
          <w:p w14:paraId="20F90F10" w14:textId="77777777" w:rsidR="00912B9F" w:rsidRPr="00E47AA9" w:rsidRDefault="00912B9F"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sz w:val="24"/>
              </w:rPr>
              <w:t>(млн рублей)</w:t>
            </w:r>
          </w:p>
        </w:tc>
      </w:tr>
      <w:tr w:rsidR="00E47AA9" w:rsidRPr="00E47AA9" w14:paraId="7BF2BD7C" w14:textId="77777777" w:rsidTr="00845A54">
        <w:trPr>
          <w:trHeight w:val="359"/>
          <w:tblHeader/>
        </w:trPr>
        <w:tc>
          <w:tcPr>
            <w:tcW w:w="546"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6703070" w14:textId="77777777" w:rsidR="00912B9F" w:rsidRPr="00E47AA9" w:rsidRDefault="00912B9F" w:rsidP="00845A54">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Ведомство</w:t>
            </w:r>
          </w:p>
        </w:tc>
        <w:tc>
          <w:tcPr>
            <w:tcW w:w="32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FF06EA" w14:textId="77777777" w:rsidR="00912B9F" w:rsidRPr="00E47AA9" w:rsidRDefault="00912B9F" w:rsidP="00845A54">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Наименование показателя</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B90AC3" w14:textId="77777777" w:rsidR="00912B9F" w:rsidRPr="00E47AA9" w:rsidRDefault="00912B9F"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Уточненные бюджетные назначения </w:t>
            </w:r>
          </w:p>
          <w:p w14:paraId="17DEA6D2" w14:textId="77777777" w:rsidR="00912B9F" w:rsidRPr="00E47AA9" w:rsidRDefault="00912B9F" w:rsidP="00845A54">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на 2024 год</w:t>
            </w:r>
          </w:p>
        </w:tc>
        <w:tc>
          <w:tcPr>
            <w:tcW w:w="2835" w:type="dxa"/>
            <w:gridSpan w:val="3"/>
            <w:tcBorders>
              <w:top w:val="single" w:sz="4" w:space="0" w:color="auto"/>
              <w:left w:val="nil"/>
              <w:bottom w:val="single" w:sz="4" w:space="0" w:color="auto"/>
              <w:right w:val="single" w:sz="4" w:space="0" w:color="auto"/>
            </w:tcBorders>
            <w:shd w:val="clear" w:color="auto" w:fill="auto"/>
            <w:vAlign w:val="center"/>
            <w:hideMark/>
          </w:tcPr>
          <w:p w14:paraId="53B280CF" w14:textId="77777777" w:rsidR="00912B9F" w:rsidRPr="00E47AA9" w:rsidRDefault="00912B9F" w:rsidP="00845A54">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Исполнено за 2024 год</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0459B9" w14:textId="77777777" w:rsidR="00912B9F" w:rsidRPr="00E47AA9" w:rsidRDefault="00912B9F" w:rsidP="00845A54">
            <w:pPr>
              <w:spacing w:after="0" w:line="240" w:lineRule="auto"/>
              <w:jc w:val="center"/>
              <w:rPr>
                <w:rFonts w:ascii="Times New Roman" w:eastAsia="Times New Roman" w:hAnsi="Times New Roman" w:cs="Times New Roman"/>
                <w:sz w:val="24"/>
                <w:szCs w:val="24"/>
                <w:lang w:eastAsia="ru-RU"/>
              </w:rPr>
            </w:pPr>
            <w:proofErr w:type="spellStart"/>
            <w:proofErr w:type="gramStart"/>
            <w:r w:rsidRPr="00E47AA9">
              <w:rPr>
                <w:rFonts w:ascii="Times New Roman" w:eastAsia="Times New Roman" w:hAnsi="Times New Roman" w:cs="Times New Roman"/>
                <w:lang w:eastAsia="ru-RU"/>
              </w:rPr>
              <w:t>Неиспол-ненные</w:t>
            </w:r>
            <w:proofErr w:type="spellEnd"/>
            <w:proofErr w:type="gramEnd"/>
            <w:r w:rsidRPr="00E47AA9">
              <w:rPr>
                <w:rFonts w:ascii="Times New Roman" w:eastAsia="Times New Roman" w:hAnsi="Times New Roman" w:cs="Times New Roman"/>
                <w:lang w:eastAsia="ru-RU"/>
              </w:rPr>
              <w:t xml:space="preserve"> назначения</w:t>
            </w:r>
          </w:p>
        </w:tc>
      </w:tr>
      <w:tr w:rsidR="00E47AA9" w:rsidRPr="00E47AA9" w14:paraId="7C9E2660" w14:textId="77777777" w:rsidTr="00845A54">
        <w:trPr>
          <w:trHeight w:val="900"/>
          <w:tblHeader/>
        </w:trPr>
        <w:tc>
          <w:tcPr>
            <w:tcW w:w="546" w:type="dxa"/>
            <w:vMerge/>
            <w:tcBorders>
              <w:top w:val="single" w:sz="4" w:space="0" w:color="auto"/>
              <w:left w:val="single" w:sz="4" w:space="0" w:color="auto"/>
              <w:bottom w:val="single" w:sz="4" w:space="0" w:color="auto"/>
              <w:right w:val="single" w:sz="4" w:space="0" w:color="auto"/>
            </w:tcBorders>
            <w:vAlign w:val="center"/>
            <w:hideMark/>
          </w:tcPr>
          <w:p w14:paraId="2A5C2F7E" w14:textId="77777777" w:rsidR="00912B9F" w:rsidRPr="00E47AA9" w:rsidRDefault="00912B9F" w:rsidP="00845A54">
            <w:pPr>
              <w:spacing w:after="0" w:line="240" w:lineRule="auto"/>
              <w:rPr>
                <w:rFonts w:ascii="Times New Roman" w:eastAsia="Times New Roman" w:hAnsi="Times New Roman" w:cs="Times New Roman"/>
                <w:sz w:val="24"/>
                <w:szCs w:val="24"/>
                <w:lang w:eastAsia="ru-RU"/>
              </w:rPr>
            </w:pPr>
          </w:p>
        </w:tc>
        <w:tc>
          <w:tcPr>
            <w:tcW w:w="3282" w:type="dxa"/>
            <w:vMerge/>
            <w:tcBorders>
              <w:top w:val="single" w:sz="4" w:space="0" w:color="auto"/>
              <w:left w:val="single" w:sz="4" w:space="0" w:color="auto"/>
              <w:bottom w:val="single" w:sz="4" w:space="0" w:color="auto"/>
              <w:right w:val="single" w:sz="4" w:space="0" w:color="auto"/>
            </w:tcBorders>
            <w:vAlign w:val="center"/>
            <w:hideMark/>
          </w:tcPr>
          <w:p w14:paraId="2D96BF7A" w14:textId="77777777" w:rsidR="00912B9F" w:rsidRPr="00E47AA9" w:rsidRDefault="00912B9F" w:rsidP="00845A54">
            <w:pPr>
              <w:spacing w:after="0" w:line="240" w:lineRule="auto"/>
              <w:rPr>
                <w:rFonts w:ascii="Times New Roman" w:eastAsia="Times New Roman" w:hAnsi="Times New Roman" w:cs="Times New Roman"/>
                <w:sz w:val="24"/>
                <w:szCs w:val="24"/>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B3C88D6" w14:textId="77777777" w:rsidR="00912B9F" w:rsidRPr="00E47AA9" w:rsidRDefault="00912B9F" w:rsidP="00845A54">
            <w:pPr>
              <w:spacing w:after="0" w:line="240" w:lineRule="auto"/>
              <w:rPr>
                <w:rFonts w:ascii="Times New Roman" w:eastAsia="Times New Roman" w:hAnsi="Times New Roman" w:cs="Times New Roman"/>
                <w:sz w:val="24"/>
                <w:szCs w:val="24"/>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2C5A213B" w14:textId="77777777" w:rsidR="00912B9F" w:rsidRPr="00E47AA9" w:rsidRDefault="00912B9F" w:rsidP="00845A54">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сумма</w:t>
            </w:r>
          </w:p>
        </w:tc>
        <w:tc>
          <w:tcPr>
            <w:tcW w:w="851" w:type="dxa"/>
            <w:tcBorders>
              <w:top w:val="nil"/>
              <w:left w:val="nil"/>
              <w:bottom w:val="single" w:sz="4" w:space="0" w:color="auto"/>
              <w:right w:val="single" w:sz="4" w:space="0" w:color="auto"/>
            </w:tcBorders>
            <w:shd w:val="clear" w:color="auto" w:fill="auto"/>
            <w:vAlign w:val="center"/>
            <w:hideMark/>
          </w:tcPr>
          <w:p w14:paraId="18B9A3B6" w14:textId="77777777" w:rsidR="00912B9F" w:rsidRPr="00E47AA9" w:rsidRDefault="00912B9F" w:rsidP="00845A54">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 исп.</w:t>
            </w:r>
          </w:p>
        </w:tc>
        <w:tc>
          <w:tcPr>
            <w:tcW w:w="850" w:type="dxa"/>
            <w:tcBorders>
              <w:top w:val="nil"/>
              <w:left w:val="nil"/>
              <w:bottom w:val="single" w:sz="4" w:space="0" w:color="auto"/>
              <w:right w:val="single" w:sz="4" w:space="0" w:color="auto"/>
            </w:tcBorders>
            <w:shd w:val="clear" w:color="auto" w:fill="auto"/>
            <w:vAlign w:val="center"/>
            <w:hideMark/>
          </w:tcPr>
          <w:p w14:paraId="24CA3757" w14:textId="77777777" w:rsidR="00912B9F" w:rsidRPr="00E47AA9" w:rsidRDefault="00912B9F" w:rsidP="00845A54">
            <w:pPr>
              <w:spacing w:after="0" w:line="240" w:lineRule="auto"/>
              <w:jc w:val="center"/>
              <w:rPr>
                <w:rFonts w:ascii="Times New Roman" w:eastAsia="Times New Roman" w:hAnsi="Times New Roman" w:cs="Times New Roman"/>
                <w:sz w:val="24"/>
                <w:szCs w:val="24"/>
                <w:lang w:eastAsia="ru-RU"/>
              </w:rPr>
            </w:pPr>
            <w:proofErr w:type="spellStart"/>
            <w:r w:rsidRPr="00E47AA9">
              <w:rPr>
                <w:rFonts w:ascii="Times New Roman" w:eastAsia="Times New Roman" w:hAnsi="Times New Roman" w:cs="Times New Roman"/>
                <w:lang w:eastAsia="ru-RU"/>
              </w:rPr>
              <w:t>уд.вес</w:t>
            </w:r>
            <w:proofErr w:type="spellEnd"/>
            <w:r w:rsidRPr="00E47AA9">
              <w:rPr>
                <w:rFonts w:ascii="Times New Roman" w:eastAsia="Times New Roman" w:hAnsi="Times New Roman" w:cs="Times New Roman"/>
                <w:lang w:eastAsia="ru-RU"/>
              </w:rPr>
              <w:t xml:space="preserve"> (%)</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CB9BD3F" w14:textId="77777777" w:rsidR="00912B9F" w:rsidRPr="00E47AA9" w:rsidRDefault="00912B9F" w:rsidP="00845A54">
            <w:pPr>
              <w:spacing w:after="0" w:line="240" w:lineRule="auto"/>
              <w:rPr>
                <w:rFonts w:ascii="Times New Roman" w:eastAsia="Times New Roman" w:hAnsi="Times New Roman" w:cs="Times New Roman"/>
                <w:sz w:val="24"/>
                <w:szCs w:val="24"/>
                <w:lang w:eastAsia="ru-RU"/>
              </w:rPr>
            </w:pPr>
          </w:p>
        </w:tc>
      </w:tr>
      <w:tr w:rsidR="00E47AA9" w:rsidRPr="00E47AA9" w14:paraId="2313D07C" w14:textId="77777777" w:rsidTr="00845A54">
        <w:trPr>
          <w:trHeight w:val="341"/>
        </w:trPr>
        <w:tc>
          <w:tcPr>
            <w:tcW w:w="546" w:type="dxa"/>
            <w:tcBorders>
              <w:top w:val="nil"/>
              <w:left w:val="single" w:sz="4" w:space="0" w:color="auto"/>
              <w:bottom w:val="single" w:sz="4" w:space="0" w:color="auto"/>
              <w:right w:val="single" w:sz="4" w:space="0" w:color="auto"/>
            </w:tcBorders>
            <w:shd w:val="clear" w:color="auto" w:fill="auto"/>
            <w:noWrap/>
            <w:vAlign w:val="center"/>
          </w:tcPr>
          <w:p w14:paraId="5A3320E4" w14:textId="77777777" w:rsidR="00912B9F" w:rsidRPr="00E47AA9" w:rsidRDefault="00912B9F" w:rsidP="00845A54">
            <w:pPr>
              <w:spacing w:after="0" w:line="240" w:lineRule="auto"/>
              <w:jc w:val="center"/>
              <w:rPr>
                <w:rFonts w:ascii="Times New Roman" w:eastAsia="Times New Roman" w:hAnsi="Times New Roman" w:cs="Times New Roman"/>
                <w:lang w:eastAsia="ru-RU"/>
              </w:rPr>
            </w:pPr>
          </w:p>
        </w:tc>
        <w:tc>
          <w:tcPr>
            <w:tcW w:w="3282" w:type="dxa"/>
            <w:tcBorders>
              <w:top w:val="nil"/>
              <w:left w:val="nil"/>
              <w:bottom w:val="single" w:sz="8" w:space="0" w:color="auto"/>
              <w:right w:val="single" w:sz="4" w:space="0" w:color="auto"/>
            </w:tcBorders>
            <w:shd w:val="clear" w:color="auto" w:fill="auto"/>
            <w:vAlign w:val="center"/>
          </w:tcPr>
          <w:p w14:paraId="7681B9F2" w14:textId="77777777" w:rsidR="00912B9F" w:rsidRPr="00E47AA9" w:rsidRDefault="00912B9F" w:rsidP="00845A54">
            <w:pPr>
              <w:spacing w:after="0" w:line="240" w:lineRule="auto"/>
              <w:rPr>
                <w:rFonts w:ascii="Times New Roman" w:hAnsi="Times New Roman" w:cs="Times New Roman"/>
                <w:b/>
              </w:rPr>
            </w:pPr>
            <w:r w:rsidRPr="00E47AA9">
              <w:rPr>
                <w:rFonts w:ascii="Times New Roman" w:hAnsi="Times New Roman" w:cs="Times New Roman"/>
                <w:b/>
              </w:rPr>
              <w:t xml:space="preserve">Расходы по ГП всего, </w:t>
            </w:r>
          </w:p>
          <w:p w14:paraId="69C76110" w14:textId="77777777" w:rsidR="00912B9F" w:rsidRPr="00E47AA9" w:rsidRDefault="00912B9F" w:rsidP="00816CA3">
            <w:pPr>
              <w:spacing w:after="0" w:line="240" w:lineRule="auto"/>
              <w:jc w:val="both"/>
              <w:rPr>
                <w:rFonts w:ascii="Times New Roman" w:eastAsia="Times New Roman" w:hAnsi="Times New Roman" w:cs="Times New Roman"/>
                <w:bCs/>
                <w:lang w:eastAsia="ru-RU"/>
              </w:rPr>
            </w:pPr>
            <w:r w:rsidRPr="00E47AA9">
              <w:rPr>
                <w:rFonts w:ascii="Times New Roman" w:hAnsi="Times New Roman" w:cs="Times New Roman"/>
                <w:bCs/>
              </w:rPr>
              <w:t>в том числе</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E38F3C" w14:textId="77777777" w:rsidR="00912B9F" w:rsidRPr="00E47AA9" w:rsidRDefault="00912B9F"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37 088,42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FAC444" w14:textId="77777777" w:rsidR="00912B9F" w:rsidRPr="00E47AA9" w:rsidRDefault="00912B9F"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36 059,01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484BE1" w14:textId="77777777" w:rsidR="00912B9F" w:rsidRPr="00E47AA9" w:rsidRDefault="00912B9F"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97,22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93D525" w14:textId="77777777" w:rsidR="00912B9F" w:rsidRPr="00E47AA9" w:rsidRDefault="00912B9F"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100,00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64E78C" w14:textId="77777777" w:rsidR="00912B9F" w:rsidRPr="00E47AA9" w:rsidRDefault="00912B9F"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1 029,41</w:t>
            </w:r>
          </w:p>
        </w:tc>
      </w:tr>
      <w:tr w:rsidR="00E47AA9" w:rsidRPr="00E47AA9" w14:paraId="1C6CD2E1" w14:textId="77777777" w:rsidTr="00845A54">
        <w:trPr>
          <w:trHeight w:val="341"/>
        </w:trPr>
        <w:tc>
          <w:tcPr>
            <w:tcW w:w="546" w:type="dxa"/>
            <w:tcBorders>
              <w:top w:val="nil"/>
              <w:left w:val="single" w:sz="4" w:space="0" w:color="auto"/>
              <w:bottom w:val="single" w:sz="4" w:space="0" w:color="auto"/>
              <w:right w:val="single" w:sz="4" w:space="0" w:color="auto"/>
            </w:tcBorders>
            <w:shd w:val="clear" w:color="auto" w:fill="auto"/>
            <w:noWrap/>
            <w:vAlign w:val="center"/>
          </w:tcPr>
          <w:p w14:paraId="4A31EACE" w14:textId="77777777" w:rsidR="00912B9F" w:rsidRPr="00E47AA9" w:rsidRDefault="00912B9F" w:rsidP="00845A54">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761</w:t>
            </w:r>
          </w:p>
        </w:tc>
        <w:tc>
          <w:tcPr>
            <w:tcW w:w="3282" w:type="dxa"/>
            <w:tcBorders>
              <w:top w:val="nil"/>
              <w:left w:val="nil"/>
              <w:bottom w:val="single" w:sz="8" w:space="0" w:color="auto"/>
              <w:right w:val="single" w:sz="4" w:space="0" w:color="auto"/>
            </w:tcBorders>
            <w:shd w:val="clear" w:color="auto" w:fill="auto"/>
            <w:vAlign w:val="center"/>
          </w:tcPr>
          <w:p w14:paraId="7809BECB" w14:textId="77777777" w:rsidR="00912B9F" w:rsidRPr="00E47AA9" w:rsidRDefault="00912B9F" w:rsidP="00845A54">
            <w:pPr>
              <w:spacing w:after="0" w:line="240" w:lineRule="auto"/>
              <w:jc w:val="both"/>
              <w:rPr>
                <w:rFonts w:ascii="Times New Roman" w:eastAsia="Times New Roman" w:hAnsi="Times New Roman" w:cs="Times New Roman"/>
                <w:sz w:val="24"/>
                <w:szCs w:val="24"/>
                <w:lang w:eastAsia="ru-RU"/>
              </w:rPr>
            </w:pPr>
            <w:r w:rsidRPr="00E47AA9">
              <w:rPr>
                <w:rFonts w:ascii="Times New Roman" w:eastAsia="Times New Roman" w:hAnsi="Times New Roman" w:cs="Times New Roman"/>
                <w:bCs/>
                <w:lang w:eastAsia="ru-RU"/>
              </w:rPr>
              <w:t>министерство здравоохранения Приморского края</w:t>
            </w:r>
          </w:p>
        </w:tc>
        <w:tc>
          <w:tcPr>
            <w:tcW w:w="1559" w:type="dxa"/>
            <w:tcBorders>
              <w:top w:val="single" w:sz="4" w:space="0" w:color="auto"/>
              <w:left w:val="nil"/>
              <w:bottom w:val="single" w:sz="4" w:space="0" w:color="auto"/>
              <w:right w:val="single" w:sz="4" w:space="0" w:color="auto"/>
            </w:tcBorders>
            <w:shd w:val="clear" w:color="auto" w:fill="auto"/>
            <w:noWrap/>
            <w:vAlign w:val="bottom"/>
          </w:tcPr>
          <w:p w14:paraId="28E96969" w14:textId="77777777" w:rsidR="00912B9F" w:rsidRPr="00E47AA9" w:rsidRDefault="00912B9F" w:rsidP="00845A54">
            <w:pPr>
              <w:spacing w:after="0" w:line="240" w:lineRule="auto"/>
              <w:jc w:val="right"/>
              <w:rPr>
                <w:rFonts w:ascii="Times New Roman" w:hAnsi="Times New Roman" w:cs="Times New Roman"/>
                <w:bCs/>
              </w:rPr>
            </w:pPr>
            <w:r w:rsidRPr="00E47AA9">
              <w:rPr>
                <w:rFonts w:ascii="Times New Roman" w:hAnsi="Times New Roman" w:cs="Times New Roman"/>
                <w:bCs/>
              </w:rPr>
              <w:t>34 246,46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7D97C5" w14:textId="77777777" w:rsidR="00912B9F" w:rsidRPr="00E47AA9" w:rsidRDefault="00912B9F" w:rsidP="00845A54">
            <w:pPr>
              <w:spacing w:after="0" w:line="240" w:lineRule="auto"/>
              <w:jc w:val="right"/>
              <w:rPr>
                <w:rFonts w:ascii="Times New Roman" w:hAnsi="Times New Roman" w:cs="Times New Roman"/>
                <w:bCs/>
              </w:rPr>
            </w:pPr>
            <w:r w:rsidRPr="00E47AA9">
              <w:rPr>
                <w:rFonts w:ascii="Times New Roman" w:hAnsi="Times New Roman" w:cs="Times New Roman"/>
                <w:bCs/>
              </w:rPr>
              <w:t>34 150,74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342400" w14:textId="77777777" w:rsidR="00912B9F" w:rsidRPr="00E47AA9" w:rsidRDefault="00912B9F" w:rsidP="00845A54">
            <w:pPr>
              <w:spacing w:after="0" w:line="240" w:lineRule="auto"/>
              <w:jc w:val="right"/>
              <w:rPr>
                <w:rFonts w:ascii="Times New Roman" w:hAnsi="Times New Roman" w:cs="Times New Roman"/>
                <w:bCs/>
              </w:rPr>
            </w:pPr>
            <w:r w:rsidRPr="00E47AA9">
              <w:rPr>
                <w:rFonts w:ascii="Times New Roman" w:hAnsi="Times New Roman" w:cs="Times New Roman"/>
                <w:bCs/>
              </w:rPr>
              <w:t>99,72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56001F" w14:textId="77777777" w:rsidR="00912B9F" w:rsidRPr="00E47AA9" w:rsidRDefault="00912B9F" w:rsidP="00845A54">
            <w:pPr>
              <w:spacing w:after="0" w:line="240" w:lineRule="auto"/>
              <w:jc w:val="right"/>
              <w:rPr>
                <w:rFonts w:ascii="Times New Roman" w:hAnsi="Times New Roman" w:cs="Times New Roman"/>
                <w:bCs/>
              </w:rPr>
            </w:pPr>
            <w:r w:rsidRPr="00E47AA9">
              <w:rPr>
                <w:rFonts w:ascii="Times New Roman" w:hAnsi="Times New Roman" w:cs="Times New Roman"/>
                <w:bCs/>
              </w:rPr>
              <w:t>94,71</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4F834D" w14:textId="77777777" w:rsidR="00912B9F" w:rsidRPr="00E47AA9" w:rsidRDefault="00912B9F" w:rsidP="00845A54">
            <w:pPr>
              <w:spacing w:after="0" w:line="240" w:lineRule="auto"/>
              <w:jc w:val="right"/>
              <w:rPr>
                <w:rFonts w:ascii="Times New Roman" w:hAnsi="Times New Roman" w:cs="Times New Roman"/>
                <w:bCs/>
              </w:rPr>
            </w:pPr>
            <w:r w:rsidRPr="00E47AA9">
              <w:rPr>
                <w:rFonts w:ascii="Times New Roman" w:hAnsi="Times New Roman" w:cs="Times New Roman"/>
                <w:bCs/>
              </w:rPr>
              <w:t>95,72</w:t>
            </w:r>
          </w:p>
        </w:tc>
      </w:tr>
      <w:tr w:rsidR="00E47AA9" w:rsidRPr="00E47AA9" w14:paraId="04FBFE6B" w14:textId="77777777" w:rsidTr="00845A54">
        <w:trPr>
          <w:trHeight w:val="600"/>
        </w:trPr>
        <w:tc>
          <w:tcPr>
            <w:tcW w:w="546" w:type="dxa"/>
            <w:tcBorders>
              <w:top w:val="nil"/>
              <w:left w:val="single" w:sz="4" w:space="0" w:color="auto"/>
              <w:bottom w:val="single" w:sz="4" w:space="0" w:color="auto"/>
              <w:right w:val="single" w:sz="4" w:space="0" w:color="auto"/>
            </w:tcBorders>
            <w:shd w:val="clear" w:color="auto" w:fill="auto"/>
            <w:noWrap/>
            <w:vAlign w:val="center"/>
          </w:tcPr>
          <w:p w14:paraId="15E2B42C" w14:textId="77777777" w:rsidR="00912B9F" w:rsidRPr="00E47AA9" w:rsidRDefault="00912B9F" w:rsidP="00845A54">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775</w:t>
            </w:r>
          </w:p>
        </w:tc>
        <w:tc>
          <w:tcPr>
            <w:tcW w:w="3282" w:type="dxa"/>
            <w:tcBorders>
              <w:top w:val="nil"/>
              <w:left w:val="nil"/>
              <w:bottom w:val="single" w:sz="8" w:space="0" w:color="auto"/>
              <w:right w:val="single" w:sz="4" w:space="0" w:color="auto"/>
            </w:tcBorders>
            <w:shd w:val="clear" w:color="auto" w:fill="auto"/>
            <w:vAlign w:val="center"/>
          </w:tcPr>
          <w:p w14:paraId="3526A978" w14:textId="77777777" w:rsidR="00912B9F" w:rsidRPr="00E47AA9" w:rsidRDefault="00912B9F" w:rsidP="00845A54">
            <w:pPr>
              <w:spacing w:after="0" w:line="240" w:lineRule="auto"/>
              <w:jc w:val="both"/>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министерство строительства Приморского края</w:t>
            </w:r>
          </w:p>
        </w:tc>
        <w:tc>
          <w:tcPr>
            <w:tcW w:w="1559" w:type="dxa"/>
            <w:tcBorders>
              <w:top w:val="single" w:sz="4" w:space="0" w:color="auto"/>
              <w:left w:val="nil"/>
              <w:bottom w:val="single" w:sz="4" w:space="0" w:color="auto"/>
              <w:right w:val="single" w:sz="4" w:space="0" w:color="auto"/>
            </w:tcBorders>
            <w:shd w:val="clear" w:color="auto" w:fill="auto"/>
            <w:noWrap/>
            <w:vAlign w:val="bottom"/>
          </w:tcPr>
          <w:p w14:paraId="27401DE3" w14:textId="77777777" w:rsidR="00912B9F" w:rsidRPr="00E47AA9" w:rsidRDefault="00912B9F" w:rsidP="00845A54">
            <w:pPr>
              <w:spacing w:after="0" w:line="240" w:lineRule="auto"/>
              <w:jc w:val="right"/>
              <w:rPr>
                <w:rFonts w:ascii="Times New Roman" w:hAnsi="Times New Roman" w:cs="Times New Roman"/>
                <w:bCs/>
              </w:rPr>
            </w:pPr>
            <w:r w:rsidRPr="00E47AA9">
              <w:rPr>
                <w:rFonts w:ascii="Times New Roman" w:hAnsi="Times New Roman" w:cs="Times New Roman"/>
                <w:bCs/>
              </w:rPr>
              <w:t>2 841,96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C75744" w14:textId="77777777" w:rsidR="00912B9F" w:rsidRPr="00E47AA9" w:rsidRDefault="00912B9F" w:rsidP="00845A54">
            <w:pPr>
              <w:spacing w:after="0" w:line="240" w:lineRule="auto"/>
              <w:jc w:val="right"/>
              <w:rPr>
                <w:rFonts w:ascii="Times New Roman" w:hAnsi="Times New Roman" w:cs="Times New Roman"/>
                <w:bCs/>
              </w:rPr>
            </w:pPr>
            <w:r w:rsidRPr="00E47AA9">
              <w:rPr>
                <w:rFonts w:ascii="Times New Roman" w:hAnsi="Times New Roman" w:cs="Times New Roman"/>
                <w:bCs/>
              </w:rPr>
              <w:t>1 908,27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6BC8AF" w14:textId="77777777" w:rsidR="00912B9F" w:rsidRPr="00E47AA9" w:rsidRDefault="00912B9F" w:rsidP="00845A54">
            <w:pPr>
              <w:spacing w:after="0" w:line="240" w:lineRule="auto"/>
              <w:jc w:val="right"/>
              <w:rPr>
                <w:rFonts w:ascii="Times New Roman" w:hAnsi="Times New Roman" w:cs="Times New Roman"/>
                <w:bCs/>
              </w:rPr>
            </w:pPr>
            <w:r w:rsidRPr="00E47AA9">
              <w:rPr>
                <w:rFonts w:ascii="Times New Roman" w:hAnsi="Times New Roman" w:cs="Times New Roman"/>
                <w:bCs/>
              </w:rPr>
              <w:t>67,15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FEBA84" w14:textId="77777777" w:rsidR="00912B9F" w:rsidRPr="00E47AA9" w:rsidRDefault="00912B9F" w:rsidP="00845A54">
            <w:pPr>
              <w:spacing w:after="0" w:line="240" w:lineRule="auto"/>
              <w:jc w:val="right"/>
              <w:rPr>
                <w:rFonts w:ascii="Times New Roman" w:hAnsi="Times New Roman" w:cs="Times New Roman"/>
                <w:bCs/>
              </w:rPr>
            </w:pPr>
            <w:r w:rsidRPr="00E47AA9">
              <w:rPr>
                <w:rFonts w:ascii="Times New Roman" w:hAnsi="Times New Roman" w:cs="Times New Roman"/>
                <w:bCs/>
              </w:rPr>
              <w:t>5,29</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4624BC" w14:textId="77777777" w:rsidR="00912B9F" w:rsidRPr="00E47AA9" w:rsidRDefault="00912B9F" w:rsidP="00845A54">
            <w:pPr>
              <w:spacing w:after="0" w:line="240" w:lineRule="auto"/>
              <w:jc w:val="right"/>
              <w:rPr>
                <w:rFonts w:ascii="Times New Roman" w:hAnsi="Times New Roman" w:cs="Times New Roman"/>
                <w:bCs/>
              </w:rPr>
            </w:pPr>
            <w:r w:rsidRPr="00E47AA9">
              <w:rPr>
                <w:rFonts w:ascii="Times New Roman" w:hAnsi="Times New Roman" w:cs="Times New Roman"/>
                <w:bCs/>
              </w:rPr>
              <w:t>933,69</w:t>
            </w:r>
          </w:p>
        </w:tc>
      </w:tr>
    </w:tbl>
    <w:p w14:paraId="525BF23D" w14:textId="77777777" w:rsidR="00912B9F" w:rsidRPr="00E47AA9" w:rsidRDefault="00912B9F" w:rsidP="00912B9F">
      <w:pPr>
        <w:autoSpaceDE w:val="0"/>
        <w:autoSpaceDN w:val="0"/>
        <w:adjustRightInd w:val="0"/>
        <w:spacing w:after="0" w:line="240" w:lineRule="auto"/>
        <w:ind w:firstLine="709"/>
        <w:jc w:val="both"/>
        <w:rPr>
          <w:rFonts w:ascii="Times New Roman" w:eastAsia="Times New Roman" w:hAnsi="Times New Roman" w:cs="Times New Roman"/>
          <w:sz w:val="28"/>
          <w:szCs w:val="28"/>
        </w:rPr>
      </w:pPr>
    </w:p>
    <w:p w14:paraId="2C68DDCF" w14:textId="77777777" w:rsidR="00912B9F" w:rsidRPr="00E47AA9" w:rsidRDefault="00912B9F" w:rsidP="00912B9F">
      <w:pPr>
        <w:spacing w:after="0" w:line="240" w:lineRule="auto"/>
        <w:ind w:firstLine="708"/>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Исполнение расходов по структуре ГП представлено в таблице.</w:t>
      </w:r>
    </w:p>
    <w:p w14:paraId="4E122B42" w14:textId="77777777" w:rsidR="00912B9F" w:rsidRPr="00E47AA9" w:rsidRDefault="00912B9F" w:rsidP="00912B9F">
      <w:pPr>
        <w:spacing w:after="0" w:line="240" w:lineRule="auto"/>
        <w:ind w:firstLine="708"/>
        <w:rPr>
          <w:rFonts w:ascii="Times New Roman" w:eastAsia="Times New Roman" w:hAnsi="Times New Roman" w:cs="Times New Roman"/>
          <w:sz w:val="28"/>
          <w:szCs w:val="28"/>
          <w:lang w:eastAsia="ru-RU"/>
        </w:rPr>
      </w:pPr>
    </w:p>
    <w:tbl>
      <w:tblPr>
        <w:tblW w:w="9640" w:type="dxa"/>
        <w:tblInd w:w="-34" w:type="dxa"/>
        <w:tblLayout w:type="fixed"/>
        <w:tblLook w:val="04A0" w:firstRow="1" w:lastRow="0" w:firstColumn="1" w:lastColumn="0" w:noHBand="0" w:noVBand="1"/>
      </w:tblPr>
      <w:tblGrid>
        <w:gridCol w:w="4253"/>
        <w:gridCol w:w="1559"/>
        <w:gridCol w:w="1418"/>
        <w:gridCol w:w="850"/>
        <w:gridCol w:w="1560"/>
      </w:tblGrid>
      <w:tr w:rsidR="00E47AA9" w:rsidRPr="00E47AA9" w14:paraId="7DCF57DC" w14:textId="77777777" w:rsidTr="00845A54">
        <w:trPr>
          <w:trHeight w:val="207"/>
          <w:tblHeader/>
        </w:trPr>
        <w:tc>
          <w:tcPr>
            <w:tcW w:w="4253" w:type="dxa"/>
            <w:tcBorders>
              <w:bottom w:val="single" w:sz="4" w:space="0" w:color="auto"/>
            </w:tcBorders>
            <w:shd w:val="clear" w:color="auto" w:fill="auto"/>
            <w:vAlign w:val="center"/>
          </w:tcPr>
          <w:p w14:paraId="2A1273BF" w14:textId="77777777" w:rsidR="00912B9F" w:rsidRPr="00E47AA9" w:rsidRDefault="00912B9F" w:rsidP="00845A54">
            <w:pPr>
              <w:spacing w:after="0" w:line="240" w:lineRule="auto"/>
              <w:jc w:val="center"/>
              <w:rPr>
                <w:rFonts w:ascii="Times New Roman" w:eastAsia="Times New Roman" w:hAnsi="Times New Roman" w:cs="Times New Roman"/>
                <w:lang w:eastAsia="ru-RU"/>
              </w:rPr>
            </w:pPr>
          </w:p>
        </w:tc>
        <w:tc>
          <w:tcPr>
            <w:tcW w:w="1559" w:type="dxa"/>
            <w:tcBorders>
              <w:bottom w:val="single" w:sz="4" w:space="0" w:color="auto"/>
            </w:tcBorders>
            <w:shd w:val="clear" w:color="auto" w:fill="auto"/>
            <w:vAlign w:val="center"/>
          </w:tcPr>
          <w:p w14:paraId="20EF2807" w14:textId="77777777" w:rsidR="00912B9F" w:rsidRPr="00E47AA9" w:rsidRDefault="00912B9F" w:rsidP="00845A54">
            <w:pPr>
              <w:spacing w:after="0" w:line="240" w:lineRule="auto"/>
              <w:jc w:val="center"/>
              <w:rPr>
                <w:rFonts w:ascii="Times New Roman" w:eastAsia="Times New Roman" w:hAnsi="Times New Roman" w:cs="Times New Roman"/>
                <w:lang w:eastAsia="ru-RU"/>
              </w:rPr>
            </w:pPr>
          </w:p>
        </w:tc>
        <w:tc>
          <w:tcPr>
            <w:tcW w:w="1418" w:type="dxa"/>
            <w:tcBorders>
              <w:bottom w:val="single" w:sz="4" w:space="0" w:color="auto"/>
            </w:tcBorders>
            <w:shd w:val="clear" w:color="auto" w:fill="auto"/>
            <w:vAlign w:val="center"/>
          </w:tcPr>
          <w:p w14:paraId="11DF4C84" w14:textId="77777777" w:rsidR="00912B9F" w:rsidRPr="00E47AA9" w:rsidRDefault="00912B9F" w:rsidP="00845A54">
            <w:pPr>
              <w:spacing w:after="0" w:line="240" w:lineRule="auto"/>
              <w:jc w:val="center"/>
              <w:rPr>
                <w:rFonts w:ascii="Times New Roman" w:eastAsia="Times New Roman" w:hAnsi="Times New Roman" w:cs="Times New Roman"/>
                <w:lang w:eastAsia="ru-RU"/>
              </w:rPr>
            </w:pPr>
          </w:p>
        </w:tc>
        <w:tc>
          <w:tcPr>
            <w:tcW w:w="850" w:type="dxa"/>
            <w:tcBorders>
              <w:bottom w:val="single" w:sz="4" w:space="0" w:color="auto"/>
            </w:tcBorders>
            <w:shd w:val="clear" w:color="auto" w:fill="auto"/>
            <w:vAlign w:val="center"/>
          </w:tcPr>
          <w:p w14:paraId="3E8731BB" w14:textId="77777777" w:rsidR="00912B9F" w:rsidRPr="00E47AA9" w:rsidRDefault="00912B9F" w:rsidP="00845A54">
            <w:pPr>
              <w:spacing w:after="0" w:line="240" w:lineRule="auto"/>
              <w:jc w:val="right"/>
              <w:rPr>
                <w:rFonts w:ascii="Times New Roman" w:eastAsia="Times New Roman" w:hAnsi="Times New Roman" w:cs="Times New Roman"/>
                <w:lang w:eastAsia="ru-RU"/>
              </w:rPr>
            </w:pPr>
          </w:p>
        </w:tc>
        <w:tc>
          <w:tcPr>
            <w:tcW w:w="1560" w:type="dxa"/>
            <w:tcBorders>
              <w:bottom w:val="single" w:sz="4" w:space="0" w:color="auto"/>
            </w:tcBorders>
            <w:shd w:val="clear" w:color="auto" w:fill="auto"/>
            <w:vAlign w:val="center"/>
          </w:tcPr>
          <w:p w14:paraId="638B9B3D" w14:textId="77777777" w:rsidR="00912B9F" w:rsidRPr="00E47AA9" w:rsidRDefault="00912B9F" w:rsidP="00845A54">
            <w:pPr>
              <w:spacing w:after="0" w:line="240" w:lineRule="auto"/>
              <w:jc w:val="center"/>
              <w:rPr>
                <w:rFonts w:ascii="Times New Roman" w:eastAsia="Times New Roman" w:hAnsi="Times New Roman" w:cs="Times New Roman"/>
                <w:sz w:val="24"/>
                <w:lang w:eastAsia="ru-RU"/>
              </w:rPr>
            </w:pPr>
            <w:r w:rsidRPr="00E47AA9">
              <w:rPr>
                <w:rFonts w:ascii="Times New Roman" w:eastAsia="Times New Roman" w:hAnsi="Times New Roman" w:cs="Times New Roman"/>
                <w:sz w:val="24"/>
                <w:lang w:eastAsia="ru-RU"/>
              </w:rPr>
              <w:t>(млн рублей)</w:t>
            </w:r>
          </w:p>
        </w:tc>
      </w:tr>
      <w:tr w:rsidR="00E47AA9" w:rsidRPr="00E47AA9" w14:paraId="0317FA23" w14:textId="77777777" w:rsidTr="00845A54">
        <w:trPr>
          <w:trHeight w:val="1049"/>
          <w:tblHeader/>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A97EC" w14:textId="77777777" w:rsidR="00912B9F" w:rsidRPr="00E47AA9" w:rsidRDefault="00912B9F"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Наименование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2FC19" w14:textId="77777777" w:rsidR="00912B9F" w:rsidRPr="00E47AA9" w:rsidRDefault="00912B9F"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Уточненные бюджетные назначения </w:t>
            </w:r>
          </w:p>
          <w:p w14:paraId="149E09E0" w14:textId="77777777" w:rsidR="00912B9F" w:rsidRPr="00E47AA9" w:rsidRDefault="00912B9F"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на 2024 год</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ED9219" w14:textId="77777777" w:rsidR="00912B9F" w:rsidRPr="00E47AA9" w:rsidRDefault="00912B9F"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Исполнено </w:t>
            </w:r>
          </w:p>
          <w:p w14:paraId="6E0A73A4" w14:textId="77777777" w:rsidR="00912B9F" w:rsidRPr="00E47AA9" w:rsidRDefault="00912B9F"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за 2024 год</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033B03" w14:textId="77777777" w:rsidR="00912B9F" w:rsidRPr="00E47AA9" w:rsidRDefault="00912B9F"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исп.</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FBB33C" w14:textId="77777777" w:rsidR="00912B9F" w:rsidRPr="00E47AA9" w:rsidRDefault="00912B9F" w:rsidP="00845A54">
            <w:pPr>
              <w:spacing w:after="0" w:line="240" w:lineRule="auto"/>
              <w:jc w:val="center"/>
              <w:rPr>
                <w:rFonts w:ascii="Times New Roman" w:eastAsia="Times New Roman" w:hAnsi="Times New Roman" w:cs="Times New Roman"/>
                <w:lang w:eastAsia="ru-RU"/>
              </w:rPr>
            </w:pPr>
            <w:proofErr w:type="spellStart"/>
            <w:proofErr w:type="gramStart"/>
            <w:r w:rsidRPr="00E47AA9">
              <w:rPr>
                <w:rFonts w:ascii="Times New Roman" w:eastAsia="Times New Roman" w:hAnsi="Times New Roman" w:cs="Times New Roman"/>
                <w:lang w:eastAsia="ru-RU"/>
              </w:rPr>
              <w:t>Неисполнен-ные</w:t>
            </w:r>
            <w:proofErr w:type="spellEnd"/>
            <w:proofErr w:type="gramEnd"/>
            <w:r w:rsidRPr="00E47AA9">
              <w:rPr>
                <w:rFonts w:ascii="Times New Roman" w:eastAsia="Times New Roman" w:hAnsi="Times New Roman" w:cs="Times New Roman"/>
                <w:lang w:eastAsia="ru-RU"/>
              </w:rPr>
              <w:t xml:space="preserve"> бюджетные назначения</w:t>
            </w:r>
          </w:p>
        </w:tc>
      </w:tr>
      <w:tr w:rsidR="00E47AA9" w:rsidRPr="00E47AA9" w14:paraId="699E6B25" w14:textId="77777777" w:rsidTr="00845A54">
        <w:trPr>
          <w:trHeight w:val="315"/>
        </w:trPr>
        <w:tc>
          <w:tcPr>
            <w:tcW w:w="4253" w:type="dxa"/>
            <w:tcBorders>
              <w:top w:val="single" w:sz="4" w:space="0" w:color="auto"/>
              <w:left w:val="single" w:sz="4" w:space="0" w:color="auto"/>
              <w:bottom w:val="single" w:sz="4" w:space="0" w:color="auto"/>
              <w:right w:val="single" w:sz="4" w:space="0" w:color="auto"/>
            </w:tcBorders>
            <w:shd w:val="clear" w:color="auto" w:fill="auto"/>
            <w:vAlign w:val="bottom"/>
          </w:tcPr>
          <w:p w14:paraId="49E3D593" w14:textId="77777777" w:rsidR="00912B9F" w:rsidRPr="00E47AA9" w:rsidRDefault="00912B9F" w:rsidP="00845A54">
            <w:pPr>
              <w:spacing w:after="0" w:line="240" w:lineRule="auto"/>
              <w:rPr>
                <w:rFonts w:ascii="Times New Roman" w:hAnsi="Times New Roman" w:cs="Times New Roman"/>
                <w:b/>
              </w:rPr>
            </w:pPr>
            <w:r w:rsidRPr="00E47AA9">
              <w:rPr>
                <w:rFonts w:ascii="Times New Roman" w:hAnsi="Times New Roman" w:cs="Times New Roman"/>
                <w:b/>
              </w:rPr>
              <w:t xml:space="preserve">Расходы по ГП всего, </w:t>
            </w:r>
          </w:p>
          <w:p w14:paraId="44853F79" w14:textId="77777777" w:rsidR="00912B9F" w:rsidRPr="00E47AA9" w:rsidRDefault="00912B9F" w:rsidP="00816CA3">
            <w:pPr>
              <w:spacing w:after="0" w:line="240" w:lineRule="auto"/>
              <w:rPr>
                <w:rFonts w:ascii="Times New Roman" w:hAnsi="Times New Roman" w:cs="Times New Roman"/>
                <w:bCs/>
              </w:rPr>
            </w:pPr>
            <w:r w:rsidRPr="00E47AA9">
              <w:rPr>
                <w:rFonts w:ascii="Times New Roman" w:hAnsi="Times New Roman" w:cs="Times New Roman"/>
                <w:bCs/>
              </w:rPr>
              <w:t>в том числе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14:paraId="46E0D1FC" w14:textId="77777777" w:rsidR="00912B9F" w:rsidRPr="00E47AA9" w:rsidRDefault="00912B9F" w:rsidP="00845A54">
            <w:pPr>
              <w:spacing w:after="0" w:line="240" w:lineRule="auto"/>
              <w:jc w:val="right"/>
              <w:rPr>
                <w:rFonts w:ascii="Times New Roman" w:hAnsi="Times New Roman" w:cs="Times New Roman"/>
                <w:b/>
              </w:rPr>
            </w:pPr>
            <w:r w:rsidRPr="00E47AA9">
              <w:rPr>
                <w:rFonts w:ascii="Times New Roman" w:hAnsi="Times New Roman" w:cs="Times New Roman"/>
                <w:b/>
              </w:rPr>
              <w:t>37 088,42</w:t>
            </w:r>
          </w:p>
        </w:tc>
        <w:tc>
          <w:tcPr>
            <w:tcW w:w="1418" w:type="dxa"/>
            <w:tcBorders>
              <w:top w:val="single" w:sz="4" w:space="0" w:color="auto"/>
              <w:left w:val="nil"/>
              <w:bottom w:val="single" w:sz="4" w:space="0" w:color="auto"/>
              <w:right w:val="single" w:sz="4" w:space="0" w:color="auto"/>
            </w:tcBorders>
            <w:shd w:val="clear" w:color="auto" w:fill="auto"/>
            <w:vAlign w:val="bottom"/>
          </w:tcPr>
          <w:p w14:paraId="39E47FE6" w14:textId="77777777" w:rsidR="00912B9F" w:rsidRPr="00E47AA9" w:rsidRDefault="00912B9F" w:rsidP="00845A54">
            <w:pPr>
              <w:spacing w:after="0" w:line="240" w:lineRule="auto"/>
              <w:jc w:val="right"/>
              <w:rPr>
                <w:rFonts w:ascii="Times New Roman" w:hAnsi="Times New Roman" w:cs="Times New Roman"/>
                <w:b/>
              </w:rPr>
            </w:pPr>
            <w:r w:rsidRPr="00E47AA9">
              <w:rPr>
                <w:rFonts w:ascii="Times New Roman" w:hAnsi="Times New Roman" w:cs="Times New Roman"/>
                <w:b/>
              </w:rPr>
              <w:t>36 059,01</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E0B5BBF" w14:textId="77777777" w:rsidR="00912B9F" w:rsidRPr="00E47AA9" w:rsidRDefault="00912B9F" w:rsidP="00845A54">
            <w:pPr>
              <w:spacing w:after="0" w:line="240" w:lineRule="auto"/>
              <w:jc w:val="right"/>
              <w:rPr>
                <w:rFonts w:ascii="Times New Roman" w:hAnsi="Times New Roman" w:cs="Times New Roman"/>
                <w:b/>
              </w:rPr>
            </w:pPr>
            <w:r w:rsidRPr="00E47AA9">
              <w:rPr>
                <w:rFonts w:ascii="Times New Roman" w:hAnsi="Times New Roman" w:cs="Times New Roman"/>
                <w:b/>
              </w:rPr>
              <w:t>97,22</w:t>
            </w:r>
          </w:p>
        </w:tc>
        <w:tc>
          <w:tcPr>
            <w:tcW w:w="1560" w:type="dxa"/>
            <w:tcBorders>
              <w:top w:val="single" w:sz="4" w:space="0" w:color="auto"/>
              <w:left w:val="nil"/>
              <w:bottom w:val="single" w:sz="4" w:space="0" w:color="auto"/>
              <w:right w:val="single" w:sz="4" w:space="0" w:color="auto"/>
            </w:tcBorders>
            <w:shd w:val="clear" w:color="auto" w:fill="auto"/>
            <w:vAlign w:val="bottom"/>
          </w:tcPr>
          <w:p w14:paraId="64CB62E9" w14:textId="77777777" w:rsidR="00912B9F" w:rsidRPr="00E47AA9" w:rsidRDefault="00912B9F" w:rsidP="00845A54">
            <w:pPr>
              <w:spacing w:after="0" w:line="240" w:lineRule="auto"/>
              <w:jc w:val="right"/>
              <w:rPr>
                <w:rFonts w:ascii="Times New Roman" w:hAnsi="Times New Roman" w:cs="Times New Roman"/>
                <w:b/>
              </w:rPr>
            </w:pPr>
            <w:r w:rsidRPr="00E47AA9">
              <w:rPr>
                <w:rFonts w:ascii="Times New Roman" w:hAnsi="Times New Roman" w:cs="Times New Roman"/>
                <w:b/>
              </w:rPr>
              <w:t>1 029,41</w:t>
            </w:r>
          </w:p>
        </w:tc>
      </w:tr>
      <w:tr w:rsidR="00E47AA9" w:rsidRPr="00E47AA9" w14:paraId="743DDC19" w14:textId="77777777" w:rsidTr="00845A54">
        <w:trPr>
          <w:trHeight w:val="201"/>
        </w:trPr>
        <w:tc>
          <w:tcPr>
            <w:tcW w:w="4253" w:type="dxa"/>
            <w:tcBorders>
              <w:top w:val="nil"/>
              <w:left w:val="single" w:sz="4" w:space="0" w:color="auto"/>
              <w:bottom w:val="single" w:sz="4" w:space="0" w:color="auto"/>
              <w:right w:val="single" w:sz="4" w:space="0" w:color="auto"/>
            </w:tcBorders>
            <w:shd w:val="clear" w:color="auto" w:fill="auto"/>
            <w:vAlign w:val="bottom"/>
          </w:tcPr>
          <w:p w14:paraId="7D8156DC" w14:textId="77777777" w:rsidR="00912B9F" w:rsidRPr="00E47AA9" w:rsidRDefault="00912B9F" w:rsidP="00845A54">
            <w:pPr>
              <w:spacing w:after="0" w:line="240" w:lineRule="auto"/>
              <w:rPr>
                <w:rFonts w:ascii="Times New Roman" w:hAnsi="Times New Roman" w:cs="Times New Roman"/>
                <w:b/>
              </w:rPr>
            </w:pPr>
            <w:r w:rsidRPr="00E47AA9">
              <w:rPr>
                <w:rFonts w:ascii="Times New Roman" w:hAnsi="Times New Roman" w:cs="Times New Roman"/>
                <w:b/>
              </w:rPr>
              <w:t>проектные мероприятия,</w:t>
            </w:r>
          </w:p>
          <w:p w14:paraId="65EE2FC1" w14:textId="77777777" w:rsidR="00912B9F" w:rsidRPr="00E47AA9" w:rsidRDefault="00816CA3" w:rsidP="00845A54">
            <w:pPr>
              <w:spacing w:after="0" w:line="240" w:lineRule="auto"/>
              <w:rPr>
                <w:rFonts w:ascii="Times New Roman" w:hAnsi="Times New Roman" w:cs="Times New Roman"/>
                <w:b/>
              </w:rPr>
            </w:pPr>
            <w:r w:rsidRPr="00E47AA9">
              <w:rPr>
                <w:rFonts w:ascii="Times New Roman" w:hAnsi="Times New Roman" w:cs="Times New Roman"/>
                <w:b/>
              </w:rPr>
              <w:t>из них</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7DAAE670" w14:textId="77777777" w:rsidR="00912B9F" w:rsidRPr="00E47AA9" w:rsidRDefault="00912B9F" w:rsidP="00845A54">
            <w:pPr>
              <w:spacing w:after="0" w:line="240" w:lineRule="auto"/>
              <w:jc w:val="right"/>
              <w:rPr>
                <w:rFonts w:ascii="Times New Roman" w:hAnsi="Times New Roman" w:cs="Times New Roman"/>
                <w:b/>
              </w:rPr>
            </w:pPr>
            <w:r w:rsidRPr="00E47AA9">
              <w:rPr>
                <w:rFonts w:ascii="Times New Roman" w:hAnsi="Times New Roman" w:cs="Times New Roman"/>
                <w:b/>
              </w:rPr>
              <w:t>4 978,64</w:t>
            </w:r>
          </w:p>
        </w:tc>
        <w:tc>
          <w:tcPr>
            <w:tcW w:w="1418" w:type="dxa"/>
            <w:tcBorders>
              <w:top w:val="nil"/>
              <w:left w:val="nil"/>
              <w:bottom w:val="single" w:sz="4" w:space="0" w:color="auto"/>
              <w:right w:val="single" w:sz="4" w:space="0" w:color="auto"/>
            </w:tcBorders>
            <w:shd w:val="clear" w:color="auto" w:fill="auto"/>
            <w:noWrap/>
            <w:vAlign w:val="bottom"/>
          </w:tcPr>
          <w:p w14:paraId="20574309" w14:textId="77777777" w:rsidR="00912B9F" w:rsidRPr="00E47AA9" w:rsidRDefault="00912B9F" w:rsidP="00845A54">
            <w:pPr>
              <w:spacing w:after="0" w:line="240" w:lineRule="auto"/>
              <w:jc w:val="right"/>
              <w:rPr>
                <w:rFonts w:ascii="Times New Roman" w:hAnsi="Times New Roman" w:cs="Times New Roman"/>
                <w:b/>
              </w:rPr>
            </w:pPr>
            <w:r w:rsidRPr="00E47AA9">
              <w:rPr>
                <w:rFonts w:ascii="Times New Roman" w:hAnsi="Times New Roman" w:cs="Times New Roman"/>
                <w:b/>
              </w:rPr>
              <w:t>4 074,64</w:t>
            </w:r>
          </w:p>
        </w:tc>
        <w:tc>
          <w:tcPr>
            <w:tcW w:w="850" w:type="dxa"/>
            <w:tcBorders>
              <w:top w:val="nil"/>
              <w:left w:val="nil"/>
              <w:bottom w:val="single" w:sz="4" w:space="0" w:color="auto"/>
              <w:right w:val="single" w:sz="4" w:space="0" w:color="auto"/>
            </w:tcBorders>
            <w:shd w:val="clear" w:color="auto" w:fill="auto"/>
            <w:noWrap/>
            <w:vAlign w:val="bottom"/>
          </w:tcPr>
          <w:p w14:paraId="4EB37CEC" w14:textId="77777777" w:rsidR="00912B9F" w:rsidRPr="00E47AA9" w:rsidRDefault="00912B9F" w:rsidP="00845A54">
            <w:pPr>
              <w:spacing w:after="0" w:line="240" w:lineRule="auto"/>
              <w:jc w:val="right"/>
              <w:rPr>
                <w:rFonts w:ascii="Times New Roman" w:hAnsi="Times New Roman" w:cs="Times New Roman"/>
                <w:b/>
              </w:rPr>
            </w:pPr>
            <w:r w:rsidRPr="00E47AA9">
              <w:rPr>
                <w:rFonts w:ascii="Times New Roman" w:hAnsi="Times New Roman" w:cs="Times New Roman"/>
                <w:b/>
              </w:rPr>
              <w:t>81,84</w:t>
            </w:r>
          </w:p>
        </w:tc>
        <w:tc>
          <w:tcPr>
            <w:tcW w:w="1560" w:type="dxa"/>
            <w:tcBorders>
              <w:top w:val="nil"/>
              <w:left w:val="nil"/>
              <w:bottom w:val="single" w:sz="4" w:space="0" w:color="auto"/>
              <w:right w:val="single" w:sz="4" w:space="0" w:color="auto"/>
            </w:tcBorders>
            <w:shd w:val="clear" w:color="auto" w:fill="auto"/>
            <w:vAlign w:val="bottom"/>
          </w:tcPr>
          <w:p w14:paraId="56CC3C9B" w14:textId="77777777" w:rsidR="00912B9F" w:rsidRPr="00E47AA9" w:rsidRDefault="00912B9F" w:rsidP="00845A54">
            <w:pPr>
              <w:spacing w:after="0" w:line="240" w:lineRule="auto"/>
              <w:jc w:val="right"/>
              <w:rPr>
                <w:rFonts w:ascii="Times New Roman" w:hAnsi="Times New Roman" w:cs="Times New Roman"/>
                <w:b/>
              </w:rPr>
            </w:pPr>
            <w:r w:rsidRPr="00E47AA9">
              <w:rPr>
                <w:rFonts w:ascii="Times New Roman" w:hAnsi="Times New Roman" w:cs="Times New Roman"/>
                <w:b/>
              </w:rPr>
              <w:t>904,00</w:t>
            </w:r>
          </w:p>
        </w:tc>
      </w:tr>
      <w:tr w:rsidR="00E47AA9" w:rsidRPr="00E47AA9" w14:paraId="13822ACA" w14:textId="77777777" w:rsidTr="00845A54">
        <w:trPr>
          <w:trHeight w:val="206"/>
        </w:trPr>
        <w:tc>
          <w:tcPr>
            <w:tcW w:w="4253" w:type="dxa"/>
            <w:tcBorders>
              <w:top w:val="nil"/>
              <w:left w:val="single" w:sz="4" w:space="0" w:color="auto"/>
              <w:bottom w:val="single" w:sz="4" w:space="0" w:color="auto"/>
              <w:right w:val="single" w:sz="4" w:space="0" w:color="auto"/>
            </w:tcBorders>
            <w:shd w:val="clear" w:color="auto" w:fill="auto"/>
            <w:vAlign w:val="bottom"/>
          </w:tcPr>
          <w:p w14:paraId="0431AA77" w14:textId="77777777" w:rsidR="00912B9F" w:rsidRPr="00E47AA9" w:rsidRDefault="00912B9F" w:rsidP="00845A54">
            <w:pPr>
              <w:spacing w:after="0" w:line="240" w:lineRule="auto"/>
              <w:rPr>
                <w:rFonts w:ascii="Times New Roman" w:hAnsi="Times New Roman" w:cs="Times New Roman"/>
                <w:i/>
              </w:rPr>
            </w:pPr>
            <w:r w:rsidRPr="00E47AA9">
              <w:rPr>
                <w:rFonts w:ascii="Times New Roman" w:hAnsi="Times New Roman" w:cs="Times New Roman"/>
                <w:i/>
              </w:rPr>
              <w:t>РП, входящие в состав НП</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0065429E"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4 978,64</w:t>
            </w:r>
          </w:p>
        </w:tc>
        <w:tc>
          <w:tcPr>
            <w:tcW w:w="1418" w:type="dxa"/>
            <w:tcBorders>
              <w:top w:val="nil"/>
              <w:left w:val="nil"/>
              <w:bottom w:val="single" w:sz="4" w:space="0" w:color="auto"/>
              <w:right w:val="single" w:sz="4" w:space="0" w:color="auto"/>
            </w:tcBorders>
            <w:shd w:val="clear" w:color="auto" w:fill="auto"/>
            <w:noWrap/>
            <w:vAlign w:val="bottom"/>
          </w:tcPr>
          <w:p w14:paraId="47B96165"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4 074,64</w:t>
            </w:r>
          </w:p>
        </w:tc>
        <w:tc>
          <w:tcPr>
            <w:tcW w:w="850" w:type="dxa"/>
            <w:tcBorders>
              <w:top w:val="nil"/>
              <w:left w:val="nil"/>
              <w:bottom w:val="single" w:sz="4" w:space="0" w:color="auto"/>
              <w:right w:val="single" w:sz="4" w:space="0" w:color="auto"/>
            </w:tcBorders>
            <w:shd w:val="clear" w:color="auto" w:fill="auto"/>
            <w:noWrap/>
            <w:vAlign w:val="bottom"/>
          </w:tcPr>
          <w:p w14:paraId="2DDA29CC"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81,84</w:t>
            </w:r>
          </w:p>
        </w:tc>
        <w:tc>
          <w:tcPr>
            <w:tcW w:w="1560" w:type="dxa"/>
            <w:tcBorders>
              <w:top w:val="nil"/>
              <w:left w:val="nil"/>
              <w:bottom w:val="single" w:sz="4" w:space="0" w:color="auto"/>
              <w:right w:val="single" w:sz="4" w:space="0" w:color="auto"/>
            </w:tcBorders>
            <w:shd w:val="clear" w:color="auto" w:fill="auto"/>
            <w:vAlign w:val="bottom"/>
          </w:tcPr>
          <w:p w14:paraId="258251A0"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904,00</w:t>
            </w:r>
          </w:p>
        </w:tc>
      </w:tr>
      <w:tr w:rsidR="00E47AA9" w:rsidRPr="00E47AA9" w14:paraId="2CA8E2A6" w14:textId="77777777" w:rsidTr="00845A54">
        <w:trPr>
          <w:trHeight w:val="315"/>
        </w:trPr>
        <w:tc>
          <w:tcPr>
            <w:tcW w:w="4253" w:type="dxa"/>
            <w:tcBorders>
              <w:top w:val="nil"/>
              <w:left w:val="single" w:sz="4" w:space="0" w:color="auto"/>
              <w:bottom w:val="single" w:sz="4" w:space="0" w:color="auto"/>
              <w:right w:val="single" w:sz="4" w:space="0" w:color="auto"/>
            </w:tcBorders>
            <w:shd w:val="clear" w:color="auto" w:fill="auto"/>
            <w:vAlign w:val="bottom"/>
          </w:tcPr>
          <w:p w14:paraId="03B03BB0" w14:textId="77777777" w:rsidR="00912B9F" w:rsidRPr="00E47AA9" w:rsidRDefault="00912B9F" w:rsidP="00845A54">
            <w:pPr>
              <w:spacing w:after="0" w:line="240" w:lineRule="auto"/>
              <w:rPr>
                <w:rFonts w:ascii="Times New Roman" w:hAnsi="Times New Roman" w:cs="Times New Roman"/>
                <w:b/>
                <w:bCs/>
                <w:i/>
              </w:rPr>
            </w:pPr>
            <w:r w:rsidRPr="00E47AA9">
              <w:rPr>
                <w:rFonts w:ascii="Times New Roman" w:hAnsi="Times New Roman" w:cs="Times New Roman"/>
                <w:b/>
                <w:bCs/>
                <w:i/>
              </w:rPr>
              <w:t>НП "Демография"</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1AEE7A2C" w14:textId="77777777" w:rsidR="00912B9F" w:rsidRPr="00E47AA9" w:rsidRDefault="00912B9F" w:rsidP="00845A54">
            <w:pPr>
              <w:spacing w:after="0" w:line="240" w:lineRule="auto"/>
              <w:jc w:val="right"/>
              <w:rPr>
                <w:rFonts w:ascii="Times New Roman" w:hAnsi="Times New Roman" w:cs="Times New Roman"/>
                <w:b/>
                <w:i/>
              </w:rPr>
            </w:pPr>
            <w:r w:rsidRPr="00E47AA9">
              <w:rPr>
                <w:rFonts w:ascii="Times New Roman" w:hAnsi="Times New Roman" w:cs="Times New Roman"/>
                <w:b/>
                <w:i/>
              </w:rPr>
              <w:t>16,21</w:t>
            </w:r>
          </w:p>
        </w:tc>
        <w:tc>
          <w:tcPr>
            <w:tcW w:w="1418" w:type="dxa"/>
            <w:tcBorders>
              <w:top w:val="nil"/>
              <w:left w:val="nil"/>
              <w:bottom w:val="single" w:sz="4" w:space="0" w:color="auto"/>
              <w:right w:val="single" w:sz="4" w:space="0" w:color="auto"/>
            </w:tcBorders>
            <w:shd w:val="clear" w:color="auto" w:fill="auto"/>
            <w:noWrap/>
            <w:vAlign w:val="bottom"/>
          </w:tcPr>
          <w:p w14:paraId="49D1BC68" w14:textId="77777777" w:rsidR="00912B9F" w:rsidRPr="00E47AA9" w:rsidRDefault="00912B9F" w:rsidP="00845A54">
            <w:pPr>
              <w:spacing w:after="0" w:line="240" w:lineRule="auto"/>
              <w:jc w:val="right"/>
              <w:rPr>
                <w:rFonts w:ascii="Times New Roman" w:hAnsi="Times New Roman" w:cs="Times New Roman"/>
                <w:b/>
                <w:i/>
              </w:rPr>
            </w:pPr>
            <w:r w:rsidRPr="00E47AA9">
              <w:rPr>
                <w:rFonts w:ascii="Times New Roman" w:hAnsi="Times New Roman" w:cs="Times New Roman"/>
                <w:b/>
                <w:i/>
              </w:rPr>
              <w:t>16,21</w:t>
            </w:r>
          </w:p>
        </w:tc>
        <w:tc>
          <w:tcPr>
            <w:tcW w:w="850" w:type="dxa"/>
            <w:tcBorders>
              <w:top w:val="nil"/>
              <w:left w:val="nil"/>
              <w:bottom w:val="single" w:sz="4" w:space="0" w:color="auto"/>
              <w:right w:val="single" w:sz="4" w:space="0" w:color="auto"/>
            </w:tcBorders>
            <w:shd w:val="clear" w:color="auto" w:fill="auto"/>
            <w:noWrap/>
            <w:vAlign w:val="bottom"/>
          </w:tcPr>
          <w:p w14:paraId="0E35B421" w14:textId="77777777" w:rsidR="00912B9F" w:rsidRPr="00E47AA9" w:rsidRDefault="00912B9F" w:rsidP="00845A54">
            <w:pPr>
              <w:spacing w:after="0" w:line="240" w:lineRule="auto"/>
              <w:jc w:val="right"/>
              <w:rPr>
                <w:rFonts w:ascii="Times New Roman" w:hAnsi="Times New Roman" w:cs="Times New Roman"/>
                <w:b/>
                <w:i/>
              </w:rPr>
            </w:pPr>
            <w:r w:rsidRPr="00E47AA9">
              <w:rPr>
                <w:rFonts w:ascii="Times New Roman" w:hAnsi="Times New Roman" w:cs="Times New Roman"/>
                <w:b/>
                <w:i/>
              </w:rPr>
              <w:t>100,00</w:t>
            </w:r>
          </w:p>
        </w:tc>
        <w:tc>
          <w:tcPr>
            <w:tcW w:w="1560" w:type="dxa"/>
            <w:tcBorders>
              <w:top w:val="nil"/>
              <w:left w:val="nil"/>
              <w:bottom w:val="single" w:sz="4" w:space="0" w:color="auto"/>
              <w:right w:val="single" w:sz="4" w:space="0" w:color="auto"/>
            </w:tcBorders>
            <w:shd w:val="clear" w:color="auto" w:fill="auto"/>
            <w:vAlign w:val="bottom"/>
          </w:tcPr>
          <w:p w14:paraId="3D4C215E" w14:textId="77777777" w:rsidR="00912B9F" w:rsidRPr="00E47AA9" w:rsidRDefault="00912B9F" w:rsidP="00845A54">
            <w:pPr>
              <w:spacing w:after="0" w:line="240" w:lineRule="auto"/>
              <w:jc w:val="right"/>
              <w:rPr>
                <w:rFonts w:ascii="Times New Roman" w:hAnsi="Times New Roman" w:cs="Times New Roman"/>
                <w:b/>
                <w:i/>
              </w:rPr>
            </w:pPr>
            <w:r w:rsidRPr="00E47AA9">
              <w:rPr>
                <w:rFonts w:ascii="Times New Roman" w:hAnsi="Times New Roman" w:cs="Times New Roman"/>
                <w:b/>
                <w:i/>
              </w:rPr>
              <w:t>0,00</w:t>
            </w:r>
          </w:p>
        </w:tc>
      </w:tr>
      <w:tr w:rsidR="00E47AA9" w:rsidRPr="00E47AA9" w14:paraId="07ADFB6C" w14:textId="77777777" w:rsidTr="00845A54">
        <w:trPr>
          <w:trHeight w:val="434"/>
        </w:trPr>
        <w:tc>
          <w:tcPr>
            <w:tcW w:w="4253" w:type="dxa"/>
            <w:tcBorders>
              <w:top w:val="nil"/>
              <w:left w:val="single" w:sz="4" w:space="0" w:color="auto"/>
              <w:bottom w:val="single" w:sz="4" w:space="0" w:color="auto"/>
              <w:right w:val="single" w:sz="4" w:space="0" w:color="auto"/>
            </w:tcBorders>
            <w:shd w:val="clear" w:color="auto" w:fill="auto"/>
            <w:vAlign w:val="center"/>
          </w:tcPr>
          <w:p w14:paraId="660BC96D" w14:textId="77777777" w:rsidR="00912B9F" w:rsidRPr="00E47AA9" w:rsidRDefault="00912B9F" w:rsidP="00845A54">
            <w:pPr>
              <w:spacing w:after="0" w:line="240" w:lineRule="auto"/>
              <w:rPr>
                <w:rFonts w:ascii="Times New Roman" w:hAnsi="Times New Roman" w:cs="Times New Roman"/>
              </w:rPr>
            </w:pPr>
            <w:r w:rsidRPr="00E47AA9">
              <w:rPr>
                <w:rFonts w:ascii="Times New Roman" w:hAnsi="Times New Roman" w:cs="Times New Roman"/>
              </w:rPr>
              <w:t>Региональный проект "Старшее поколение"</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6D3B539B"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0,35</w:t>
            </w:r>
          </w:p>
        </w:tc>
        <w:tc>
          <w:tcPr>
            <w:tcW w:w="1418" w:type="dxa"/>
            <w:tcBorders>
              <w:top w:val="nil"/>
              <w:left w:val="nil"/>
              <w:bottom w:val="single" w:sz="4" w:space="0" w:color="auto"/>
              <w:right w:val="single" w:sz="4" w:space="0" w:color="auto"/>
            </w:tcBorders>
            <w:shd w:val="clear" w:color="auto" w:fill="auto"/>
            <w:noWrap/>
            <w:vAlign w:val="bottom"/>
          </w:tcPr>
          <w:p w14:paraId="18034890"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0,35</w:t>
            </w:r>
          </w:p>
        </w:tc>
        <w:tc>
          <w:tcPr>
            <w:tcW w:w="850" w:type="dxa"/>
            <w:tcBorders>
              <w:top w:val="nil"/>
              <w:left w:val="nil"/>
              <w:bottom w:val="single" w:sz="4" w:space="0" w:color="auto"/>
              <w:right w:val="single" w:sz="4" w:space="0" w:color="auto"/>
            </w:tcBorders>
            <w:shd w:val="clear" w:color="auto" w:fill="auto"/>
            <w:noWrap/>
            <w:vAlign w:val="bottom"/>
          </w:tcPr>
          <w:p w14:paraId="51037B7A"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100,00</w:t>
            </w:r>
          </w:p>
        </w:tc>
        <w:tc>
          <w:tcPr>
            <w:tcW w:w="1560" w:type="dxa"/>
            <w:tcBorders>
              <w:top w:val="nil"/>
              <w:left w:val="nil"/>
              <w:bottom w:val="single" w:sz="4" w:space="0" w:color="auto"/>
              <w:right w:val="single" w:sz="4" w:space="0" w:color="auto"/>
            </w:tcBorders>
            <w:shd w:val="clear" w:color="auto" w:fill="auto"/>
            <w:vAlign w:val="bottom"/>
          </w:tcPr>
          <w:p w14:paraId="0DA4D5E2"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4FE95EDB" w14:textId="77777777" w:rsidTr="00845A54">
        <w:trPr>
          <w:trHeight w:val="507"/>
        </w:trPr>
        <w:tc>
          <w:tcPr>
            <w:tcW w:w="4253" w:type="dxa"/>
            <w:tcBorders>
              <w:top w:val="nil"/>
              <w:left w:val="single" w:sz="4" w:space="0" w:color="auto"/>
              <w:bottom w:val="single" w:sz="4" w:space="0" w:color="auto"/>
              <w:right w:val="single" w:sz="4" w:space="0" w:color="auto"/>
            </w:tcBorders>
            <w:shd w:val="clear" w:color="auto" w:fill="auto"/>
            <w:vAlign w:val="center"/>
          </w:tcPr>
          <w:p w14:paraId="38931A2E" w14:textId="77777777" w:rsidR="00912B9F" w:rsidRPr="00E47AA9" w:rsidRDefault="00912B9F" w:rsidP="00845A54">
            <w:pPr>
              <w:spacing w:after="0" w:line="240" w:lineRule="auto"/>
              <w:rPr>
                <w:rFonts w:ascii="Times New Roman" w:hAnsi="Times New Roman" w:cs="Times New Roman"/>
              </w:rPr>
            </w:pPr>
            <w:r w:rsidRPr="00E47AA9">
              <w:rPr>
                <w:rFonts w:ascii="Times New Roman" w:hAnsi="Times New Roman" w:cs="Times New Roman"/>
              </w:rPr>
              <w:t>Региональный проект "Укрепление общественного здоровья"</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7E60162C"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15,86</w:t>
            </w:r>
          </w:p>
        </w:tc>
        <w:tc>
          <w:tcPr>
            <w:tcW w:w="1418" w:type="dxa"/>
            <w:tcBorders>
              <w:top w:val="nil"/>
              <w:left w:val="nil"/>
              <w:bottom w:val="single" w:sz="4" w:space="0" w:color="auto"/>
              <w:right w:val="single" w:sz="4" w:space="0" w:color="auto"/>
            </w:tcBorders>
            <w:shd w:val="clear" w:color="auto" w:fill="auto"/>
            <w:noWrap/>
            <w:vAlign w:val="bottom"/>
          </w:tcPr>
          <w:p w14:paraId="473F906B"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15,86</w:t>
            </w:r>
          </w:p>
        </w:tc>
        <w:tc>
          <w:tcPr>
            <w:tcW w:w="850" w:type="dxa"/>
            <w:tcBorders>
              <w:top w:val="nil"/>
              <w:left w:val="nil"/>
              <w:bottom w:val="single" w:sz="4" w:space="0" w:color="auto"/>
              <w:right w:val="single" w:sz="4" w:space="0" w:color="auto"/>
            </w:tcBorders>
            <w:shd w:val="clear" w:color="auto" w:fill="auto"/>
            <w:noWrap/>
            <w:vAlign w:val="bottom"/>
          </w:tcPr>
          <w:p w14:paraId="6C942B37"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100,00</w:t>
            </w:r>
          </w:p>
        </w:tc>
        <w:tc>
          <w:tcPr>
            <w:tcW w:w="1560" w:type="dxa"/>
            <w:tcBorders>
              <w:top w:val="nil"/>
              <w:left w:val="nil"/>
              <w:bottom w:val="single" w:sz="4" w:space="0" w:color="auto"/>
              <w:right w:val="single" w:sz="4" w:space="0" w:color="auto"/>
            </w:tcBorders>
            <w:shd w:val="clear" w:color="auto" w:fill="auto"/>
            <w:vAlign w:val="bottom"/>
          </w:tcPr>
          <w:p w14:paraId="0B4ACEBA"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5F2DF569" w14:textId="77777777" w:rsidTr="00845A54">
        <w:trPr>
          <w:trHeight w:val="274"/>
        </w:trPr>
        <w:tc>
          <w:tcPr>
            <w:tcW w:w="4253" w:type="dxa"/>
            <w:tcBorders>
              <w:top w:val="nil"/>
              <w:left w:val="single" w:sz="4" w:space="0" w:color="auto"/>
              <w:bottom w:val="single" w:sz="4" w:space="0" w:color="auto"/>
              <w:right w:val="single" w:sz="4" w:space="0" w:color="auto"/>
            </w:tcBorders>
            <w:shd w:val="clear" w:color="auto" w:fill="auto"/>
            <w:vAlign w:val="bottom"/>
          </w:tcPr>
          <w:p w14:paraId="46E8D49F" w14:textId="77777777" w:rsidR="00912B9F" w:rsidRPr="00E47AA9" w:rsidRDefault="00912B9F" w:rsidP="00845A54">
            <w:pPr>
              <w:spacing w:after="0" w:line="240" w:lineRule="auto"/>
              <w:rPr>
                <w:rFonts w:ascii="Times New Roman" w:hAnsi="Times New Roman" w:cs="Times New Roman"/>
                <w:b/>
                <w:bCs/>
                <w:i/>
              </w:rPr>
            </w:pPr>
            <w:r w:rsidRPr="00E47AA9">
              <w:rPr>
                <w:rFonts w:ascii="Times New Roman" w:hAnsi="Times New Roman" w:cs="Times New Roman"/>
                <w:b/>
                <w:bCs/>
                <w:i/>
              </w:rPr>
              <w:t>НП "Здравоохранение"</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6D31A22A" w14:textId="77777777" w:rsidR="00912B9F" w:rsidRPr="00E47AA9" w:rsidRDefault="00912B9F" w:rsidP="00845A54">
            <w:pPr>
              <w:spacing w:after="0" w:line="240" w:lineRule="auto"/>
              <w:jc w:val="right"/>
              <w:rPr>
                <w:rFonts w:ascii="Times New Roman" w:hAnsi="Times New Roman" w:cs="Times New Roman"/>
                <w:b/>
                <w:i/>
              </w:rPr>
            </w:pPr>
            <w:r w:rsidRPr="00E47AA9">
              <w:rPr>
                <w:rFonts w:ascii="Times New Roman" w:hAnsi="Times New Roman" w:cs="Times New Roman"/>
                <w:b/>
                <w:i/>
              </w:rPr>
              <w:t>4 962,43</w:t>
            </w:r>
          </w:p>
        </w:tc>
        <w:tc>
          <w:tcPr>
            <w:tcW w:w="1418" w:type="dxa"/>
            <w:tcBorders>
              <w:top w:val="nil"/>
              <w:left w:val="nil"/>
              <w:bottom w:val="single" w:sz="4" w:space="0" w:color="auto"/>
              <w:right w:val="single" w:sz="4" w:space="0" w:color="auto"/>
            </w:tcBorders>
            <w:shd w:val="clear" w:color="auto" w:fill="auto"/>
            <w:noWrap/>
            <w:vAlign w:val="bottom"/>
          </w:tcPr>
          <w:p w14:paraId="24270D43" w14:textId="77777777" w:rsidR="00912B9F" w:rsidRPr="00E47AA9" w:rsidRDefault="00912B9F" w:rsidP="00845A54">
            <w:pPr>
              <w:spacing w:after="0" w:line="240" w:lineRule="auto"/>
              <w:jc w:val="right"/>
              <w:rPr>
                <w:rFonts w:ascii="Times New Roman" w:hAnsi="Times New Roman" w:cs="Times New Roman"/>
                <w:b/>
                <w:i/>
              </w:rPr>
            </w:pPr>
            <w:r w:rsidRPr="00E47AA9">
              <w:rPr>
                <w:rFonts w:ascii="Times New Roman" w:hAnsi="Times New Roman" w:cs="Times New Roman"/>
                <w:b/>
                <w:i/>
              </w:rPr>
              <w:t>4 058,43</w:t>
            </w:r>
          </w:p>
        </w:tc>
        <w:tc>
          <w:tcPr>
            <w:tcW w:w="850" w:type="dxa"/>
            <w:tcBorders>
              <w:top w:val="nil"/>
              <w:left w:val="nil"/>
              <w:bottom w:val="single" w:sz="4" w:space="0" w:color="auto"/>
              <w:right w:val="single" w:sz="4" w:space="0" w:color="auto"/>
            </w:tcBorders>
            <w:shd w:val="clear" w:color="auto" w:fill="auto"/>
            <w:noWrap/>
            <w:vAlign w:val="bottom"/>
          </w:tcPr>
          <w:p w14:paraId="09347B51" w14:textId="77777777" w:rsidR="00912B9F" w:rsidRPr="00E47AA9" w:rsidRDefault="00912B9F" w:rsidP="00845A54">
            <w:pPr>
              <w:spacing w:after="0" w:line="240" w:lineRule="auto"/>
              <w:jc w:val="right"/>
              <w:rPr>
                <w:rFonts w:ascii="Times New Roman" w:hAnsi="Times New Roman" w:cs="Times New Roman"/>
                <w:b/>
                <w:i/>
              </w:rPr>
            </w:pPr>
            <w:r w:rsidRPr="00E47AA9">
              <w:rPr>
                <w:rFonts w:ascii="Times New Roman" w:hAnsi="Times New Roman" w:cs="Times New Roman"/>
                <w:b/>
                <w:i/>
              </w:rPr>
              <w:t>81,78</w:t>
            </w:r>
          </w:p>
        </w:tc>
        <w:tc>
          <w:tcPr>
            <w:tcW w:w="1560" w:type="dxa"/>
            <w:tcBorders>
              <w:top w:val="nil"/>
              <w:left w:val="nil"/>
              <w:bottom w:val="single" w:sz="4" w:space="0" w:color="auto"/>
              <w:right w:val="single" w:sz="4" w:space="0" w:color="auto"/>
            </w:tcBorders>
            <w:shd w:val="clear" w:color="auto" w:fill="auto"/>
            <w:vAlign w:val="bottom"/>
          </w:tcPr>
          <w:p w14:paraId="3D6B79D7" w14:textId="77777777" w:rsidR="00912B9F" w:rsidRPr="00E47AA9" w:rsidRDefault="00912B9F" w:rsidP="00845A54">
            <w:pPr>
              <w:spacing w:after="0" w:line="240" w:lineRule="auto"/>
              <w:jc w:val="right"/>
              <w:rPr>
                <w:rFonts w:ascii="Times New Roman" w:hAnsi="Times New Roman" w:cs="Times New Roman"/>
                <w:b/>
                <w:i/>
              </w:rPr>
            </w:pPr>
            <w:r w:rsidRPr="00E47AA9">
              <w:rPr>
                <w:rFonts w:ascii="Times New Roman" w:hAnsi="Times New Roman" w:cs="Times New Roman"/>
                <w:b/>
                <w:i/>
              </w:rPr>
              <w:t>904,00</w:t>
            </w:r>
          </w:p>
        </w:tc>
      </w:tr>
      <w:tr w:rsidR="00E47AA9" w:rsidRPr="00E47AA9" w14:paraId="6EF12FEA" w14:textId="77777777" w:rsidTr="00845A54">
        <w:trPr>
          <w:trHeight w:val="670"/>
        </w:trPr>
        <w:tc>
          <w:tcPr>
            <w:tcW w:w="4253" w:type="dxa"/>
            <w:tcBorders>
              <w:top w:val="nil"/>
              <w:left w:val="single" w:sz="4" w:space="0" w:color="auto"/>
              <w:bottom w:val="single" w:sz="4" w:space="0" w:color="auto"/>
              <w:right w:val="single" w:sz="4" w:space="0" w:color="auto"/>
            </w:tcBorders>
            <w:shd w:val="clear" w:color="auto" w:fill="auto"/>
            <w:vAlign w:val="center"/>
          </w:tcPr>
          <w:p w14:paraId="012CA1DA" w14:textId="77777777" w:rsidR="00912B9F" w:rsidRPr="00E47AA9" w:rsidRDefault="00912B9F" w:rsidP="00845A54">
            <w:pPr>
              <w:spacing w:after="0" w:line="240" w:lineRule="auto"/>
              <w:rPr>
                <w:rFonts w:ascii="Times New Roman" w:hAnsi="Times New Roman" w:cs="Times New Roman"/>
              </w:rPr>
            </w:pPr>
            <w:r w:rsidRPr="00E47AA9">
              <w:rPr>
                <w:rFonts w:ascii="Times New Roman" w:hAnsi="Times New Roman" w:cs="Times New Roman"/>
              </w:rPr>
              <w:t>Региональный проект "Развитие системы оказания первичной медико-санитарной помощи"</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2849E078"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229,50</w:t>
            </w:r>
          </w:p>
        </w:tc>
        <w:tc>
          <w:tcPr>
            <w:tcW w:w="1418" w:type="dxa"/>
            <w:tcBorders>
              <w:top w:val="nil"/>
              <w:left w:val="nil"/>
              <w:bottom w:val="single" w:sz="4" w:space="0" w:color="auto"/>
              <w:right w:val="single" w:sz="4" w:space="0" w:color="auto"/>
            </w:tcBorders>
            <w:shd w:val="clear" w:color="auto" w:fill="auto"/>
            <w:noWrap/>
            <w:vAlign w:val="bottom"/>
          </w:tcPr>
          <w:p w14:paraId="35351EE2"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229,24</w:t>
            </w:r>
          </w:p>
        </w:tc>
        <w:tc>
          <w:tcPr>
            <w:tcW w:w="850" w:type="dxa"/>
            <w:tcBorders>
              <w:top w:val="nil"/>
              <w:left w:val="nil"/>
              <w:bottom w:val="single" w:sz="4" w:space="0" w:color="auto"/>
              <w:right w:val="single" w:sz="4" w:space="0" w:color="auto"/>
            </w:tcBorders>
            <w:shd w:val="clear" w:color="auto" w:fill="auto"/>
            <w:noWrap/>
            <w:vAlign w:val="bottom"/>
          </w:tcPr>
          <w:p w14:paraId="51EE876D"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99,89</w:t>
            </w:r>
          </w:p>
        </w:tc>
        <w:tc>
          <w:tcPr>
            <w:tcW w:w="1560" w:type="dxa"/>
            <w:tcBorders>
              <w:top w:val="nil"/>
              <w:left w:val="nil"/>
              <w:bottom w:val="single" w:sz="4" w:space="0" w:color="auto"/>
              <w:right w:val="single" w:sz="4" w:space="0" w:color="auto"/>
            </w:tcBorders>
            <w:shd w:val="clear" w:color="auto" w:fill="auto"/>
            <w:vAlign w:val="bottom"/>
          </w:tcPr>
          <w:p w14:paraId="46CE2F16"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0,26</w:t>
            </w:r>
          </w:p>
        </w:tc>
      </w:tr>
      <w:tr w:rsidR="00E47AA9" w:rsidRPr="00E47AA9" w14:paraId="12332A0A" w14:textId="77777777" w:rsidTr="00845A54">
        <w:trPr>
          <w:trHeight w:val="501"/>
        </w:trPr>
        <w:tc>
          <w:tcPr>
            <w:tcW w:w="4253" w:type="dxa"/>
            <w:tcBorders>
              <w:top w:val="nil"/>
              <w:left w:val="single" w:sz="4" w:space="0" w:color="auto"/>
              <w:bottom w:val="single" w:sz="4" w:space="0" w:color="auto"/>
              <w:right w:val="single" w:sz="4" w:space="0" w:color="auto"/>
            </w:tcBorders>
            <w:shd w:val="clear" w:color="auto" w:fill="auto"/>
            <w:vAlign w:val="center"/>
          </w:tcPr>
          <w:p w14:paraId="35C80471" w14:textId="77777777" w:rsidR="00912B9F" w:rsidRPr="00E47AA9" w:rsidRDefault="00912B9F" w:rsidP="00845A54">
            <w:pPr>
              <w:spacing w:after="0" w:line="240" w:lineRule="auto"/>
              <w:rPr>
                <w:rFonts w:ascii="Times New Roman" w:hAnsi="Times New Roman" w:cs="Times New Roman"/>
              </w:rPr>
            </w:pPr>
            <w:r w:rsidRPr="00E47AA9">
              <w:rPr>
                <w:rFonts w:ascii="Times New Roman" w:hAnsi="Times New Roman" w:cs="Times New Roman"/>
              </w:rPr>
              <w:t>Региональный проект "Борьба с сердечно-сосудистыми заболеваниями"</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555F3432"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339,54</w:t>
            </w:r>
          </w:p>
        </w:tc>
        <w:tc>
          <w:tcPr>
            <w:tcW w:w="1418" w:type="dxa"/>
            <w:tcBorders>
              <w:top w:val="nil"/>
              <w:left w:val="nil"/>
              <w:bottom w:val="single" w:sz="4" w:space="0" w:color="auto"/>
              <w:right w:val="single" w:sz="4" w:space="0" w:color="auto"/>
            </w:tcBorders>
            <w:shd w:val="clear" w:color="auto" w:fill="auto"/>
            <w:noWrap/>
            <w:vAlign w:val="bottom"/>
          </w:tcPr>
          <w:p w14:paraId="40625781"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339,45</w:t>
            </w:r>
          </w:p>
        </w:tc>
        <w:tc>
          <w:tcPr>
            <w:tcW w:w="850" w:type="dxa"/>
            <w:tcBorders>
              <w:top w:val="nil"/>
              <w:left w:val="nil"/>
              <w:bottom w:val="single" w:sz="4" w:space="0" w:color="auto"/>
              <w:right w:val="single" w:sz="4" w:space="0" w:color="auto"/>
            </w:tcBorders>
            <w:shd w:val="clear" w:color="auto" w:fill="auto"/>
            <w:noWrap/>
            <w:vAlign w:val="bottom"/>
          </w:tcPr>
          <w:p w14:paraId="17C3B493"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99,97</w:t>
            </w:r>
          </w:p>
        </w:tc>
        <w:tc>
          <w:tcPr>
            <w:tcW w:w="1560" w:type="dxa"/>
            <w:tcBorders>
              <w:top w:val="nil"/>
              <w:left w:val="nil"/>
              <w:bottom w:val="single" w:sz="4" w:space="0" w:color="auto"/>
              <w:right w:val="single" w:sz="4" w:space="0" w:color="auto"/>
            </w:tcBorders>
            <w:shd w:val="clear" w:color="auto" w:fill="auto"/>
            <w:vAlign w:val="bottom"/>
          </w:tcPr>
          <w:p w14:paraId="49F33488"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0,09</w:t>
            </w:r>
          </w:p>
        </w:tc>
      </w:tr>
      <w:tr w:rsidR="00E47AA9" w:rsidRPr="00E47AA9" w14:paraId="279B5BA4" w14:textId="77777777" w:rsidTr="00845A54">
        <w:trPr>
          <w:trHeight w:val="409"/>
        </w:trPr>
        <w:tc>
          <w:tcPr>
            <w:tcW w:w="4253" w:type="dxa"/>
            <w:tcBorders>
              <w:top w:val="nil"/>
              <w:left w:val="single" w:sz="4" w:space="0" w:color="auto"/>
              <w:bottom w:val="single" w:sz="4" w:space="0" w:color="auto"/>
              <w:right w:val="single" w:sz="4" w:space="0" w:color="auto"/>
            </w:tcBorders>
            <w:shd w:val="clear" w:color="auto" w:fill="auto"/>
            <w:vAlign w:val="center"/>
          </w:tcPr>
          <w:p w14:paraId="4FE072EF" w14:textId="77777777" w:rsidR="00912B9F" w:rsidRPr="00E47AA9" w:rsidRDefault="00912B9F" w:rsidP="00845A54">
            <w:pPr>
              <w:spacing w:after="0" w:line="240" w:lineRule="auto"/>
              <w:rPr>
                <w:rFonts w:ascii="Times New Roman" w:hAnsi="Times New Roman" w:cs="Times New Roman"/>
              </w:rPr>
            </w:pPr>
            <w:r w:rsidRPr="00E47AA9">
              <w:rPr>
                <w:rFonts w:ascii="Times New Roman" w:hAnsi="Times New Roman" w:cs="Times New Roman"/>
              </w:rPr>
              <w:t>Региональный проект "Борьба с онкологическими заболеваниями"</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70A62897"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41,69</w:t>
            </w:r>
          </w:p>
        </w:tc>
        <w:tc>
          <w:tcPr>
            <w:tcW w:w="1418" w:type="dxa"/>
            <w:tcBorders>
              <w:top w:val="nil"/>
              <w:left w:val="nil"/>
              <w:bottom w:val="single" w:sz="4" w:space="0" w:color="auto"/>
              <w:right w:val="single" w:sz="4" w:space="0" w:color="auto"/>
            </w:tcBorders>
            <w:shd w:val="clear" w:color="auto" w:fill="auto"/>
            <w:noWrap/>
            <w:vAlign w:val="bottom"/>
          </w:tcPr>
          <w:p w14:paraId="31702D08"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41,69</w:t>
            </w:r>
          </w:p>
        </w:tc>
        <w:tc>
          <w:tcPr>
            <w:tcW w:w="850" w:type="dxa"/>
            <w:tcBorders>
              <w:top w:val="nil"/>
              <w:left w:val="nil"/>
              <w:bottom w:val="single" w:sz="4" w:space="0" w:color="auto"/>
              <w:right w:val="single" w:sz="4" w:space="0" w:color="auto"/>
            </w:tcBorders>
            <w:shd w:val="clear" w:color="auto" w:fill="auto"/>
            <w:noWrap/>
            <w:vAlign w:val="bottom"/>
          </w:tcPr>
          <w:p w14:paraId="377C4F45"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100,00</w:t>
            </w:r>
          </w:p>
        </w:tc>
        <w:tc>
          <w:tcPr>
            <w:tcW w:w="1560" w:type="dxa"/>
            <w:tcBorders>
              <w:top w:val="nil"/>
              <w:left w:val="nil"/>
              <w:bottom w:val="single" w:sz="4" w:space="0" w:color="auto"/>
              <w:right w:val="single" w:sz="4" w:space="0" w:color="auto"/>
            </w:tcBorders>
            <w:shd w:val="clear" w:color="auto" w:fill="auto"/>
            <w:vAlign w:val="bottom"/>
          </w:tcPr>
          <w:p w14:paraId="36F9C8DB"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3CA99E33" w14:textId="77777777" w:rsidTr="00845A54">
        <w:trPr>
          <w:trHeight w:val="596"/>
        </w:trPr>
        <w:tc>
          <w:tcPr>
            <w:tcW w:w="4253" w:type="dxa"/>
            <w:tcBorders>
              <w:top w:val="nil"/>
              <w:left w:val="single" w:sz="4" w:space="0" w:color="auto"/>
              <w:bottom w:val="single" w:sz="4" w:space="0" w:color="auto"/>
              <w:right w:val="single" w:sz="4" w:space="0" w:color="auto"/>
            </w:tcBorders>
            <w:shd w:val="clear" w:color="auto" w:fill="auto"/>
            <w:vAlign w:val="center"/>
          </w:tcPr>
          <w:p w14:paraId="0E177381" w14:textId="77777777" w:rsidR="00912B9F" w:rsidRPr="00E47AA9" w:rsidRDefault="00912B9F" w:rsidP="00845A54">
            <w:pPr>
              <w:spacing w:after="0" w:line="240" w:lineRule="auto"/>
              <w:jc w:val="both"/>
              <w:rPr>
                <w:rFonts w:ascii="Times New Roman" w:hAnsi="Times New Roman" w:cs="Times New Roman"/>
              </w:rPr>
            </w:pPr>
            <w:r w:rsidRPr="00E47AA9">
              <w:rPr>
                <w:rFonts w:ascii="Times New Roman" w:hAnsi="Times New Roman" w:cs="Times New Roman"/>
              </w:rPr>
              <w:t>Региональный проект "Развитие детского здравоохранения, включая создание современной инфраструктуры оказания медицинской помощи детям"</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34B6D5EF"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31,30</w:t>
            </w:r>
          </w:p>
        </w:tc>
        <w:tc>
          <w:tcPr>
            <w:tcW w:w="1418" w:type="dxa"/>
            <w:tcBorders>
              <w:top w:val="nil"/>
              <w:left w:val="nil"/>
              <w:bottom w:val="single" w:sz="4" w:space="0" w:color="auto"/>
              <w:right w:val="single" w:sz="4" w:space="0" w:color="auto"/>
            </w:tcBorders>
            <w:shd w:val="clear" w:color="auto" w:fill="auto"/>
            <w:noWrap/>
            <w:vAlign w:val="bottom"/>
          </w:tcPr>
          <w:p w14:paraId="653A02E5"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31,30</w:t>
            </w:r>
          </w:p>
        </w:tc>
        <w:tc>
          <w:tcPr>
            <w:tcW w:w="850" w:type="dxa"/>
            <w:tcBorders>
              <w:top w:val="nil"/>
              <w:left w:val="nil"/>
              <w:bottom w:val="single" w:sz="4" w:space="0" w:color="auto"/>
              <w:right w:val="single" w:sz="4" w:space="0" w:color="auto"/>
            </w:tcBorders>
            <w:shd w:val="clear" w:color="auto" w:fill="auto"/>
            <w:noWrap/>
            <w:vAlign w:val="bottom"/>
          </w:tcPr>
          <w:p w14:paraId="7D8DF98F"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100,00</w:t>
            </w:r>
          </w:p>
        </w:tc>
        <w:tc>
          <w:tcPr>
            <w:tcW w:w="1560" w:type="dxa"/>
            <w:tcBorders>
              <w:top w:val="nil"/>
              <w:left w:val="nil"/>
              <w:bottom w:val="single" w:sz="4" w:space="0" w:color="auto"/>
              <w:right w:val="single" w:sz="4" w:space="0" w:color="auto"/>
            </w:tcBorders>
            <w:shd w:val="clear" w:color="auto" w:fill="auto"/>
            <w:vAlign w:val="bottom"/>
          </w:tcPr>
          <w:p w14:paraId="4AABD224"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48BF62EE" w14:textId="77777777" w:rsidTr="00845A54">
        <w:trPr>
          <w:trHeight w:val="381"/>
        </w:trPr>
        <w:tc>
          <w:tcPr>
            <w:tcW w:w="4253" w:type="dxa"/>
            <w:tcBorders>
              <w:top w:val="nil"/>
              <w:left w:val="single" w:sz="4" w:space="0" w:color="auto"/>
              <w:bottom w:val="single" w:sz="4" w:space="0" w:color="auto"/>
              <w:right w:val="single" w:sz="4" w:space="0" w:color="auto"/>
            </w:tcBorders>
            <w:shd w:val="clear" w:color="auto" w:fill="auto"/>
            <w:vAlign w:val="center"/>
          </w:tcPr>
          <w:p w14:paraId="5226CC50" w14:textId="77777777" w:rsidR="00912B9F" w:rsidRPr="00E47AA9" w:rsidRDefault="00912B9F" w:rsidP="00845A54">
            <w:pPr>
              <w:spacing w:after="0" w:line="240" w:lineRule="auto"/>
              <w:jc w:val="both"/>
              <w:rPr>
                <w:rFonts w:ascii="Times New Roman" w:hAnsi="Times New Roman" w:cs="Times New Roman"/>
              </w:rPr>
            </w:pPr>
            <w:r w:rsidRPr="00E47AA9">
              <w:rPr>
                <w:rFonts w:ascii="Times New Roman" w:hAnsi="Times New Roman" w:cs="Times New Roman"/>
              </w:rPr>
              <w:t>Региональный проект "Обеспечение медицинских организаций системы здравоохранения квалифицированными кадрами"</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35790556"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609,24</w:t>
            </w:r>
          </w:p>
        </w:tc>
        <w:tc>
          <w:tcPr>
            <w:tcW w:w="1418" w:type="dxa"/>
            <w:tcBorders>
              <w:top w:val="nil"/>
              <w:left w:val="nil"/>
              <w:bottom w:val="single" w:sz="4" w:space="0" w:color="auto"/>
              <w:right w:val="single" w:sz="4" w:space="0" w:color="auto"/>
            </w:tcBorders>
            <w:shd w:val="clear" w:color="auto" w:fill="auto"/>
            <w:noWrap/>
            <w:vAlign w:val="bottom"/>
          </w:tcPr>
          <w:p w14:paraId="7ECE79C6"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609,24</w:t>
            </w:r>
          </w:p>
        </w:tc>
        <w:tc>
          <w:tcPr>
            <w:tcW w:w="850" w:type="dxa"/>
            <w:tcBorders>
              <w:top w:val="nil"/>
              <w:left w:val="nil"/>
              <w:bottom w:val="single" w:sz="4" w:space="0" w:color="auto"/>
              <w:right w:val="single" w:sz="4" w:space="0" w:color="auto"/>
            </w:tcBorders>
            <w:shd w:val="clear" w:color="auto" w:fill="auto"/>
            <w:noWrap/>
            <w:vAlign w:val="bottom"/>
          </w:tcPr>
          <w:p w14:paraId="52229059"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100,00</w:t>
            </w:r>
          </w:p>
        </w:tc>
        <w:tc>
          <w:tcPr>
            <w:tcW w:w="1560" w:type="dxa"/>
            <w:tcBorders>
              <w:top w:val="nil"/>
              <w:left w:val="nil"/>
              <w:bottom w:val="single" w:sz="4" w:space="0" w:color="auto"/>
              <w:right w:val="single" w:sz="4" w:space="0" w:color="auto"/>
            </w:tcBorders>
            <w:shd w:val="clear" w:color="auto" w:fill="auto"/>
            <w:vAlign w:val="bottom"/>
          </w:tcPr>
          <w:p w14:paraId="13088412"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6A5F6504" w14:textId="77777777" w:rsidTr="00845A54">
        <w:trPr>
          <w:trHeight w:val="1139"/>
        </w:trPr>
        <w:tc>
          <w:tcPr>
            <w:tcW w:w="4253" w:type="dxa"/>
            <w:tcBorders>
              <w:top w:val="nil"/>
              <w:left w:val="single" w:sz="4" w:space="0" w:color="auto"/>
              <w:bottom w:val="single" w:sz="4" w:space="0" w:color="auto"/>
              <w:right w:val="single" w:sz="4" w:space="0" w:color="auto"/>
            </w:tcBorders>
            <w:shd w:val="clear" w:color="auto" w:fill="auto"/>
            <w:vAlign w:val="center"/>
          </w:tcPr>
          <w:p w14:paraId="71432DBC" w14:textId="77777777" w:rsidR="00912B9F" w:rsidRPr="00E47AA9" w:rsidRDefault="00912B9F" w:rsidP="00845A54">
            <w:pPr>
              <w:spacing w:after="0" w:line="240" w:lineRule="auto"/>
              <w:rPr>
                <w:rFonts w:ascii="Times New Roman" w:hAnsi="Times New Roman" w:cs="Times New Roman"/>
              </w:rPr>
            </w:pPr>
            <w:r w:rsidRPr="00E47AA9">
              <w:rPr>
                <w:rFonts w:ascii="Times New Roman" w:hAnsi="Times New Roman" w:cs="Times New Roman"/>
              </w:rPr>
              <w:lastRenderedPageBreak/>
              <w:t>Региональный проект "Создание единого цифрового контура в здравоохранении на основе единой государственной информационной системы здравоохранения (ЕГИСЗ)"</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393E6701"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533,78</w:t>
            </w:r>
          </w:p>
        </w:tc>
        <w:tc>
          <w:tcPr>
            <w:tcW w:w="1418" w:type="dxa"/>
            <w:tcBorders>
              <w:top w:val="nil"/>
              <w:left w:val="nil"/>
              <w:bottom w:val="single" w:sz="4" w:space="0" w:color="auto"/>
              <w:right w:val="single" w:sz="4" w:space="0" w:color="auto"/>
            </w:tcBorders>
            <w:shd w:val="clear" w:color="auto" w:fill="auto"/>
            <w:noWrap/>
            <w:vAlign w:val="bottom"/>
          </w:tcPr>
          <w:p w14:paraId="2A0265CF"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526,03</w:t>
            </w:r>
          </w:p>
        </w:tc>
        <w:tc>
          <w:tcPr>
            <w:tcW w:w="850" w:type="dxa"/>
            <w:tcBorders>
              <w:top w:val="nil"/>
              <w:left w:val="nil"/>
              <w:bottom w:val="single" w:sz="4" w:space="0" w:color="auto"/>
              <w:right w:val="single" w:sz="4" w:space="0" w:color="auto"/>
            </w:tcBorders>
            <w:shd w:val="clear" w:color="auto" w:fill="auto"/>
            <w:noWrap/>
            <w:vAlign w:val="bottom"/>
          </w:tcPr>
          <w:p w14:paraId="390884E0"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98,55</w:t>
            </w:r>
          </w:p>
        </w:tc>
        <w:tc>
          <w:tcPr>
            <w:tcW w:w="1560" w:type="dxa"/>
            <w:tcBorders>
              <w:top w:val="nil"/>
              <w:left w:val="nil"/>
              <w:bottom w:val="single" w:sz="4" w:space="0" w:color="auto"/>
              <w:right w:val="single" w:sz="4" w:space="0" w:color="auto"/>
            </w:tcBorders>
            <w:shd w:val="clear" w:color="auto" w:fill="auto"/>
            <w:vAlign w:val="bottom"/>
          </w:tcPr>
          <w:p w14:paraId="16DE5494"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7,75</w:t>
            </w:r>
          </w:p>
        </w:tc>
      </w:tr>
      <w:tr w:rsidR="00E47AA9" w:rsidRPr="00E47AA9" w14:paraId="215E0AD7" w14:textId="77777777" w:rsidTr="00845A54">
        <w:trPr>
          <w:trHeight w:val="777"/>
        </w:trPr>
        <w:tc>
          <w:tcPr>
            <w:tcW w:w="4253" w:type="dxa"/>
            <w:tcBorders>
              <w:top w:val="nil"/>
              <w:left w:val="single" w:sz="4" w:space="0" w:color="auto"/>
              <w:bottom w:val="single" w:sz="4" w:space="0" w:color="auto"/>
              <w:right w:val="single" w:sz="4" w:space="0" w:color="auto"/>
            </w:tcBorders>
            <w:shd w:val="clear" w:color="auto" w:fill="auto"/>
            <w:vAlign w:val="center"/>
          </w:tcPr>
          <w:p w14:paraId="68B32D95" w14:textId="77777777" w:rsidR="00912B9F" w:rsidRPr="00E47AA9" w:rsidRDefault="00912B9F" w:rsidP="00845A54">
            <w:pPr>
              <w:spacing w:after="0" w:line="240" w:lineRule="auto"/>
              <w:rPr>
                <w:rFonts w:ascii="Times New Roman" w:hAnsi="Times New Roman" w:cs="Times New Roman"/>
              </w:rPr>
            </w:pPr>
            <w:r w:rsidRPr="00E47AA9">
              <w:rPr>
                <w:rFonts w:ascii="Times New Roman" w:hAnsi="Times New Roman" w:cs="Times New Roman"/>
              </w:rPr>
              <w:t>Региональный проект "Модернизация первичного звена здравоохранения Приморского края"</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3CE892E2"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3 177,38</w:t>
            </w:r>
          </w:p>
        </w:tc>
        <w:tc>
          <w:tcPr>
            <w:tcW w:w="1418" w:type="dxa"/>
            <w:tcBorders>
              <w:top w:val="nil"/>
              <w:left w:val="nil"/>
              <w:bottom w:val="single" w:sz="4" w:space="0" w:color="auto"/>
              <w:right w:val="single" w:sz="4" w:space="0" w:color="auto"/>
            </w:tcBorders>
            <w:shd w:val="clear" w:color="auto" w:fill="auto"/>
            <w:noWrap/>
            <w:vAlign w:val="bottom"/>
          </w:tcPr>
          <w:p w14:paraId="4157B534"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2 281,48</w:t>
            </w:r>
          </w:p>
        </w:tc>
        <w:tc>
          <w:tcPr>
            <w:tcW w:w="850" w:type="dxa"/>
            <w:tcBorders>
              <w:top w:val="nil"/>
              <w:left w:val="nil"/>
              <w:bottom w:val="single" w:sz="4" w:space="0" w:color="auto"/>
              <w:right w:val="single" w:sz="4" w:space="0" w:color="auto"/>
            </w:tcBorders>
            <w:shd w:val="clear" w:color="auto" w:fill="auto"/>
            <w:noWrap/>
            <w:vAlign w:val="bottom"/>
          </w:tcPr>
          <w:p w14:paraId="5CCF6235"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71,80</w:t>
            </w:r>
          </w:p>
        </w:tc>
        <w:tc>
          <w:tcPr>
            <w:tcW w:w="1560" w:type="dxa"/>
            <w:tcBorders>
              <w:top w:val="nil"/>
              <w:left w:val="nil"/>
              <w:bottom w:val="single" w:sz="4" w:space="0" w:color="auto"/>
              <w:right w:val="single" w:sz="4" w:space="0" w:color="auto"/>
            </w:tcBorders>
            <w:shd w:val="clear" w:color="auto" w:fill="auto"/>
            <w:vAlign w:val="bottom"/>
          </w:tcPr>
          <w:p w14:paraId="1AF76EB0" w14:textId="77777777" w:rsidR="00912B9F" w:rsidRPr="00E47AA9" w:rsidRDefault="00912B9F" w:rsidP="00845A54">
            <w:pPr>
              <w:spacing w:after="0" w:line="240" w:lineRule="auto"/>
              <w:jc w:val="right"/>
              <w:rPr>
                <w:rFonts w:ascii="Times New Roman" w:hAnsi="Times New Roman" w:cs="Times New Roman"/>
              </w:rPr>
            </w:pPr>
            <w:r w:rsidRPr="00E47AA9">
              <w:rPr>
                <w:rFonts w:ascii="Times New Roman" w:hAnsi="Times New Roman" w:cs="Times New Roman"/>
              </w:rPr>
              <w:t>895,90</w:t>
            </w:r>
          </w:p>
        </w:tc>
      </w:tr>
      <w:tr w:rsidR="00E47AA9" w:rsidRPr="00E47AA9" w14:paraId="544A1646" w14:textId="77777777" w:rsidTr="00845A54">
        <w:trPr>
          <w:trHeight w:val="263"/>
        </w:trPr>
        <w:tc>
          <w:tcPr>
            <w:tcW w:w="4253" w:type="dxa"/>
            <w:tcBorders>
              <w:top w:val="nil"/>
              <w:left w:val="single" w:sz="4" w:space="0" w:color="auto"/>
              <w:bottom w:val="single" w:sz="4" w:space="0" w:color="auto"/>
              <w:right w:val="single" w:sz="4" w:space="0" w:color="auto"/>
            </w:tcBorders>
            <w:shd w:val="clear" w:color="auto" w:fill="auto"/>
            <w:vAlign w:val="bottom"/>
          </w:tcPr>
          <w:p w14:paraId="2FD296B9" w14:textId="77777777" w:rsidR="00912B9F" w:rsidRPr="00E47AA9" w:rsidRDefault="00912B9F" w:rsidP="00845A54">
            <w:pPr>
              <w:spacing w:after="0" w:line="240" w:lineRule="auto"/>
              <w:rPr>
                <w:rFonts w:ascii="Times New Roman" w:hAnsi="Times New Roman" w:cs="Times New Roman"/>
                <w:b/>
              </w:rPr>
            </w:pPr>
            <w:r w:rsidRPr="00E47AA9">
              <w:rPr>
                <w:rFonts w:ascii="Times New Roman" w:hAnsi="Times New Roman" w:cs="Times New Roman"/>
                <w:b/>
              </w:rPr>
              <w:t>комплексы процессных мероприятий</w:t>
            </w:r>
          </w:p>
        </w:tc>
        <w:tc>
          <w:tcPr>
            <w:tcW w:w="1559" w:type="dxa"/>
            <w:tcBorders>
              <w:top w:val="nil"/>
              <w:left w:val="single" w:sz="4" w:space="0" w:color="auto"/>
              <w:bottom w:val="single" w:sz="4" w:space="0" w:color="auto"/>
              <w:right w:val="single" w:sz="4" w:space="0" w:color="auto"/>
            </w:tcBorders>
            <w:shd w:val="clear" w:color="auto" w:fill="auto"/>
            <w:noWrap/>
            <w:vAlign w:val="bottom"/>
          </w:tcPr>
          <w:p w14:paraId="3CED0F06" w14:textId="77777777" w:rsidR="00912B9F" w:rsidRPr="00E47AA9" w:rsidRDefault="00912B9F" w:rsidP="00845A54">
            <w:pPr>
              <w:spacing w:after="0" w:line="240" w:lineRule="auto"/>
              <w:jc w:val="right"/>
              <w:rPr>
                <w:rFonts w:ascii="Times New Roman" w:hAnsi="Times New Roman" w:cs="Times New Roman"/>
                <w:b/>
              </w:rPr>
            </w:pPr>
            <w:r w:rsidRPr="00E47AA9">
              <w:rPr>
                <w:rFonts w:ascii="Times New Roman" w:hAnsi="Times New Roman" w:cs="Times New Roman"/>
                <w:b/>
              </w:rPr>
              <w:t>32 109,78</w:t>
            </w:r>
          </w:p>
        </w:tc>
        <w:tc>
          <w:tcPr>
            <w:tcW w:w="1418" w:type="dxa"/>
            <w:tcBorders>
              <w:top w:val="nil"/>
              <w:left w:val="nil"/>
              <w:bottom w:val="single" w:sz="4" w:space="0" w:color="auto"/>
              <w:right w:val="single" w:sz="4" w:space="0" w:color="auto"/>
            </w:tcBorders>
            <w:shd w:val="clear" w:color="auto" w:fill="auto"/>
            <w:noWrap/>
            <w:vAlign w:val="bottom"/>
          </w:tcPr>
          <w:p w14:paraId="6D662E85" w14:textId="77777777" w:rsidR="00912B9F" w:rsidRPr="00E47AA9" w:rsidRDefault="00912B9F" w:rsidP="00845A54">
            <w:pPr>
              <w:spacing w:after="0" w:line="240" w:lineRule="auto"/>
              <w:jc w:val="right"/>
              <w:rPr>
                <w:rFonts w:ascii="Times New Roman" w:hAnsi="Times New Roman" w:cs="Times New Roman"/>
                <w:b/>
              </w:rPr>
            </w:pPr>
            <w:r w:rsidRPr="00E47AA9">
              <w:rPr>
                <w:rFonts w:ascii="Times New Roman" w:hAnsi="Times New Roman" w:cs="Times New Roman"/>
                <w:b/>
              </w:rPr>
              <w:t>31 984,37</w:t>
            </w:r>
          </w:p>
        </w:tc>
        <w:tc>
          <w:tcPr>
            <w:tcW w:w="850" w:type="dxa"/>
            <w:tcBorders>
              <w:top w:val="nil"/>
              <w:left w:val="nil"/>
              <w:bottom w:val="single" w:sz="4" w:space="0" w:color="auto"/>
              <w:right w:val="single" w:sz="4" w:space="0" w:color="auto"/>
            </w:tcBorders>
            <w:shd w:val="clear" w:color="auto" w:fill="auto"/>
            <w:noWrap/>
            <w:vAlign w:val="bottom"/>
          </w:tcPr>
          <w:p w14:paraId="0413A040" w14:textId="77777777" w:rsidR="00912B9F" w:rsidRPr="00E47AA9" w:rsidRDefault="00912B9F" w:rsidP="00845A54">
            <w:pPr>
              <w:spacing w:after="0" w:line="240" w:lineRule="auto"/>
              <w:jc w:val="right"/>
              <w:rPr>
                <w:rFonts w:ascii="Times New Roman" w:hAnsi="Times New Roman" w:cs="Times New Roman"/>
                <w:b/>
              </w:rPr>
            </w:pPr>
            <w:r w:rsidRPr="00E47AA9">
              <w:rPr>
                <w:rFonts w:ascii="Times New Roman" w:hAnsi="Times New Roman" w:cs="Times New Roman"/>
                <w:b/>
              </w:rPr>
              <w:t>99,61</w:t>
            </w:r>
          </w:p>
        </w:tc>
        <w:tc>
          <w:tcPr>
            <w:tcW w:w="1560" w:type="dxa"/>
            <w:tcBorders>
              <w:top w:val="nil"/>
              <w:left w:val="nil"/>
              <w:bottom w:val="single" w:sz="4" w:space="0" w:color="auto"/>
              <w:right w:val="single" w:sz="4" w:space="0" w:color="auto"/>
            </w:tcBorders>
            <w:shd w:val="clear" w:color="auto" w:fill="auto"/>
            <w:vAlign w:val="bottom"/>
          </w:tcPr>
          <w:p w14:paraId="7FF77B82" w14:textId="77777777" w:rsidR="00912B9F" w:rsidRPr="00E47AA9" w:rsidRDefault="00912B9F" w:rsidP="00845A54">
            <w:pPr>
              <w:spacing w:after="0" w:line="240" w:lineRule="auto"/>
              <w:jc w:val="right"/>
              <w:rPr>
                <w:rFonts w:ascii="Times New Roman" w:hAnsi="Times New Roman" w:cs="Times New Roman"/>
                <w:b/>
              </w:rPr>
            </w:pPr>
            <w:r w:rsidRPr="00E47AA9">
              <w:rPr>
                <w:rFonts w:ascii="Times New Roman" w:hAnsi="Times New Roman" w:cs="Times New Roman"/>
                <w:b/>
              </w:rPr>
              <w:t>125,41</w:t>
            </w:r>
          </w:p>
        </w:tc>
      </w:tr>
    </w:tbl>
    <w:p w14:paraId="39455292" w14:textId="77777777" w:rsidR="00912B9F" w:rsidRPr="00E47AA9" w:rsidRDefault="00912B9F" w:rsidP="00912B9F">
      <w:pPr>
        <w:spacing w:after="0" w:line="240" w:lineRule="auto"/>
        <w:jc w:val="both"/>
        <w:rPr>
          <w:rFonts w:ascii="Times New Roman" w:eastAsia="Times New Roman" w:hAnsi="Times New Roman" w:cs="Times New Roman"/>
          <w:sz w:val="28"/>
          <w:szCs w:val="28"/>
        </w:rPr>
      </w:pPr>
    </w:p>
    <w:p w14:paraId="743AD74E" w14:textId="3522E795" w:rsidR="0061015E" w:rsidRPr="00E47AA9" w:rsidRDefault="0061015E" w:rsidP="0061015E">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Согласно Сводному годовому докладу:</w:t>
      </w:r>
    </w:p>
    <w:p w14:paraId="1062C95E" w14:textId="406AAA63" w:rsidR="0061015E" w:rsidRPr="00E47AA9" w:rsidRDefault="0061015E" w:rsidP="0061015E">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из 94 мероприятий государственной программы, запланированных к</w:t>
      </w:r>
      <w:r w:rsidR="00137794"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выполнению в 2024 году, выполнены в полном объеме 69 мероприятий, 22</w:t>
      </w:r>
      <w:r w:rsidR="00137794"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мероприятия выполнены не в полном объеме, 3 мероприятия не выполнены;</w:t>
      </w:r>
    </w:p>
    <w:p w14:paraId="38D3E2B5" w14:textId="3814446B" w:rsidR="0061015E" w:rsidRPr="00E47AA9" w:rsidRDefault="0061015E" w:rsidP="0061015E">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из 101 показателя 66 достигли планового значения, 11 показателей достигнуты не в полном объеме, 3 показателя не достигнуты, информация о</w:t>
      </w:r>
      <w:r w:rsidR="00137794"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фактически достигнутых значениях 21 показателя в отчете не предоставлена;</w:t>
      </w:r>
    </w:p>
    <w:p w14:paraId="33ACFF23" w14:textId="0216FEBB" w:rsidR="0061015E" w:rsidRPr="00E47AA9" w:rsidRDefault="0061015E" w:rsidP="0061015E">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эффективность реализации государственной программы составила 86,9</w:t>
      </w:r>
      <w:r w:rsidR="00137794"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 (ниже среднего уровня).</w:t>
      </w:r>
    </w:p>
    <w:p w14:paraId="337D8E65" w14:textId="77777777" w:rsidR="00912B9F" w:rsidRPr="00E47AA9" w:rsidRDefault="00912B9F" w:rsidP="00912B9F">
      <w:pPr>
        <w:spacing w:after="0" w:line="240" w:lineRule="auto"/>
        <w:ind w:firstLine="708"/>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bCs/>
          <w:iCs/>
          <w:sz w:val="28"/>
          <w:szCs w:val="28"/>
        </w:rPr>
        <w:t>Подпрограмма</w:t>
      </w:r>
      <w:r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b/>
          <w:sz w:val="28"/>
          <w:szCs w:val="28"/>
          <w:lang w:eastAsia="ru-RU"/>
        </w:rPr>
        <w:t xml:space="preserve">"Формирование эффективной системы организации медицинской помощи" </w:t>
      </w:r>
    </w:p>
    <w:p w14:paraId="72CC8CFC" w14:textId="77777777" w:rsidR="00912B9F" w:rsidRPr="00E47AA9" w:rsidRDefault="00912B9F" w:rsidP="00912B9F">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Расходы по министерству здравоохранения Приморского края и министерству строительства Приморского края на реализацию </w:t>
      </w:r>
      <w:r w:rsidRPr="00E47AA9">
        <w:rPr>
          <w:rFonts w:ascii="Times New Roman" w:eastAsia="Times New Roman" w:hAnsi="Times New Roman" w:cs="Times New Roman"/>
          <w:i/>
          <w:sz w:val="28"/>
          <w:szCs w:val="28"/>
          <w:lang w:eastAsia="ru-RU"/>
        </w:rPr>
        <w:t>НП "Здравоохранение"</w:t>
      </w:r>
      <w:r w:rsidRPr="00E47AA9">
        <w:rPr>
          <w:rFonts w:ascii="Times New Roman" w:eastAsia="Times New Roman" w:hAnsi="Times New Roman" w:cs="Times New Roman"/>
          <w:sz w:val="28"/>
          <w:szCs w:val="28"/>
          <w:lang w:eastAsia="ru-RU"/>
        </w:rPr>
        <w:t xml:space="preserve"> составили 2583,71 млн рублей (74,25 % от плана 3479,87 млн рублей), в том числе по четырем региональным проектам:</w:t>
      </w:r>
    </w:p>
    <w:p w14:paraId="2C4986A6"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РП "Развитие системы оказания первичной медико-санитарной помощи",</w:t>
      </w:r>
      <w:r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i/>
          <w:sz w:val="28"/>
          <w:szCs w:val="28"/>
          <w:lang w:eastAsia="ru-RU"/>
        </w:rPr>
        <w:t>"Борьба с онкологическими заболеваниями"</w:t>
      </w:r>
      <w:r w:rsidRPr="00E47AA9">
        <w:rPr>
          <w:rFonts w:ascii="Times New Roman" w:eastAsia="Times New Roman" w:hAnsi="Times New Roman" w:cs="Times New Roman"/>
          <w:sz w:val="28"/>
          <w:szCs w:val="28"/>
          <w:lang w:eastAsia="ru-RU"/>
        </w:rPr>
        <w:t xml:space="preserve"> и </w:t>
      </w:r>
      <w:r w:rsidRPr="00E47AA9">
        <w:rPr>
          <w:rFonts w:ascii="Times New Roman" w:eastAsia="Times New Roman" w:hAnsi="Times New Roman" w:cs="Times New Roman"/>
          <w:i/>
          <w:sz w:val="28"/>
          <w:szCs w:val="28"/>
          <w:lang w:eastAsia="ru-RU"/>
        </w:rPr>
        <w:t>"Развитие детского здравоохранения, включая создание современной инфраструктуры оказания медицинской помощи детям"</w:t>
      </w:r>
      <w:r w:rsidRPr="00E47AA9">
        <w:rPr>
          <w:rFonts w:ascii="Times New Roman" w:eastAsia="Times New Roman" w:hAnsi="Times New Roman" w:cs="Times New Roman"/>
          <w:sz w:val="28"/>
          <w:szCs w:val="28"/>
          <w:lang w:eastAsia="ru-RU"/>
        </w:rPr>
        <w:t xml:space="preserve"> – в полном и практически в полном объеме плановых назначений, соответственно 229,24 млн рублей, 41,69 млн рублей и 31,30 млн рублей;</w:t>
      </w:r>
    </w:p>
    <w:p w14:paraId="1BBF65C0" w14:textId="37530D80"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РП "Модернизация первичного звена здравоохранения Приморского края"</w:t>
      </w:r>
      <w:r w:rsidRPr="00E47AA9">
        <w:rPr>
          <w:rFonts w:ascii="Times New Roman" w:eastAsia="Times New Roman" w:hAnsi="Times New Roman" w:cs="Times New Roman"/>
          <w:sz w:val="28"/>
          <w:szCs w:val="28"/>
          <w:lang w:eastAsia="ru-RU"/>
        </w:rPr>
        <w:t xml:space="preserve"> – 2281,48 рублей, или 71,80 %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3177,38 млн рублей). </w:t>
      </w:r>
    </w:p>
    <w:p w14:paraId="18AF2941"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Более подробная информация по исполнению мероприятий РП отражена в приложении 3 к заключению.</w:t>
      </w:r>
    </w:p>
    <w:p w14:paraId="12CE666D" w14:textId="77777777" w:rsidR="00912B9F" w:rsidRPr="00E47AA9" w:rsidRDefault="00912B9F" w:rsidP="00912B9F">
      <w:pPr>
        <w:pStyle w:val="ConsPlusNormal"/>
        <w:widowControl/>
        <w:ind w:firstLine="708"/>
        <w:jc w:val="both"/>
        <w:rPr>
          <w:rFonts w:ascii="Times New Roman" w:hAnsi="Times New Roman" w:cs="Times New Roman"/>
          <w:sz w:val="28"/>
          <w:szCs w:val="28"/>
        </w:rPr>
      </w:pPr>
      <w:r w:rsidRPr="00E47AA9">
        <w:rPr>
          <w:rFonts w:ascii="Times New Roman" w:hAnsi="Times New Roman" w:cs="Times New Roman"/>
          <w:sz w:val="28"/>
          <w:szCs w:val="28"/>
        </w:rPr>
        <w:t xml:space="preserve">Также в рамках подпрограммы реализованы следующие </w:t>
      </w:r>
      <w:r w:rsidRPr="00E47AA9">
        <w:rPr>
          <w:rFonts w:ascii="Times New Roman" w:hAnsi="Times New Roman" w:cs="Times New Roman"/>
          <w:i/>
          <w:sz w:val="28"/>
          <w:szCs w:val="28"/>
        </w:rPr>
        <w:t>комплексы процессных мероприятий</w:t>
      </w:r>
      <w:r w:rsidRPr="00E47AA9">
        <w:rPr>
          <w:rFonts w:ascii="Times New Roman" w:hAnsi="Times New Roman" w:cs="Times New Roman"/>
          <w:sz w:val="28"/>
          <w:szCs w:val="28"/>
        </w:rPr>
        <w:t>,</w:t>
      </w:r>
      <w:r w:rsidRPr="00E47AA9">
        <w:rPr>
          <w:rFonts w:ascii="Times New Roman" w:hAnsi="Times New Roman" w:cs="Times New Roman"/>
          <w:b/>
          <w:i/>
          <w:sz w:val="28"/>
          <w:szCs w:val="28"/>
        </w:rPr>
        <w:t xml:space="preserve"> </w:t>
      </w:r>
      <w:r w:rsidRPr="00E47AA9">
        <w:rPr>
          <w:rFonts w:ascii="Times New Roman" w:hAnsi="Times New Roman" w:cs="Times New Roman"/>
          <w:sz w:val="28"/>
          <w:szCs w:val="28"/>
        </w:rPr>
        <w:t xml:space="preserve">из них: </w:t>
      </w:r>
      <w:r w:rsidRPr="00E47AA9">
        <w:rPr>
          <w:rFonts w:ascii="Times New Roman" w:hAnsi="Times New Roman" w:cs="Times New Roman"/>
          <w:sz w:val="28"/>
          <w:szCs w:val="28"/>
          <w:u w:val="single"/>
        </w:rPr>
        <w:t>министерством здравоохранения Приморского края</w:t>
      </w:r>
      <w:r w:rsidRPr="00E47AA9">
        <w:rPr>
          <w:rFonts w:ascii="Times New Roman" w:hAnsi="Times New Roman" w:cs="Times New Roman"/>
          <w:sz w:val="28"/>
          <w:szCs w:val="28"/>
        </w:rPr>
        <w:t xml:space="preserve"> по:</w:t>
      </w:r>
    </w:p>
    <w:p w14:paraId="133C25D6" w14:textId="2728E168"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"Обеспечение деятельности краевых государственных учреждений здравоохранения"</w:t>
      </w:r>
      <w:r w:rsidRPr="00E47AA9">
        <w:rPr>
          <w:rFonts w:ascii="Times New Roman" w:eastAsia="Times New Roman" w:hAnsi="Times New Roman" w:cs="Times New Roman"/>
          <w:b/>
          <w:i/>
          <w:sz w:val="28"/>
          <w:szCs w:val="28"/>
          <w:lang w:eastAsia="ru-RU"/>
        </w:rPr>
        <w:t xml:space="preserve"> </w:t>
      </w:r>
      <w:r w:rsidRPr="00E47AA9">
        <w:rPr>
          <w:rFonts w:ascii="Times New Roman" w:eastAsia="Times New Roman" w:hAnsi="Times New Roman" w:cs="Times New Roman"/>
          <w:sz w:val="28"/>
          <w:szCs w:val="28"/>
          <w:lang w:eastAsia="ru-RU"/>
        </w:rPr>
        <w:t xml:space="preserve">– 9832,53 млн рублей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9839,02 млн рублей), из них:</w:t>
      </w:r>
    </w:p>
    <w:p w14:paraId="05844C1A" w14:textId="135A5FE2"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расходы на обеспечение деятельности (оказание услуг, выполнение работ) краевых государственных учреждений – 8408,95 млн рублей (план</w:t>
      </w:r>
      <w:r w:rsidR="00137794"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xml:space="preserve"> 8413,81 млн рублей);</w:t>
      </w:r>
    </w:p>
    <w:p w14:paraId="3F682E41" w14:textId="744359D1"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субсидий краевым государственным бюджетным и автономным учреждениям на иные цели (далее – субсидии на иные цели) – 1418,75 млн рублей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1418,97 млн рублей), из них в полном объеме плановых назначений произведены расходы на:</w:t>
      </w:r>
    </w:p>
    <w:p w14:paraId="1AC33EEB"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оказание экстренной помощи незастрахованным и </w:t>
      </w:r>
      <w:proofErr w:type="spellStart"/>
      <w:r w:rsidRPr="00E47AA9">
        <w:rPr>
          <w:rFonts w:ascii="Times New Roman" w:eastAsia="Times New Roman" w:hAnsi="Times New Roman" w:cs="Times New Roman"/>
          <w:sz w:val="28"/>
          <w:szCs w:val="28"/>
          <w:lang w:eastAsia="ru-RU"/>
        </w:rPr>
        <w:t>неидентифицированным</w:t>
      </w:r>
      <w:proofErr w:type="spellEnd"/>
      <w:r w:rsidRPr="00E47AA9">
        <w:rPr>
          <w:rFonts w:ascii="Times New Roman" w:eastAsia="Times New Roman" w:hAnsi="Times New Roman" w:cs="Times New Roman"/>
          <w:sz w:val="28"/>
          <w:szCs w:val="28"/>
          <w:lang w:eastAsia="ru-RU"/>
        </w:rPr>
        <w:t xml:space="preserve"> в системе обязательного медицинского страхования гражданам – 122,00 млн рублей; </w:t>
      </w:r>
    </w:p>
    <w:p w14:paraId="4F5185E7"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субсидию на погашение кредиторской задолженности краевым государственным учреждениям здравоохранения – 1103,60 млн рублей;</w:t>
      </w:r>
    </w:p>
    <w:p w14:paraId="058AC22B"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оплату коммунальных услуг в фельдшерско-акушерских пунктах краевых государственных учреждений здравоохранения – 69,31 млн рублей.</w:t>
      </w:r>
    </w:p>
    <w:p w14:paraId="37479788"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Министерством здравоохранения Приморского края перевыполнен показатель, установленный в приложениях к Плану мероприятий ("дорожной карте") по доведению средней заработной платы до среднемесячного дохода от трудовой деятельности в Приморском крае (на 2024 год – 67492,8 рублей):</w:t>
      </w:r>
    </w:p>
    <w:p w14:paraId="508D00D1"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врачей и работников медицинских организаций, имеющих высшее образование, предоставляющих медицинские услуги. Факт составил 144280,00 рублей, или 213,8 %, к прогнозу среднемесячного дохода от трудовой деятельности;</w:t>
      </w:r>
    </w:p>
    <w:p w14:paraId="4C65258C"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среднего медицинского персонала.  Факт – 78046,4 рубля, или 115,6 %, к прогнозу среднемесячного дохода от трудовой деятельности.</w:t>
      </w:r>
    </w:p>
    <w:p w14:paraId="5F5E3A9C"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При этом по младшему медицинскому персоналу складывается тенденция, при которой целевой показатель второй год подряд остается не достигнут. За 2024 год факт составил 66500,4 рублей, или 98,5 % от целевого показателя по данной категории в размере 67492,8 рублей. </w:t>
      </w:r>
      <w:r w:rsidR="00E52E59" w:rsidRPr="00E47AA9">
        <w:rPr>
          <w:rFonts w:ascii="Times New Roman" w:eastAsia="Times New Roman" w:hAnsi="Times New Roman" w:cs="Times New Roman"/>
          <w:sz w:val="28"/>
          <w:szCs w:val="28"/>
          <w:lang w:eastAsia="ru-RU"/>
        </w:rPr>
        <w:t>Факт в</w:t>
      </w:r>
      <w:r w:rsidRPr="00E47AA9">
        <w:rPr>
          <w:rFonts w:ascii="Times New Roman" w:eastAsia="Times New Roman" w:hAnsi="Times New Roman" w:cs="Times New Roman"/>
          <w:sz w:val="28"/>
          <w:szCs w:val="28"/>
          <w:lang w:eastAsia="ru-RU"/>
        </w:rPr>
        <w:t xml:space="preserve"> 2023 году составил 54747,9 рублей, или 97,7 % от плана</w:t>
      </w:r>
      <w:r w:rsidR="009336C7"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56022,2 рублей</w:t>
      </w:r>
      <w:r w:rsidR="009336C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w:t>
      </w:r>
    </w:p>
    <w:p w14:paraId="3CFB48D7"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"Развитие и укрепление материально-технической базы краевых государственных учреждений здравоохранения"</w:t>
      </w:r>
      <w:r w:rsidRPr="00E47AA9">
        <w:rPr>
          <w:rFonts w:ascii="Times New Roman" w:eastAsia="Times New Roman" w:hAnsi="Times New Roman" w:cs="Times New Roman"/>
          <w:sz w:val="28"/>
          <w:szCs w:val="28"/>
          <w:lang w:eastAsia="ru-RU"/>
        </w:rPr>
        <w:t xml:space="preserve"> – 1517,15 млн рублей (96,97 % от плана 1564,50 млн рублей).</w:t>
      </w:r>
    </w:p>
    <w:p w14:paraId="0F26359A"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Основной объем в КПМ занимают субсидии на иные цели в сумме 1161,59 млн рублей, из них </w:t>
      </w:r>
      <w:r w:rsidRPr="00E47AA9">
        <w:rPr>
          <w:rFonts w:ascii="Times New Roman" w:eastAsia="Times New Roman" w:hAnsi="Times New Roman" w:cs="Times New Roman"/>
          <w:sz w:val="28"/>
          <w:szCs w:val="28"/>
        </w:rPr>
        <w:t>704,48 млн рублей (98,44 % от плана 715,64 млн рублей) направлены на </w:t>
      </w:r>
      <w:r w:rsidRPr="00E47AA9">
        <w:rPr>
          <w:rFonts w:ascii="Times New Roman" w:eastAsia="Times New Roman" w:hAnsi="Times New Roman" w:cs="Times New Roman"/>
          <w:sz w:val="28"/>
          <w:szCs w:val="28"/>
          <w:lang w:eastAsia="ru-RU"/>
        </w:rPr>
        <w:t>проведение ремонта в краевых государственных учреждениях здравоохранения (далее – КГБУЗ).</w:t>
      </w:r>
    </w:p>
    <w:p w14:paraId="47E31216"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полном объеме плановых назначений направлены средства на реализацию мероприятий по:</w:t>
      </w:r>
    </w:p>
    <w:p w14:paraId="6D39B839"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созданию (развитию) и оснащению (дооснащению) региональных эндокринологических центров и школ для пациентов с сахарным диабетом (82,41 млн рублей);</w:t>
      </w:r>
    </w:p>
    <w:p w14:paraId="5A5D4191"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дооснащению (переоснащению) медицинских организаций, оказывающих медицинскую помощь сельским жителям и жителям отдаленных территорий, оборудованием для выявления сахарного диабета и </w:t>
      </w:r>
      <w:r w:rsidRPr="00E47AA9">
        <w:rPr>
          <w:rFonts w:ascii="Times New Roman" w:eastAsia="Times New Roman" w:hAnsi="Times New Roman" w:cs="Times New Roman"/>
          <w:sz w:val="28"/>
          <w:szCs w:val="28"/>
          <w:lang w:eastAsia="ru-RU"/>
        </w:rPr>
        <w:lastRenderedPageBreak/>
        <w:t>контроля за состоянием пациента с ранее выявленным сахарным диабетом (14,68 млн рублей)</w:t>
      </w:r>
      <w:r w:rsidR="00816CA3" w:rsidRPr="00E47AA9">
        <w:rPr>
          <w:rFonts w:ascii="Times New Roman" w:eastAsia="Times New Roman" w:hAnsi="Times New Roman" w:cs="Times New Roman"/>
          <w:sz w:val="28"/>
          <w:szCs w:val="28"/>
          <w:lang w:eastAsia="ru-RU"/>
        </w:rPr>
        <w:t>.</w:t>
      </w:r>
    </w:p>
    <w:p w14:paraId="46A93004"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На приобретение модульных фельдшерско-акушерских пунктов (ФАП) и врачебных амбулаторий на территории Приморского края направлено 225,50 млн рублей, или 90,20 % от плана 250,00 млн рублей. Расходы произведены по фактически выполненным работам. В отчетном году приобретены и установлены 1 врачебная амбулатория </w:t>
      </w:r>
      <w:r w:rsidR="00816CA3" w:rsidRPr="00E47AA9">
        <w:rPr>
          <w:rFonts w:ascii="Times New Roman" w:eastAsia="Times New Roman" w:hAnsi="Times New Roman" w:cs="Times New Roman"/>
          <w:sz w:val="28"/>
          <w:szCs w:val="28"/>
          <w:lang w:eastAsia="ru-RU"/>
        </w:rPr>
        <w:t xml:space="preserve">в </w:t>
      </w:r>
      <w:r w:rsidRPr="00E47AA9">
        <w:rPr>
          <w:rFonts w:ascii="Times New Roman" w:eastAsia="Times New Roman" w:hAnsi="Times New Roman" w:cs="Times New Roman"/>
          <w:sz w:val="28"/>
          <w:szCs w:val="28"/>
          <w:lang w:eastAsia="ru-RU"/>
        </w:rPr>
        <w:t xml:space="preserve">пгт </w:t>
      </w:r>
      <w:proofErr w:type="spellStart"/>
      <w:r w:rsidRPr="00E47AA9">
        <w:rPr>
          <w:rFonts w:ascii="Times New Roman" w:eastAsia="Times New Roman" w:hAnsi="Times New Roman" w:cs="Times New Roman"/>
          <w:sz w:val="28"/>
          <w:szCs w:val="28"/>
          <w:lang w:eastAsia="ru-RU"/>
        </w:rPr>
        <w:t>Смоляниново</w:t>
      </w:r>
      <w:proofErr w:type="spellEnd"/>
      <w:r w:rsidRPr="00E47AA9">
        <w:rPr>
          <w:rFonts w:ascii="Times New Roman" w:eastAsia="Times New Roman" w:hAnsi="Times New Roman" w:cs="Times New Roman"/>
          <w:sz w:val="28"/>
          <w:szCs w:val="28"/>
          <w:lang w:eastAsia="ru-RU"/>
        </w:rPr>
        <w:t xml:space="preserve"> (КГБУЗ "</w:t>
      </w:r>
      <w:proofErr w:type="spellStart"/>
      <w:r w:rsidRPr="00E47AA9">
        <w:rPr>
          <w:rFonts w:ascii="Times New Roman" w:eastAsia="Times New Roman" w:hAnsi="Times New Roman" w:cs="Times New Roman"/>
          <w:sz w:val="28"/>
          <w:szCs w:val="28"/>
          <w:lang w:eastAsia="ru-RU"/>
        </w:rPr>
        <w:t>Шкотовская</w:t>
      </w:r>
      <w:proofErr w:type="spellEnd"/>
      <w:r w:rsidRPr="00E47AA9">
        <w:rPr>
          <w:rFonts w:ascii="Times New Roman" w:eastAsia="Times New Roman" w:hAnsi="Times New Roman" w:cs="Times New Roman"/>
          <w:sz w:val="28"/>
          <w:szCs w:val="28"/>
          <w:lang w:eastAsia="ru-RU"/>
        </w:rPr>
        <w:t xml:space="preserve"> центральная районная больница") и 12 </w:t>
      </w:r>
      <w:proofErr w:type="spellStart"/>
      <w:r w:rsidRPr="00E47AA9">
        <w:rPr>
          <w:rFonts w:ascii="Times New Roman" w:eastAsia="Times New Roman" w:hAnsi="Times New Roman" w:cs="Times New Roman"/>
          <w:sz w:val="28"/>
          <w:szCs w:val="28"/>
          <w:lang w:eastAsia="ru-RU"/>
        </w:rPr>
        <w:t>ФАПов</w:t>
      </w:r>
      <w:proofErr w:type="spellEnd"/>
      <w:r w:rsidR="00816CA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 в</w:t>
      </w:r>
      <w:r w:rsidRPr="00E47AA9">
        <w:rPr>
          <w:rFonts w:ascii="Times New Roman" w:eastAsia="Times New Roman" w:hAnsi="Times New Roman" w:cs="Times New Roman"/>
          <w:sz w:val="28"/>
          <w:szCs w:val="28"/>
          <w:lang w:eastAsia="ru-RU"/>
        </w:rPr>
        <w:br/>
        <w:t xml:space="preserve">с. </w:t>
      </w:r>
      <w:proofErr w:type="spellStart"/>
      <w:r w:rsidRPr="00E47AA9">
        <w:rPr>
          <w:rFonts w:ascii="Times New Roman" w:eastAsia="Times New Roman" w:hAnsi="Times New Roman" w:cs="Times New Roman"/>
          <w:sz w:val="28"/>
          <w:szCs w:val="28"/>
          <w:lang w:eastAsia="ru-RU"/>
        </w:rPr>
        <w:t>Веденка</w:t>
      </w:r>
      <w:proofErr w:type="spellEnd"/>
      <w:r w:rsidRPr="00E47AA9">
        <w:rPr>
          <w:rFonts w:ascii="Times New Roman" w:eastAsia="Times New Roman" w:hAnsi="Times New Roman" w:cs="Times New Roman"/>
          <w:sz w:val="28"/>
          <w:szCs w:val="28"/>
          <w:lang w:eastAsia="ru-RU"/>
        </w:rPr>
        <w:t xml:space="preserve"> (КГБУЗ "</w:t>
      </w:r>
      <w:proofErr w:type="spellStart"/>
      <w:r w:rsidRPr="00E47AA9">
        <w:rPr>
          <w:rFonts w:ascii="Times New Roman" w:eastAsia="Times New Roman" w:hAnsi="Times New Roman" w:cs="Times New Roman"/>
          <w:sz w:val="28"/>
          <w:szCs w:val="28"/>
          <w:lang w:eastAsia="ru-RU"/>
        </w:rPr>
        <w:t>Дальнереченская</w:t>
      </w:r>
      <w:proofErr w:type="spellEnd"/>
      <w:r w:rsidRPr="00E47AA9">
        <w:rPr>
          <w:rFonts w:ascii="Times New Roman" w:eastAsia="Times New Roman" w:hAnsi="Times New Roman" w:cs="Times New Roman"/>
          <w:sz w:val="28"/>
          <w:szCs w:val="28"/>
          <w:lang w:eastAsia="ru-RU"/>
        </w:rPr>
        <w:t xml:space="preserve"> центральная городская больница"); </w:t>
      </w:r>
      <w:r w:rsidRPr="00E47AA9">
        <w:rPr>
          <w:rFonts w:ascii="Times New Roman" w:eastAsia="Times New Roman" w:hAnsi="Times New Roman" w:cs="Times New Roman"/>
          <w:sz w:val="28"/>
          <w:szCs w:val="28"/>
          <w:lang w:eastAsia="ru-RU"/>
        </w:rPr>
        <w:br/>
        <w:t xml:space="preserve">с. </w:t>
      </w:r>
      <w:proofErr w:type="spellStart"/>
      <w:r w:rsidRPr="00E47AA9">
        <w:rPr>
          <w:rFonts w:ascii="Times New Roman" w:eastAsia="Times New Roman" w:hAnsi="Times New Roman" w:cs="Times New Roman"/>
          <w:sz w:val="28"/>
          <w:szCs w:val="28"/>
          <w:lang w:eastAsia="ru-RU"/>
        </w:rPr>
        <w:t>Вадимовка</w:t>
      </w:r>
      <w:proofErr w:type="spellEnd"/>
      <w:r w:rsidRPr="00E47AA9">
        <w:rPr>
          <w:rFonts w:ascii="Times New Roman" w:eastAsia="Times New Roman" w:hAnsi="Times New Roman" w:cs="Times New Roman"/>
          <w:sz w:val="28"/>
          <w:szCs w:val="28"/>
          <w:lang w:eastAsia="ru-RU"/>
        </w:rPr>
        <w:t xml:space="preserve"> (КГБУЗ "Черниговская </w:t>
      </w:r>
      <w:proofErr w:type="spellStart"/>
      <w:r w:rsidRPr="00E47AA9">
        <w:rPr>
          <w:rFonts w:ascii="Times New Roman" w:eastAsia="Times New Roman" w:hAnsi="Times New Roman" w:cs="Times New Roman"/>
          <w:sz w:val="28"/>
          <w:szCs w:val="28"/>
          <w:lang w:eastAsia="ru-RU"/>
        </w:rPr>
        <w:t>ценральная</w:t>
      </w:r>
      <w:proofErr w:type="spellEnd"/>
      <w:r w:rsidRPr="00E47AA9">
        <w:rPr>
          <w:rFonts w:ascii="Times New Roman" w:eastAsia="Times New Roman" w:hAnsi="Times New Roman" w:cs="Times New Roman"/>
          <w:sz w:val="28"/>
          <w:szCs w:val="28"/>
          <w:lang w:eastAsia="ru-RU"/>
        </w:rPr>
        <w:t xml:space="preserve"> районная больница"); </w:t>
      </w:r>
      <w:r w:rsidRPr="00E47AA9">
        <w:rPr>
          <w:rFonts w:ascii="Times New Roman" w:eastAsia="Times New Roman" w:hAnsi="Times New Roman" w:cs="Times New Roman"/>
          <w:sz w:val="28"/>
          <w:szCs w:val="28"/>
          <w:lang w:eastAsia="ru-RU"/>
        </w:rPr>
        <w:br/>
        <w:t xml:space="preserve">с. </w:t>
      </w:r>
      <w:proofErr w:type="spellStart"/>
      <w:r w:rsidRPr="00E47AA9">
        <w:rPr>
          <w:rFonts w:ascii="Times New Roman" w:eastAsia="Times New Roman" w:hAnsi="Times New Roman" w:cs="Times New Roman"/>
          <w:sz w:val="28"/>
          <w:szCs w:val="28"/>
          <w:lang w:eastAsia="ru-RU"/>
        </w:rPr>
        <w:t>Светлогорье</w:t>
      </w:r>
      <w:proofErr w:type="spellEnd"/>
      <w:r w:rsidRPr="00E47AA9">
        <w:rPr>
          <w:rFonts w:ascii="Times New Roman" w:eastAsia="Times New Roman" w:hAnsi="Times New Roman" w:cs="Times New Roman"/>
          <w:sz w:val="28"/>
          <w:szCs w:val="28"/>
          <w:lang w:eastAsia="ru-RU"/>
        </w:rPr>
        <w:t xml:space="preserve"> (КГБУЗ "Пожарская центральная районная больница"); </w:t>
      </w:r>
      <w:r w:rsidRPr="00E47AA9">
        <w:rPr>
          <w:rFonts w:ascii="Times New Roman" w:eastAsia="Times New Roman" w:hAnsi="Times New Roman" w:cs="Times New Roman"/>
          <w:sz w:val="28"/>
          <w:szCs w:val="28"/>
          <w:lang w:eastAsia="ru-RU"/>
        </w:rPr>
        <w:br/>
        <w:t xml:space="preserve">с. </w:t>
      </w:r>
      <w:proofErr w:type="spellStart"/>
      <w:r w:rsidRPr="00E47AA9">
        <w:rPr>
          <w:rFonts w:ascii="Times New Roman" w:eastAsia="Times New Roman" w:hAnsi="Times New Roman" w:cs="Times New Roman"/>
          <w:sz w:val="28"/>
          <w:szCs w:val="28"/>
          <w:lang w:eastAsia="ru-RU"/>
        </w:rPr>
        <w:t>Филаретовка</w:t>
      </w:r>
      <w:proofErr w:type="spellEnd"/>
      <w:r w:rsidRPr="00E47AA9">
        <w:rPr>
          <w:rFonts w:ascii="Times New Roman" w:eastAsia="Times New Roman" w:hAnsi="Times New Roman" w:cs="Times New Roman"/>
          <w:sz w:val="28"/>
          <w:szCs w:val="28"/>
          <w:lang w:eastAsia="ru-RU"/>
        </w:rPr>
        <w:t xml:space="preserve"> и с. </w:t>
      </w:r>
      <w:proofErr w:type="spellStart"/>
      <w:r w:rsidRPr="00E47AA9">
        <w:rPr>
          <w:rFonts w:ascii="Times New Roman" w:eastAsia="Times New Roman" w:hAnsi="Times New Roman" w:cs="Times New Roman"/>
          <w:sz w:val="28"/>
          <w:szCs w:val="28"/>
          <w:lang w:eastAsia="ru-RU"/>
        </w:rPr>
        <w:t>Марково</w:t>
      </w:r>
      <w:proofErr w:type="spellEnd"/>
      <w:r w:rsidRPr="00E47AA9">
        <w:rPr>
          <w:rFonts w:ascii="Times New Roman" w:eastAsia="Times New Roman" w:hAnsi="Times New Roman" w:cs="Times New Roman"/>
          <w:sz w:val="28"/>
          <w:szCs w:val="28"/>
          <w:lang w:eastAsia="ru-RU"/>
        </w:rPr>
        <w:t xml:space="preserve"> (КГБУЗ "Лесозаводская центральная городская больница"); п. Ливадия (КГБУЗ "Находкинская городская больница"); п. Де-Фриз (КГБУЗ "</w:t>
      </w:r>
      <w:proofErr w:type="spellStart"/>
      <w:r w:rsidRPr="00E47AA9">
        <w:rPr>
          <w:rFonts w:ascii="Times New Roman" w:eastAsia="Times New Roman" w:hAnsi="Times New Roman" w:cs="Times New Roman"/>
          <w:sz w:val="28"/>
          <w:szCs w:val="28"/>
          <w:lang w:eastAsia="ru-RU"/>
        </w:rPr>
        <w:t>Надеждинская</w:t>
      </w:r>
      <w:proofErr w:type="spellEnd"/>
      <w:r w:rsidRPr="00E47AA9">
        <w:rPr>
          <w:rFonts w:ascii="Times New Roman" w:eastAsia="Times New Roman" w:hAnsi="Times New Roman" w:cs="Times New Roman"/>
          <w:sz w:val="28"/>
          <w:szCs w:val="28"/>
          <w:lang w:eastAsia="ru-RU"/>
        </w:rPr>
        <w:t xml:space="preserve"> центральная районная больница"); </w:t>
      </w:r>
      <w:r w:rsidRPr="00E47AA9">
        <w:rPr>
          <w:rFonts w:ascii="Times New Roman" w:eastAsia="Times New Roman" w:hAnsi="Times New Roman" w:cs="Times New Roman"/>
          <w:sz w:val="28"/>
          <w:szCs w:val="28"/>
          <w:lang w:eastAsia="ru-RU"/>
        </w:rPr>
        <w:br/>
        <w:t xml:space="preserve">с. </w:t>
      </w:r>
      <w:proofErr w:type="spellStart"/>
      <w:r w:rsidRPr="00E47AA9">
        <w:rPr>
          <w:rFonts w:ascii="Times New Roman" w:eastAsia="Times New Roman" w:hAnsi="Times New Roman" w:cs="Times New Roman"/>
          <w:sz w:val="28"/>
          <w:szCs w:val="28"/>
          <w:lang w:eastAsia="ru-RU"/>
        </w:rPr>
        <w:t>Баневурово</w:t>
      </w:r>
      <w:proofErr w:type="spellEnd"/>
      <w:r w:rsidRPr="00E47AA9">
        <w:rPr>
          <w:rFonts w:ascii="Times New Roman" w:eastAsia="Times New Roman" w:hAnsi="Times New Roman" w:cs="Times New Roman"/>
          <w:sz w:val="28"/>
          <w:szCs w:val="28"/>
          <w:lang w:eastAsia="ru-RU"/>
        </w:rPr>
        <w:t xml:space="preserve"> (КГБУЗ "Уссурийская центральная городская больница"); </w:t>
      </w:r>
      <w:r w:rsidRPr="00E47AA9">
        <w:rPr>
          <w:rFonts w:ascii="Times New Roman" w:eastAsia="Times New Roman" w:hAnsi="Times New Roman" w:cs="Times New Roman"/>
          <w:sz w:val="28"/>
          <w:szCs w:val="28"/>
          <w:lang w:eastAsia="ru-RU"/>
        </w:rPr>
        <w:br/>
        <w:t xml:space="preserve">с. Первомайское (КГБУЗ "Михайловская центральная районная больница"); </w:t>
      </w:r>
      <w:r w:rsidRPr="00E47AA9">
        <w:rPr>
          <w:rFonts w:ascii="Times New Roman" w:eastAsia="Times New Roman" w:hAnsi="Times New Roman" w:cs="Times New Roman"/>
          <w:sz w:val="28"/>
          <w:szCs w:val="28"/>
          <w:lang w:eastAsia="ru-RU"/>
        </w:rPr>
        <w:br/>
        <w:t xml:space="preserve">с. Заречное (КГБУЗ "Октябрьская центральная районная больница"); </w:t>
      </w:r>
      <w:r w:rsidRPr="00E47AA9">
        <w:rPr>
          <w:rFonts w:ascii="Times New Roman" w:eastAsia="Times New Roman" w:hAnsi="Times New Roman" w:cs="Times New Roman"/>
          <w:sz w:val="28"/>
          <w:szCs w:val="28"/>
          <w:lang w:eastAsia="ru-RU"/>
        </w:rPr>
        <w:br/>
        <w:t xml:space="preserve">п. Рудный-1 (КГБУЗ "Кавалеровская центральная районная больница");  </w:t>
      </w:r>
      <w:r w:rsidRPr="00E47AA9">
        <w:rPr>
          <w:rFonts w:ascii="Times New Roman" w:eastAsia="Times New Roman" w:hAnsi="Times New Roman" w:cs="Times New Roman"/>
          <w:sz w:val="28"/>
          <w:szCs w:val="28"/>
          <w:lang w:eastAsia="ru-RU"/>
        </w:rPr>
        <w:br/>
        <w:t>с. Гончаровка (КГБУЗ "Красноармейская центральная районная больница").</w:t>
      </w:r>
    </w:p>
    <w:p w14:paraId="63A3E936"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оснащение (дооснащение и (или) переоснащение) медицинскими изделиями медицинских организаций, имеющих в своей структуре подразделения, оказывающие медицинскую помощь по медицинской реабилитации</w:t>
      </w:r>
      <w:r w:rsidR="00816CA3"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направлено 32,97 млн рублей</w:t>
      </w:r>
      <w:r w:rsidR="00816CA3"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или 76,98 % от плана (42,83 млн рублей). Приобретено 48 единиц медицинского оборудования для </w:t>
      </w:r>
      <w:r w:rsidR="00816CA3" w:rsidRPr="00E47AA9">
        <w:rPr>
          <w:rFonts w:ascii="Times New Roman" w:eastAsia="Times New Roman" w:hAnsi="Times New Roman" w:cs="Times New Roman"/>
          <w:sz w:val="28"/>
          <w:szCs w:val="28"/>
          <w:lang w:eastAsia="ru-RU"/>
        </w:rPr>
        <w:t>двух</w:t>
      </w:r>
      <w:r w:rsidRPr="00E47AA9">
        <w:rPr>
          <w:rFonts w:ascii="Times New Roman" w:eastAsia="Times New Roman" w:hAnsi="Times New Roman" w:cs="Times New Roman"/>
          <w:sz w:val="28"/>
          <w:szCs w:val="28"/>
          <w:lang w:eastAsia="ru-RU"/>
        </w:rPr>
        <w:t xml:space="preserve"> учреждений здравоохранения. В неисполненном остатке 10,13 млн рублей сложилась в основном за счет экономии по результатам конкурсных процедур; </w:t>
      </w:r>
    </w:p>
    <w:p w14:paraId="22369BB4"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i/>
          <w:sz w:val="28"/>
          <w:szCs w:val="28"/>
        </w:rPr>
        <w:t>КПМ "Организация обеспечения учреждений здравоохранения Приморского края медицинским оборудованием"</w:t>
      </w:r>
      <w:r w:rsidRPr="00E47AA9">
        <w:rPr>
          <w:rFonts w:ascii="Times New Roman" w:eastAsia="Times New Roman" w:hAnsi="Times New Roman" w:cs="Times New Roman"/>
          <w:b/>
          <w:i/>
          <w:sz w:val="28"/>
          <w:szCs w:val="28"/>
        </w:rPr>
        <w:t xml:space="preserve"> </w:t>
      </w:r>
      <w:r w:rsidRPr="00E47AA9">
        <w:rPr>
          <w:rFonts w:ascii="Times New Roman" w:eastAsia="Times New Roman" w:hAnsi="Times New Roman" w:cs="Times New Roman"/>
          <w:sz w:val="28"/>
          <w:szCs w:val="28"/>
        </w:rPr>
        <w:t>– 564,38 млн рублей (99,85 % от плановых назначений 565,25 млн рублей). В рамках предоставленных субсидий на иные цели приобретено более 2900 единиц особо ценного движимое имущество для учреждений здравоохранения.</w:t>
      </w:r>
    </w:p>
    <w:p w14:paraId="24000F20" w14:textId="75EABA5F"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По </w:t>
      </w:r>
      <w:r w:rsidRPr="00E47AA9">
        <w:rPr>
          <w:rFonts w:ascii="Times New Roman" w:eastAsia="Times New Roman" w:hAnsi="Times New Roman" w:cs="Times New Roman"/>
          <w:sz w:val="28"/>
          <w:szCs w:val="28"/>
          <w:u w:val="single"/>
          <w:lang w:eastAsia="ru-RU"/>
        </w:rPr>
        <w:t>министерству строительства Приморского края</w:t>
      </w:r>
      <w:r w:rsidRPr="00E47AA9">
        <w:rPr>
          <w:rFonts w:ascii="Times New Roman" w:eastAsia="Times New Roman" w:hAnsi="Times New Roman" w:cs="Times New Roman"/>
          <w:sz w:val="28"/>
          <w:szCs w:val="28"/>
          <w:lang w:eastAsia="ru-RU"/>
        </w:rPr>
        <w:t xml:space="preserve"> исполнение по </w:t>
      </w:r>
      <w:r w:rsidRPr="00E47AA9">
        <w:rPr>
          <w:rFonts w:ascii="Times New Roman" w:eastAsia="Times New Roman" w:hAnsi="Times New Roman" w:cs="Times New Roman"/>
          <w:i/>
          <w:sz w:val="28"/>
          <w:szCs w:val="28"/>
        </w:rPr>
        <w:t>КПМ "Строительство, реконструкция и капитальный ремонт объектов здравоохранения Приморского края"</w:t>
      </w:r>
      <w:r w:rsidRPr="00E47AA9">
        <w:rPr>
          <w:rFonts w:ascii="Times New Roman" w:eastAsia="Times New Roman" w:hAnsi="Times New Roman" w:cs="Times New Roman"/>
          <w:b/>
          <w:i/>
          <w:sz w:val="28"/>
          <w:szCs w:val="28"/>
        </w:rPr>
        <w:t xml:space="preserve"> </w:t>
      </w:r>
      <w:r w:rsidRPr="00E47AA9">
        <w:rPr>
          <w:rFonts w:ascii="Times New Roman" w:eastAsia="Times New Roman" w:hAnsi="Times New Roman" w:cs="Times New Roman"/>
          <w:sz w:val="28"/>
          <w:szCs w:val="28"/>
          <w:lang w:eastAsia="ru-RU"/>
        </w:rPr>
        <w:t xml:space="preserve">составило 31,79 млн рублей, или 45,66 %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69,62 млн рублей), из них по:</w:t>
      </w:r>
    </w:p>
    <w:p w14:paraId="31510416" w14:textId="77777777" w:rsidR="00912B9F" w:rsidRPr="00E47AA9" w:rsidRDefault="00912B9F" w:rsidP="00912B9F">
      <w:pPr>
        <w:spacing w:after="0" w:line="240" w:lineRule="auto"/>
        <w:ind w:firstLine="708"/>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 xml:space="preserve">оказанию услуг по охране объектов здравоохранения и их содержание до передачи учреждениям в оперативное или хозяйственное управление – </w:t>
      </w:r>
      <w:r w:rsidRPr="00E47AA9">
        <w:rPr>
          <w:rFonts w:ascii="Times New Roman" w:eastAsia="Times New Roman" w:hAnsi="Times New Roman" w:cs="Times New Roman"/>
          <w:sz w:val="28"/>
          <w:szCs w:val="28"/>
          <w:lang w:eastAsia="ru-RU"/>
        </w:rPr>
        <w:t>5,36 млн</w:t>
      </w:r>
      <w:r w:rsidRPr="00E47AA9">
        <w:rPr>
          <w:rFonts w:ascii="Times New Roman" w:eastAsia="Times New Roman" w:hAnsi="Times New Roman" w:cs="Times New Roman"/>
          <w:bCs/>
          <w:sz w:val="28"/>
          <w:szCs w:val="28"/>
          <w:lang w:eastAsia="ru-RU"/>
        </w:rPr>
        <w:t xml:space="preserve"> рублей, или 50,52 % от плана 10,61 млн рублей. О</w:t>
      </w:r>
      <w:r w:rsidRPr="00E47AA9">
        <w:rPr>
          <w:rFonts w:ascii="Times New Roman" w:eastAsia="Times New Roman" w:hAnsi="Times New Roman" w:cs="Times New Roman"/>
          <w:sz w:val="28"/>
          <w:szCs w:val="28"/>
          <w:lang w:eastAsia="ru-RU"/>
        </w:rPr>
        <w:t>плата осуществляется на основании предоставленных актов выполненных работ</w:t>
      </w:r>
      <w:r w:rsidRPr="00E47AA9">
        <w:rPr>
          <w:rFonts w:ascii="Times New Roman" w:eastAsia="Times New Roman" w:hAnsi="Times New Roman" w:cs="Times New Roman"/>
          <w:bCs/>
          <w:sz w:val="28"/>
          <w:szCs w:val="28"/>
          <w:lang w:eastAsia="ru-RU"/>
        </w:rPr>
        <w:t>;</w:t>
      </w:r>
    </w:p>
    <w:p w14:paraId="0C168215"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осуществление капитальных вложений в объекты государственной собственности Приморского края в социальной сфере – 24,03 млн рублей, или 42,45 % от плана 56,60 млн рублей. </w:t>
      </w:r>
    </w:p>
    <w:p w14:paraId="56891B0C" w14:textId="5C2E0334"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Не исполнено 32,57 млн рублей, из них 25,40 млн рублей по строительству пристройки к зданию КГБУЗ "Госпиталь для ветеранов войн" </w:t>
      </w:r>
      <w:r w:rsidRPr="00E47AA9">
        <w:rPr>
          <w:rFonts w:ascii="Times New Roman" w:eastAsia="Times New Roman" w:hAnsi="Times New Roman" w:cs="Times New Roman"/>
          <w:sz w:val="28"/>
          <w:szCs w:val="28"/>
          <w:lang w:eastAsia="ru-RU"/>
        </w:rPr>
        <w:lastRenderedPageBreak/>
        <w:t>(план – 28,89 млн рублей, исполнено 3,49 млн рублей или 12,09 %). Низкое исполнение расходов связано с малыми темпами строительно-монтажных работ (по состоянию на 01.10.2024 техническая готовность объекта составляет 40 %). Произведена корректировка проектно-сметной документации, получено положительное заключение экспертизы, готовится смета контракта для заключения дополнительного соглашения на увеличение стоимости.</w:t>
      </w:r>
    </w:p>
    <w:p w14:paraId="64DF76C5" w14:textId="03D4299F"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По объекту капитального строительства "Строительство краевой клинической инфекционной больницы на 400 коек в г. Владивостоке, в том числе проектно-изыскательские работы" в сумме 4</w:t>
      </w:r>
      <w:r w:rsidR="00AC11FA">
        <w:rPr>
          <w:rFonts w:ascii="Times New Roman" w:eastAsia="Times New Roman" w:hAnsi="Times New Roman" w:cs="Times New Roman"/>
          <w:sz w:val="28"/>
          <w:szCs w:val="28"/>
          <w:lang w:eastAsia="ru-RU"/>
        </w:rPr>
        <w:t>,</w:t>
      </w:r>
      <w:r w:rsidR="008D68F0">
        <w:rPr>
          <w:rFonts w:ascii="Times New Roman" w:eastAsia="Times New Roman" w:hAnsi="Times New Roman" w:cs="Times New Roman"/>
          <w:sz w:val="28"/>
          <w:szCs w:val="28"/>
          <w:lang w:eastAsia="ru-RU"/>
        </w:rPr>
        <w:t>67</w:t>
      </w:r>
      <w:r w:rsidRPr="00E47AA9">
        <w:rPr>
          <w:rFonts w:ascii="Times New Roman" w:eastAsia="Times New Roman" w:hAnsi="Times New Roman" w:cs="Times New Roman"/>
          <w:sz w:val="28"/>
          <w:szCs w:val="28"/>
          <w:lang w:eastAsia="ru-RU"/>
        </w:rPr>
        <w:t xml:space="preserve"> млн рублей оплачены работы по контракту с КГАУ "</w:t>
      </w:r>
      <w:proofErr w:type="spellStart"/>
      <w:r w:rsidRPr="00E47AA9">
        <w:rPr>
          <w:rFonts w:ascii="Times New Roman" w:eastAsia="Times New Roman" w:hAnsi="Times New Roman" w:cs="Times New Roman"/>
          <w:sz w:val="28"/>
          <w:szCs w:val="28"/>
          <w:lang w:eastAsia="ru-RU"/>
        </w:rPr>
        <w:t>Примгосэкспертиза</w:t>
      </w:r>
      <w:proofErr w:type="spellEnd"/>
      <w:r w:rsidRPr="00E47AA9">
        <w:rPr>
          <w:rFonts w:ascii="Times New Roman" w:eastAsia="Times New Roman" w:hAnsi="Times New Roman" w:cs="Times New Roman"/>
          <w:sz w:val="28"/>
          <w:szCs w:val="28"/>
          <w:lang w:eastAsia="ru-RU"/>
        </w:rPr>
        <w:t>" от 15.02.2024 за государственную экспертизу проектной документации и результатов инженерных изысканий, выполненных для подготовки проектной документации, включая проведение проверки достоверности определения сметной стоимости. Подрядчик строительства отстает от графика выполнения работ по государственному контракту на проектно-изыскательские работы в связи с возникновением необходимости проведения дополнительных работ по геологии, что требует временных затрат на проверку сметы и подписание дополнительного соглашения. Подрядчик отрабатывает замечания КГАУ "</w:t>
      </w:r>
      <w:proofErr w:type="spellStart"/>
      <w:r w:rsidRPr="00E47AA9">
        <w:rPr>
          <w:rFonts w:ascii="Times New Roman" w:eastAsia="Times New Roman" w:hAnsi="Times New Roman" w:cs="Times New Roman"/>
          <w:sz w:val="28"/>
          <w:szCs w:val="28"/>
          <w:lang w:eastAsia="ru-RU"/>
        </w:rPr>
        <w:t>Примгосэкспертиза</w:t>
      </w:r>
      <w:proofErr w:type="spellEnd"/>
      <w:r w:rsidRPr="00E47AA9">
        <w:rPr>
          <w:rFonts w:ascii="Times New Roman" w:eastAsia="Times New Roman" w:hAnsi="Times New Roman" w:cs="Times New Roman"/>
          <w:sz w:val="28"/>
          <w:szCs w:val="28"/>
          <w:lang w:eastAsia="ru-RU"/>
        </w:rPr>
        <w:t>" по разделам проектной документации.</w:t>
      </w:r>
    </w:p>
    <w:p w14:paraId="6BDC547B" w14:textId="77777777" w:rsidR="00912B9F" w:rsidRPr="00E47AA9" w:rsidRDefault="00912B9F" w:rsidP="00912B9F">
      <w:pPr>
        <w:spacing w:after="0" w:line="240" w:lineRule="auto"/>
        <w:ind w:firstLine="708"/>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sz w:val="28"/>
          <w:szCs w:val="28"/>
          <w:lang w:eastAsia="ru-RU"/>
        </w:rPr>
        <w:t>На с</w:t>
      </w:r>
      <w:r w:rsidRPr="00E47AA9">
        <w:rPr>
          <w:rFonts w:ascii="Times New Roman" w:hAnsi="Times New Roman" w:cs="Times New Roman"/>
          <w:sz w:val="28"/>
          <w:szCs w:val="28"/>
        </w:rPr>
        <w:t xml:space="preserve">троительство многопрофильного стационара на 419 коек в </w:t>
      </w:r>
      <w:r w:rsidRPr="00E47AA9">
        <w:rPr>
          <w:rFonts w:ascii="Times New Roman" w:hAnsi="Times New Roman" w:cs="Times New Roman"/>
          <w:sz w:val="28"/>
          <w:szCs w:val="28"/>
        </w:rPr>
        <w:br/>
        <w:t>г. Находка, в том числе проектно-изыскательские работы направлено 15,88</w:t>
      </w:r>
      <w:r w:rsidR="001F5DC7" w:rsidRPr="00E47AA9">
        <w:rPr>
          <w:rFonts w:ascii="Times New Roman" w:hAnsi="Times New Roman" w:cs="Times New Roman"/>
          <w:sz w:val="28"/>
          <w:szCs w:val="28"/>
        </w:rPr>
        <w:t> </w:t>
      </w:r>
      <w:r w:rsidRPr="00E47AA9">
        <w:rPr>
          <w:rFonts w:ascii="Times New Roman" w:hAnsi="Times New Roman" w:cs="Times New Roman"/>
          <w:sz w:val="28"/>
          <w:szCs w:val="28"/>
        </w:rPr>
        <w:t xml:space="preserve">млн рублей, или 69,04 % от плана 23,00 млн рублей. Причины низкого исполнения в Пояснительной записке (форма 0503160) в составе годовой бюджетной отчетности за 2024 год министерства строительства Приморского края не раскрываются. </w:t>
      </w:r>
    </w:p>
    <w:p w14:paraId="7EA1E89E" w14:textId="77777777" w:rsidR="00912B9F" w:rsidRPr="00E47AA9" w:rsidRDefault="00912B9F" w:rsidP="00912B9F">
      <w:pPr>
        <w:spacing w:after="0" w:line="240" w:lineRule="auto"/>
        <w:ind w:firstLine="708"/>
        <w:jc w:val="both"/>
        <w:rPr>
          <w:rFonts w:ascii="Times New Roman" w:eastAsia="Times New Roman" w:hAnsi="Times New Roman" w:cs="Times New Roman"/>
          <w:b/>
          <w:sz w:val="28"/>
          <w:szCs w:val="28"/>
        </w:rPr>
      </w:pPr>
      <w:r w:rsidRPr="00E47AA9">
        <w:rPr>
          <w:rFonts w:ascii="Times New Roman" w:eastAsia="Times New Roman" w:hAnsi="Times New Roman" w:cs="Times New Roman"/>
          <w:b/>
          <w:sz w:val="28"/>
          <w:szCs w:val="28"/>
        </w:rPr>
        <w:t>Подпрограмма "Совершенствование медицинской помощи, укрепление здоровья населения и формирование здорового образа жизни"</w:t>
      </w:r>
    </w:p>
    <w:p w14:paraId="2465F202"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u w:val="single"/>
        </w:rPr>
        <w:t>Министерством здравоохранения Приморского края</w:t>
      </w:r>
      <w:r w:rsidRPr="00E47AA9">
        <w:rPr>
          <w:rFonts w:ascii="Times New Roman" w:eastAsia="Times New Roman" w:hAnsi="Times New Roman" w:cs="Times New Roman"/>
          <w:sz w:val="28"/>
          <w:szCs w:val="28"/>
        </w:rPr>
        <w:t xml:space="preserve"> на</w:t>
      </w:r>
      <w:r w:rsidRPr="00E47AA9">
        <w:rPr>
          <w:rFonts w:ascii="Times New Roman" w:eastAsia="Times New Roman" w:hAnsi="Times New Roman" w:cs="Times New Roman"/>
          <w:sz w:val="28"/>
          <w:szCs w:val="28"/>
          <w:lang w:eastAsia="ru-RU"/>
        </w:rPr>
        <w:t xml:space="preserve"> реализацию двух региональных проектов в рамках </w:t>
      </w:r>
      <w:r w:rsidRPr="00E47AA9">
        <w:rPr>
          <w:rFonts w:ascii="Times New Roman" w:eastAsia="Times New Roman" w:hAnsi="Times New Roman" w:cs="Times New Roman"/>
          <w:i/>
          <w:sz w:val="28"/>
          <w:szCs w:val="28"/>
          <w:lang w:eastAsia="ru-RU"/>
        </w:rPr>
        <w:t>НП "Здравоохранение"</w:t>
      </w:r>
      <w:r w:rsidRPr="00E47AA9">
        <w:rPr>
          <w:rFonts w:ascii="Times New Roman" w:eastAsia="Times New Roman" w:hAnsi="Times New Roman" w:cs="Times New Roman"/>
          <w:sz w:val="28"/>
          <w:szCs w:val="28"/>
          <w:lang w:eastAsia="ru-RU"/>
        </w:rPr>
        <w:t xml:space="preserve"> и двух региональных проектов в </w:t>
      </w:r>
      <w:r w:rsidRPr="00E47AA9">
        <w:rPr>
          <w:rFonts w:ascii="Times New Roman" w:eastAsia="Times New Roman" w:hAnsi="Times New Roman" w:cs="Times New Roman"/>
          <w:i/>
          <w:sz w:val="28"/>
          <w:szCs w:val="28"/>
          <w:lang w:eastAsia="ru-RU"/>
        </w:rPr>
        <w:t>НП "Демография"</w:t>
      </w:r>
      <w:r w:rsidRPr="00E47AA9">
        <w:rPr>
          <w:rFonts w:ascii="Times New Roman" w:eastAsia="Times New Roman" w:hAnsi="Times New Roman" w:cs="Times New Roman"/>
          <w:sz w:val="28"/>
          <w:szCs w:val="28"/>
          <w:lang w:eastAsia="ru-RU"/>
        </w:rPr>
        <w:t xml:space="preserve"> направлено 881,69 млн рублей (практически в полном объеме (план – 889,53 млн рублей), в том числе:</w:t>
      </w:r>
    </w:p>
    <w:p w14:paraId="7601ECE6"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 xml:space="preserve">НП "Здравоохранение" </w:t>
      </w:r>
      <w:r w:rsidRPr="00E47AA9">
        <w:rPr>
          <w:rFonts w:ascii="Times New Roman" w:eastAsia="Times New Roman" w:hAnsi="Times New Roman" w:cs="Times New Roman"/>
          <w:sz w:val="28"/>
          <w:szCs w:val="28"/>
          <w:lang w:eastAsia="ru-RU"/>
        </w:rPr>
        <w:t xml:space="preserve">– 865,48 млн рублей, или 99,91 % от плана 873,32 млн рублей, в том числе расходы по: </w:t>
      </w:r>
      <w:r w:rsidRPr="00E47AA9">
        <w:rPr>
          <w:rFonts w:ascii="Times New Roman" w:eastAsia="Times New Roman" w:hAnsi="Times New Roman" w:cs="Times New Roman"/>
          <w:i/>
          <w:sz w:val="28"/>
          <w:szCs w:val="28"/>
          <w:lang w:eastAsia="ru-RU"/>
        </w:rPr>
        <w:t>РП "Борьба с сердечно-сосудистыми заболеваниями"</w:t>
      </w:r>
      <w:r w:rsidRPr="00E47AA9">
        <w:rPr>
          <w:rFonts w:ascii="Times New Roman" w:eastAsia="Times New Roman" w:hAnsi="Times New Roman" w:cs="Times New Roman"/>
          <w:sz w:val="28"/>
          <w:szCs w:val="28"/>
          <w:lang w:eastAsia="ru-RU"/>
        </w:rPr>
        <w:t xml:space="preserve"> – 339,45 млн рублей; </w:t>
      </w:r>
      <w:r w:rsidRPr="00E47AA9">
        <w:rPr>
          <w:rFonts w:ascii="Times New Roman" w:eastAsia="Times New Roman" w:hAnsi="Times New Roman" w:cs="Times New Roman"/>
          <w:i/>
          <w:sz w:val="28"/>
          <w:szCs w:val="28"/>
          <w:lang w:eastAsia="ru-RU"/>
        </w:rPr>
        <w:t>РП "Создание единого цифрового контура в здравоохранении на основе единой государственной информационной системы здравоохранения (ЕГИСЗ)"</w:t>
      </w:r>
      <w:r w:rsidRPr="00E47AA9">
        <w:rPr>
          <w:rFonts w:ascii="Times New Roman" w:eastAsia="Times New Roman" w:hAnsi="Times New Roman" w:cs="Times New Roman"/>
          <w:sz w:val="28"/>
          <w:szCs w:val="28"/>
          <w:lang w:eastAsia="ru-RU"/>
        </w:rPr>
        <w:t xml:space="preserve"> – 526,03 млн рублей;</w:t>
      </w:r>
    </w:p>
    <w:p w14:paraId="42EA19E8"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НП "Демография"</w:t>
      </w:r>
      <w:r w:rsidRPr="00E47AA9">
        <w:rPr>
          <w:rFonts w:ascii="Times New Roman" w:eastAsia="Times New Roman" w:hAnsi="Times New Roman" w:cs="Times New Roman"/>
          <w:sz w:val="28"/>
          <w:szCs w:val="28"/>
          <w:lang w:eastAsia="ru-RU"/>
        </w:rPr>
        <w:t xml:space="preserve"> – 16,21 млн рублей (в полном объеме), включая мероприятия </w:t>
      </w:r>
      <w:r w:rsidRPr="00E47AA9">
        <w:rPr>
          <w:rFonts w:ascii="Times New Roman" w:eastAsia="Times New Roman" w:hAnsi="Times New Roman" w:cs="Times New Roman"/>
          <w:i/>
          <w:sz w:val="28"/>
          <w:szCs w:val="28"/>
          <w:lang w:eastAsia="ru-RU"/>
        </w:rPr>
        <w:t>РП "Старшее поколение"</w:t>
      </w:r>
      <w:r w:rsidRPr="00E47AA9">
        <w:rPr>
          <w:rFonts w:ascii="Times New Roman" w:eastAsia="Times New Roman" w:hAnsi="Times New Roman" w:cs="Times New Roman"/>
          <w:sz w:val="28"/>
          <w:szCs w:val="28"/>
          <w:lang w:eastAsia="ru-RU"/>
        </w:rPr>
        <w:t xml:space="preserve"> – 0,35 млн рублей; </w:t>
      </w:r>
      <w:r w:rsidRPr="00E47AA9">
        <w:rPr>
          <w:rFonts w:ascii="Times New Roman" w:eastAsia="Times New Roman" w:hAnsi="Times New Roman" w:cs="Times New Roman"/>
          <w:i/>
          <w:sz w:val="28"/>
          <w:szCs w:val="28"/>
          <w:lang w:eastAsia="ru-RU"/>
        </w:rPr>
        <w:t xml:space="preserve">РП "Укрепление общественного здоровья" </w:t>
      </w:r>
      <w:r w:rsidRPr="00E47AA9">
        <w:rPr>
          <w:rFonts w:ascii="Times New Roman" w:eastAsia="Times New Roman" w:hAnsi="Times New Roman" w:cs="Times New Roman"/>
          <w:sz w:val="28"/>
          <w:szCs w:val="28"/>
          <w:lang w:eastAsia="ru-RU"/>
        </w:rPr>
        <w:t xml:space="preserve">– 15,86 млн рублей. </w:t>
      </w:r>
    </w:p>
    <w:p w14:paraId="29F0B7EB"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Более подробная информация по исполнению мероприятий РП отражена в приложении 3 к заключению.</w:t>
      </w:r>
    </w:p>
    <w:p w14:paraId="12CC75A9"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Исполнение расходов по </w:t>
      </w:r>
      <w:r w:rsidRPr="00E47AA9">
        <w:rPr>
          <w:rFonts w:ascii="Times New Roman" w:eastAsia="Times New Roman" w:hAnsi="Times New Roman" w:cs="Times New Roman"/>
          <w:i/>
          <w:sz w:val="28"/>
          <w:szCs w:val="28"/>
        </w:rPr>
        <w:t>комплексам процессных мероприятий</w:t>
      </w:r>
      <w:r w:rsidRPr="00E47AA9">
        <w:rPr>
          <w:rFonts w:ascii="Times New Roman" w:eastAsia="Times New Roman" w:hAnsi="Times New Roman" w:cs="Times New Roman"/>
          <w:sz w:val="28"/>
          <w:szCs w:val="28"/>
        </w:rPr>
        <w:t xml:space="preserve"> сложилось следующим образом:</w:t>
      </w:r>
    </w:p>
    <w:p w14:paraId="48CA8C37"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rPr>
        <w:lastRenderedPageBreak/>
        <w:t>КПМ "Организация обеспечения населения Приморского края льготными лекарственными средствами"</w:t>
      </w:r>
      <w:r w:rsidRPr="00E47AA9">
        <w:rPr>
          <w:rFonts w:ascii="Times New Roman" w:eastAsia="Times New Roman" w:hAnsi="Times New Roman" w:cs="Times New Roman"/>
          <w:b/>
          <w:i/>
          <w:sz w:val="28"/>
          <w:szCs w:val="28"/>
        </w:rPr>
        <w:t xml:space="preserve"> </w:t>
      </w:r>
      <w:r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lang w:eastAsia="ru-RU"/>
        </w:rPr>
        <w:t xml:space="preserve"> 3180,92 млн рублей (в полном объеме плановых назначений), из них 2302,50 млн рублей – на обеспечение лекарственными препаратами, изделиями медицинского назначения, расходными материалами, а также специализированными продуктами питания для детей;</w:t>
      </w:r>
      <w:r w:rsidRPr="00E47AA9">
        <w:rPr>
          <w:rFonts w:ascii="Times New Roman" w:hAnsi="Times New Roman" w:cs="Times New Roman"/>
        </w:rPr>
        <w:t xml:space="preserve"> </w:t>
      </w:r>
      <w:r w:rsidRPr="00E47AA9">
        <w:rPr>
          <w:rFonts w:ascii="Times New Roman" w:hAnsi="Times New Roman" w:cs="Times New Roman"/>
          <w:sz w:val="28"/>
          <w:szCs w:val="28"/>
        </w:rPr>
        <w:t>612,91 млн рублей – на о</w:t>
      </w:r>
      <w:r w:rsidRPr="00E47AA9">
        <w:rPr>
          <w:rFonts w:ascii="Times New Roman" w:eastAsia="Times New Roman" w:hAnsi="Times New Roman" w:cs="Times New Roman"/>
          <w:sz w:val="28"/>
          <w:szCs w:val="28"/>
          <w:lang w:eastAsia="ru-RU"/>
        </w:rPr>
        <w:t>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p w14:paraId="1D72002F" w14:textId="2F38489D"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реализацию мероприятий по обеспечению системами непрерывного мониторинга глюкозы детей с сахарным диабетом 1 типа в возрасте от 2 до 17</w:t>
      </w:r>
      <w:r w:rsidR="00137794"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лет, а также нуждающихся беременных женщин направлено 102,15 млн рублей;</w:t>
      </w:r>
    </w:p>
    <w:p w14:paraId="397DDB9F" w14:textId="5AF38CE1" w:rsidR="00912B9F" w:rsidRPr="00E47AA9" w:rsidRDefault="00912B9F" w:rsidP="00912B9F">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"Развитие службы родовспоможения и детства в Приморском крае"</w:t>
      </w:r>
      <w:r w:rsidRPr="00E47AA9">
        <w:rPr>
          <w:rFonts w:ascii="Times New Roman" w:eastAsia="Times New Roman" w:hAnsi="Times New Roman" w:cs="Times New Roman"/>
          <w:sz w:val="28"/>
          <w:szCs w:val="28"/>
          <w:lang w:eastAsia="ru-RU"/>
        </w:rPr>
        <w:t xml:space="preserve"> – </w:t>
      </w:r>
      <w:r w:rsidR="00C2523B" w:rsidRPr="00E47AA9">
        <w:rPr>
          <w:rFonts w:ascii="Times New Roman" w:eastAsia="Times New Roman" w:hAnsi="Times New Roman" w:cs="Times New Roman"/>
          <w:sz w:val="28"/>
          <w:szCs w:val="28"/>
          <w:lang w:eastAsia="ru-RU"/>
        </w:rPr>
        <w:t>108,62</w:t>
      </w:r>
      <w:r w:rsidRPr="00E47AA9">
        <w:rPr>
          <w:rFonts w:ascii="Times New Roman" w:eastAsia="Times New Roman" w:hAnsi="Times New Roman" w:cs="Times New Roman"/>
          <w:sz w:val="28"/>
          <w:szCs w:val="28"/>
          <w:lang w:eastAsia="ru-RU"/>
        </w:rPr>
        <w:t xml:space="preserve"> млн рублей (в полном объеме плановых назначений), в том числе на:</w:t>
      </w:r>
    </w:p>
    <w:p w14:paraId="2C5F46B8" w14:textId="77777777" w:rsidR="00912B9F" w:rsidRPr="00E47AA9" w:rsidRDefault="00912B9F" w:rsidP="00912B9F">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приобретение расходных материалов для неонатального и </w:t>
      </w:r>
      <w:proofErr w:type="spellStart"/>
      <w:r w:rsidRPr="00E47AA9">
        <w:rPr>
          <w:rFonts w:ascii="Times New Roman" w:eastAsia="Times New Roman" w:hAnsi="Times New Roman" w:cs="Times New Roman"/>
          <w:sz w:val="28"/>
          <w:szCs w:val="28"/>
          <w:lang w:eastAsia="ru-RU"/>
        </w:rPr>
        <w:t>аудиологического</w:t>
      </w:r>
      <w:proofErr w:type="spellEnd"/>
      <w:r w:rsidRPr="00E47AA9">
        <w:rPr>
          <w:rFonts w:ascii="Times New Roman" w:eastAsia="Times New Roman" w:hAnsi="Times New Roman" w:cs="Times New Roman"/>
          <w:sz w:val="28"/>
          <w:szCs w:val="28"/>
          <w:lang w:eastAsia="ru-RU"/>
        </w:rPr>
        <w:t xml:space="preserve"> скрининга – 35,98 млн рублей;</w:t>
      </w:r>
    </w:p>
    <w:p w14:paraId="5E28C028" w14:textId="77777777" w:rsidR="00912B9F" w:rsidRPr="00E47AA9" w:rsidRDefault="00912B9F" w:rsidP="00912B9F">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реализацию мероприятий по проведению массового обследования новорожденных на врожденные и (или) наследственные заболевания (расширенный неонатальный скрининг) – 52,59 млн рублей для 14915 новорожденных; </w:t>
      </w:r>
    </w:p>
    <w:p w14:paraId="5C60AB07" w14:textId="77777777" w:rsidR="00912B9F" w:rsidRPr="00E47AA9" w:rsidRDefault="00912B9F" w:rsidP="00912B9F">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обеспечение полноценным питанием беременных женщин, кормящих матерей, а также детей в возрасте до трех лет по заключению врачей – 11,76 млн рублей;</w:t>
      </w:r>
    </w:p>
    <w:p w14:paraId="038E05FC" w14:textId="77777777" w:rsidR="00912B9F" w:rsidRPr="00E47AA9" w:rsidRDefault="00912B9F" w:rsidP="00912B9F">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субсидии на иные цели на обследование репродуктивной системы супружеских пар "Сертификат молодоженов" </w:t>
      </w:r>
      <w:r w:rsidR="001F5DC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8,29 млн рублей;</w:t>
      </w:r>
    </w:p>
    <w:p w14:paraId="7A88513C"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"Организация мероприятий, направленных на борьбу с социально-значимыми заболеваниями"</w:t>
      </w:r>
      <w:r w:rsidR="001F5DC7" w:rsidRPr="00E47AA9">
        <w:rPr>
          <w:rFonts w:ascii="Times New Roman" w:eastAsia="Times New Roman" w:hAnsi="Times New Roman" w:cs="Times New Roman"/>
          <w:i/>
          <w:sz w:val="28"/>
          <w:szCs w:val="28"/>
          <w:lang w:eastAsia="ru-RU"/>
        </w:rPr>
        <w:t>,</w:t>
      </w:r>
      <w:r w:rsidRPr="00E47AA9">
        <w:rPr>
          <w:rFonts w:ascii="Times New Roman" w:eastAsia="Times New Roman" w:hAnsi="Times New Roman" w:cs="Times New Roman"/>
          <w:sz w:val="28"/>
          <w:szCs w:val="28"/>
          <w:lang w:eastAsia="ru-RU"/>
        </w:rPr>
        <w:t xml:space="preserve"> – 295,93 млн рублей (практически в полном объеме плановых назначений 296,12 млн рублей). Основной объем средств направлен на мероприятия по обеспечению в амбулаторных условиях противовирусными лекарственными препаратами лиц, находящихся под диспансерным наблюдением, с диагнозом "хронический вирусный гепатит С" (233,48 млн рублей);</w:t>
      </w:r>
    </w:p>
    <w:p w14:paraId="5AA16FF1"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"Организация бесплатного оказания гражданам медицинской помощи в Приморском крае</w:t>
      </w:r>
      <w:r w:rsidRPr="00E47AA9">
        <w:rPr>
          <w:rFonts w:ascii="Times New Roman" w:eastAsia="Times New Roman" w:hAnsi="Times New Roman" w:cs="Times New Roman"/>
          <w:sz w:val="28"/>
          <w:szCs w:val="28"/>
          <w:lang w:eastAsia="ru-RU"/>
        </w:rPr>
        <w:t>" – 14635,71 млн рубле</w:t>
      </w:r>
      <w:r w:rsidR="001F5DC7" w:rsidRPr="00E47AA9">
        <w:rPr>
          <w:rFonts w:ascii="Times New Roman" w:eastAsia="Times New Roman" w:hAnsi="Times New Roman" w:cs="Times New Roman"/>
          <w:sz w:val="28"/>
          <w:szCs w:val="28"/>
          <w:lang w:eastAsia="ru-RU"/>
        </w:rPr>
        <w:t>й</w:t>
      </w:r>
      <w:r w:rsidRPr="00E47AA9">
        <w:rPr>
          <w:rFonts w:ascii="Times New Roman" w:eastAsia="Times New Roman" w:hAnsi="Times New Roman" w:cs="Times New Roman"/>
          <w:sz w:val="28"/>
          <w:szCs w:val="28"/>
          <w:lang w:eastAsia="ru-RU"/>
        </w:rPr>
        <w:t xml:space="preserve"> (страховые взносы по обязательному медицинскому страхованию неработающего населения);</w:t>
      </w:r>
    </w:p>
    <w:p w14:paraId="7E506835" w14:textId="31E1BA62" w:rsidR="00912B9F" w:rsidRPr="00E47AA9" w:rsidRDefault="00912B9F" w:rsidP="00912B9F">
      <w:pPr>
        <w:spacing w:after="0" w:line="240" w:lineRule="auto"/>
        <w:ind w:right="-83"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rPr>
        <w:t>КПМ "Оказание высокотехнологичной медицинской помощи в</w:t>
      </w:r>
      <w:r w:rsidR="00137794" w:rsidRPr="00E47AA9">
        <w:rPr>
          <w:rFonts w:ascii="Times New Roman" w:eastAsia="Times New Roman" w:hAnsi="Times New Roman" w:cs="Times New Roman"/>
          <w:i/>
          <w:sz w:val="28"/>
          <w:szCs w:val="28"/>
        </w:rPr>
        <w:t> </w:t>
      </w:r>
      <w:r w:rsidRPr="00E47AA9">
        <w:rPr>
          <w:rFonts w:ascii="Times New Roman" w:eastAsia="Times New Roman" w:hAnsi="Times New Roman" w:cs="Times New Roman"/>
          <w:i/>
          <w:sz w:val="28"/>
          <w:szCs w:val="28"/>
        </w:rPr>
        <w:t>Приморском крае" </w:t>
      </w:r>
      <w:r w:rsidRPr="00E47AA9">
        <w:rPr>
          <w:rFonts w:ascii="Times New Roman" w:eastAsia="Times New Roman" w:hAnsi="Times New Roman" w:cs="Times New Roman"/>
          <w:sz w:val="28"/>
          <w:szCs w:val="28"/>
          <w:lang w:eastAsia="ru-RU"/>
        </w:rPr>
        <w:t xml:space="preserve">– 246,71 млн рублей (96,32 % от плана 256,14 млн рублей). </w:t>
      </w:r>
    </w:p>
    <w:p w14:paraId="6DBABC87" w14:textId="1D023DC4"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Оказание высокотехнологичной медицинской помощи, не включенной в</w:t>
      </w:r>
      <w:r w:rsidR="00137794"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xml:space="preserve">базовую программу обязательного медицинского страхования, в краевых государственных учреждениях здравоохранения, произведено в полном объеме плановых бюджетных назначений 178,35 млн рублей. </w:t>
      </w:r>
    </w:p>
    <w:p w14:paraId="2FDF69E0" w14:textId="2A3984A0"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 xml:space="preserve">В Приморском крае высокотехнологичную медицинскую помощь, не включенную в базовую программу обязательного медицинского страхования, оказывают ГБУЗ "Приморская краевая клиническая больница № 1", ГАУЗ "Краевой клинический центр специализированных видов медицинской помощи", КГБУЗ "Владивостокская клиническая больница № 1", КГАУЗ "Владивостокская клиническая больница № 2", ГБУЗ "Краевая клиническая больница № 2", ГБУЗ "Приморский краевой онкологический диспансер". В данных учреждениях медицинская помощь оказана по следующим профилям и видам: </w:t>
      </w:r>
      <w:proofErr w:type="spellStart"/>
      <w:r w:rsidRPr="00E47AA9">
        <w:rPr>
          <w:rFonts w:ascii="Times New Roman" w:eastAsia="Times New Roman" w:hAnsi="Times New Roman" w:cs="Times New Roman"/>
          <w:sz w:val="28"/>
          <w:szCs w:val="28"/>
          <w:lang w:eastAsia="ru-RU"/>
        </w:rPr>
        <w:t>эндопротезирование</w:t>
      </w:r>
      <w:proofErr w:type="spellEnd"/>
      <w:r w:rsidRPr="00E47AA9">
        <w:rPr>
          <w:rFonts w:ascii="Times New Roman" w:eastAsia="Times New Roman" w:hAnsi="Times New Roman" w:cs="Times New Roman"/>
          <w:sz w:val="28"/>
          <w:szCs w:val="28"/>
          <w:lang w:eastAsia="ru-RU"/>
        </w:rPr>
        <w:t xml:space="preserve"> суставов, </w:t>
      </w:r>
      <w:proofErr w:type="spellStart"/>
      <w:r w:rsidRPr="00E47AA9">
        <w:rPr>
          <w:rFonts w:ascii="Times New Roman" w:eastAsia="Times New Roman" w:hAnsi="Times New Roman" w:cs="Times New Roman"/>
          <w:sz w:val="28"/>
          <w:szCs w:val="28"/>
          <w:lang w:eastAsia="ru-RU"/>
        </w:rPr>
        <w:t>эндоваскулярная</w:t>
      </w:r>
      <w:proofErr w:type="spellEnd"/>
      <w:r w:rsidRPr="00E47AA9">
        <w:rPr>
          <w:rFonts w:ascii="Times New Roman" w:eastAsia="Times New Roman" w:hAnsi="Times New Roman" w:cs="Times New Roman"/>
          <w:sz w:val="28"/>
          <w:szCs w:val="28"/>
          <w:lang w:eastAsia="ru-RU"/>
        </w:rPr>
        <w:t xml:space="preserve"> коррекция нарушений ритма, </w:t>
      </w:r>
      <w:proofErr w:type="spellStart"/>
      <w:r w:rsidRPr="00E47AA9">
        <w:rPr>
          <w:rFonts w:ascii="Times New Roman" w:eastAsia="Times New Roman" w:hAnsi="Times New Roman" w:cs="Times New Roman"/>
          <w:sz w:val="28"/>
          <w:szCs w:val="28"/>
          <w:lang w:eastAsia="ru-RU"/>
        </w:rPr>
        <w:t>эндоваскулярное</w:t>
      </w:r>
      <w:proofErr w:type="spellEnd"/>
      <w:r w:rsidRPr="00E47AA9">
        <w:rPr>
          <w:rFonts w:ascii="Times New Roman" w:eastAsia="Times New Roman" w:hAnsi="Times New Roman" w:cs="Times New Roman"/>
          <w:sz w:val="28"/>
          <w:szCs w:val="28"/>
          <w:lang w:eastAsia="ru-RU"/>
        </w:rPr>
        <w:t xml:space="preserve"> протезирование клапанов сердца, реконструктивно-пластические операции на молочной железе у пациенток с </w:t>
      </w:r>
      <w:proofErr w:type="spellStart"/>
      <w:r w:rsidRPr="00E47AA9">
        <w:rPr>
          <w:rFonts w:ascii="Times New Roman" w:eastAsia="Times New Roman" w:hAnsi="Times New Roman" w:cs="Times New Roman"/>
          <w:sz w:val="28"/>
          <w:szCs w:val="28"/>
          <w:lang w:eastAsia="ru-RU"/>
        </w:rPr>
        <w:t>онкопатологией</w:t>
      </w:r>
      <w:proofErr w:type="spellEnd"/>
      <w:r w:rsidRPr="00E47AA9">
        <w:rPr>
          <w:rFonts w:ascii="Times New Roman" w:eastAsia="Times New Roman" w:hAnsi="Times New Roman" w:cs="Times New Roman"/>
          <w:sz w:val="28"/>
          <w:szCs w:val="28"/>
          <w:lang w:eastAsia="ru-RU"/>
        </w:rPr>
        <w:t xml:space="preserve">, реконструктивные операции на звукопроводящем аппарате среднего уха, нейрохирургические вмешательства с применением адгезивных композиций при артериальных аневризмах, </w:t>
      </w:r>
      <w:proofErr w:type="spellStart"/>
      <w:r w:rsidRPr="00E47AA9">
        <w:rPr>
          <w:rFonts w:ascii="Times New Roman" w:eastAsia="Times New Roman" w:hAnsi="Times New Roman" w:cs="Times New Roman"/>
          <w:sz w:val="28"/>
          <w:szCs w:val="28"/>
          <w:lang w:eastAsia="ru-RU"/>
        </w:rPr>
        <w:t>радиойодтерапия</w:t>
      </w:r>
      <w:proofErr w:type="spellEnd"/>
      <w:r w:rsidRPr="00E47AA9">
        <w:rPr>
          <w:rFonts w:ascii="Times New Roman" w:eastAsia="Times New Roman" w:hAnsi="Times New Roman" w:cs="Times New Roman"/>
          <w:sz w:val="28"/>
          <w:szCs w:val="28"/>
          <w:lang w:eastAsia="ru-RU"/>
        </w:rPr>
        <w:t xml:space="preserve">, клапанная </w:t>
      </w:r>
      <w:proofErr w:type="spellStart"/>
      <w:r w:rsidRPr="00E47AA9">
        <w:rPr>
          <w:rFonts w:ascii="Times New Roman" w:eastAsia="Times New Roman" w:hAnsi="Times New Roman" w:cs="Times New Roman"/>
          <w:sz w:val="28"/>
          <w:szCs w:val="28"/>
          <w:lang w:eastAsia="ru-RU"/>
        </w:rPr>
        <w:t>бронхоблокация</w:t>
      </w:r>
      <w:proofErr w:type="spellEnd"/>
      <w:r w:rsidRPr="00E47AA9">
        <w:rPr>
          <w:rFonts w:ascii="Times New Roman" w:eastAsia="Times New Roman" w:hAnsi="Times New Roman" w:cs="Times New Roman"/>
          <w:sz w:val="28"/>
          <w:szCs w:val="28"/>
          <w:lang w:eastAsia="ru-RU"/>
        </w:rPr>
        <w:t xml:space="preserve"> у детей с</w:t>
      </w:r>
      <w:r w:rsidR="00137794"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xml:space="preserve">туберкулезом органов дыхания, органосохраняющие операции при диабетической стопе и прочее). </w:t>
      </w:r>
    </w:p>
    <w:p w14:paraId="28ED8055"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Ежегодное увеличение средств на оказание данного вида медицинской помощи, расширение перечня учреждений здравоохранения, а также видов оказываемой помощи позволяет большему количеству нуждающихся пациентов ею воспользоваться. Так, в 2023 году пролечены 372 пациента, и</w:t>
      </w:r>
      <w:r w:rsidR="001F5DC7" w:rsidRPr="00E47AA9">
        <w:rPr>
          <w:rFonts w:ascii="Times New Roman" w:eastAsia="Times New Roman" w:hAnsi="Times New Roman" w:cs="Times New Roman"/>
          <w:sz w:val="28"/>
          <w:szCs w:val="28"/>
          <w:lang w:eastAsia="ru-RU"/>
        </w:rPr>
        <w:t>з них 59 детей,</w:t>
      </w:r>
      <w:r w:rsidRPr="00E47AA9">
        <w:rPr>
          <w:rFonts w:ascii="Times New Roman" w:eastAsia="Times New Roman" w:hAnsi="Times New Roman" w:cs="Times New Roman"/>
          <w:sz w:val="28"/>
          <w:szCs w:val="28"/>
          <w:lang w:eastAsia="ru-RU"/>
        </w:rPr>
        <w:t xml:space="preserve"> в 2024 году – 481 пациент, из них 63 ребенка.</w:t>
      </w:r>
    </w:p>
    <w:p w14:paraId="3A60FB12" w14:textId="5F25FB6D"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обеспечение медицинской деятельности, связанной с донорством органов и тканей человека в целях трансплантации (пересадки) направлено 14,23 млн рублей (67,09 % от плана 21,21 млн рублей). В ГБУЗ "Приморская краевая клиническая больница № 1" оказана помощь по профилю "трансплантация" – 14 пациентам успешно проведены оперативные вмешательства по пересадке почки, а также осуществлены шесть трансплантаций печени пациентам с декомпенсированным циррозом. Развитие данного вида высокотехнологичной медицинской помощи позволяет спасать жизнь пациентам с терминальной стадией поражения почек, не направляя их в федеральные медицинские учреждения, расположенные в</w:t>
      </w:r>
      <w:r w:rsidR="00137794" w:rsidRPr="00E47AA9">
        <w:rPr>
          <w:rFonts w:ascii="Times New Roman" w:eastAsia="Times New Roman" w:hAnsi="Times New Roman" w:cs="Times New Roman"/>
          <w:sz w:val="28"/>
          <w:szCs w:val="28"/>
          <w:lang w:eastAsia="ru-RU"/>
        </w:rPr>
        <w:t> г. </w:t>
      </w:r>
      <w:r w:rsidRPr="00E47AA9">
        <w:rPr>
          <w:rFonts w:ascii="Times New Roman" w:eastAsia="Times New Roman" w:hAnsi="Times New Roman" w:cs="Times New Roman"/>
          <w:sz w:val="28"/>
          <w:szCs w:val="28"/>
          <w:lang w:eastAsia="ru-RU"/>
        </w:rPr>
        <w:t xml:space="preserve">Москве, г. Новосибирске. </w:t>
      </w:r>
    </w:p>
    <w:p w14:paraId="358CB23D"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Расходы на транспортировку пациентов с хронической почечной недостаточностью на проведение процедуры гемодиализа составили 38,00 млн рублей (в полном объеме плановых назначений).</w:t>
      </w:r>
    </w:p>
    <w:p w14:paraId="719E99AF"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По фактической потребности произведены расходы по компенсации стоимости проезда детей и сопровождающих их лиц, беременных женщин в медицинские организации, расположенные за пределами Приморского края для оказания специализированной и высокотехнологичной медицинской помощи – 5,65 млн рублей (75,38 % от плана 7,50 млн рублей).</w:t>
      </w:r>
    </w:p>
    <w:p w14:paraId="6C7AD25F"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Подпрограмма "Развитие кадрового потенциала"</w:t>
      </w:r>
      <w:r w:rsidRPr="00E47AA9">
        <w:rPr>
          <w:rFonts w:ascii="Times New Roman" w:eastAsia="Times New Roman" w:hAnsi="Times New Roman" w:cs="Times New Roman"/>
          <w:sz w:val="28"/>
          <w:szCs w:val="28"/>
          <w:lang w:eastAsia="ru-RU"/>
        </w:rPr>
        <w:t xml:space="preserve"> </w:t>
      </w:r>
    </w:p>
    <w:p w14:paraId="3EE573D5" w14:textId="77777777" w:rsidR="00912B9F" w:rsidRPr="00E47AA9" w:rsidRDefault="00912B9F" w:rsidP="00912B9F">
      <w:pPr>
        <w:spacing w:after="0" w:line="240" w:lineRule="auto"/>
        <w:ind w:firstLine="708"/>
        <w:jc w:val="both"/>
        <w:rPr>
          <w:rFonts w:ascii="Times New Roman" w:eastAsia="Times New Roman" w:hAnsi="Times New Roman" w:cs="Times New Roman"/>
          <w:iCs/>
          <w:sz w:val="28"/>
          <w:szCs w:val="28"/>
          <w:u w:val="single"/>
          <w:lang w:eastAsia="ru-RU"/>
        </w:rPr>
      </w:pPr>
      <w:r w:rsidRPr="00E47AA9">
        <w:rPr>
          <w:rFonts w:ascii="Times New Roman" w:eastAsia="Times New Roman" w:hAnsi="Times New Roman" w:cs="Times New Roman"/>
          <w:iCs/>
          <w:sz w:val="28"/>
          <w:szCs w:val="28"/>
          <w:u w:val="single"/>
          <w:lang w:eastAsia="ru-RU"/>
        </w:rPr>
        <w:t xml:space="preserve">Министерство здравоохранения Приморского края </w:t>
      </w:r>
    </w:p>
    <w:p w14:paraId="03998CD2"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Cs/>
          <w:sz w:val="28"/>
          <w:szCs w:val="28"/>
          <w:lang w:eastAsia="ru-RU"/>
        </w:rPr>
        <w:lastRenderedPageBreak/>
        <w:t>По</w:t>
      </w:r>
      <w:r w:rsidRPr="00E47AA9">
        <w:rPr>
          <w:rFonts w:ascii="Times New Roman" w:eastAsia="Times New Roman" w:hAnsi="Times New Roman" w:cs="Times New Roman"/>
          <w:i/>
          <w:sz w:val="28"/>
          <w:szCs w:val="28"/>
          <w:lang w:eastAsia="ru-RU"/>
        </w:rPr>
        <w:t xml:space="preserve"> РП "Обеспечение медицинских организаций системы здравоохранения квалифицированными кадрами"</w:t>
      </w:r>
      <w:r w:rsidRPr="00E47AA9">
        <w:rPr>
          <w:rFonts w:ascii="Times New Roman" w:eastAsia="Times New Roman" w:hAnsi="Times New Roman" w:cs="Times New Roman"/>
          <w:iCs/>
          <w:sz w:val="28"/>
          <w:szCs w:val="28"/>
          <w:lang w:eastAsia="ru-RU"/>
        </w:rPr>
        <w:t xml:space="preserve"> в</w:t>
      </w:r>
      <w:r w:rsidRPr="00E47AA9">
        <w:rPr>
          <w:rFonts w:ascii="Times New Roman" w:eastAsia="Times New Roman" w:hAnsi="Times New Roman" w:cs="Times New Roman"/>
          <w:sz w:val="28"/>
          <w:szCs w:val="28"/>
          <w:lang w:eastAsia="ru-RU"/>
        </w:rPr>
        <w:t xml:space="preserve"> рамках </w:t>
      </w:r>
      <w:r w:rsidRPr="00E47AA9">
        <w:rPr>
          <w:rFonts w:ascii="Times New Roman" w:eastAsia="Times New Roman" w:hAnsi="Times New Roman" w:cs="Times New Roman"/>
          <w:i/>
          <w:sz w:val="28"/>
          <w:szCs w:val="28"/>
          <w:lang w:eastAsia="ru-RU"/>
        </w:rPr>
        <w:t>НП "Здравоохранение"</w:t>
      </w:r>
      <w:r w:rsidRPr="00E47AA9">
        <w:rPr>
          <w:rFonts w:ascii="Times New Roman" w:eastAsia="Times New Roman" w:hAnsi="Times New Roman" w:cs="Times New Roman"/>
          <w:sz w:val="28"/>
          <w:szCs w:val="28"/>
          <w:lang w:eastAsia="ru-RU"/>
        </w:rPr>
        <w:t xml:space="preserve"> на обеспечение мер социальной поддержки отдельным категориям медицинских работников краевых государственных учреждений здравоохранения направлено в планируемом объеме 609,23 млн рублей. </w:t>
      </w:r>
    </w:p>
    <w:p w14:paraId="34BC10FB"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По </w:t>
      </w:r>
      <w:r w:rsidRPr="00E47AA9">
        <w:rPr>
          <w:rFonts w:ascii="Times New Roman" w:eastAsia="Times New Roman" w:hAnsi="Times New Roman" w:cs="Times New Roman"/>
          <w:i/>
          <w:sz w:val="28"/>
          <w:szCs w:val="28"/>
        </w:rPr>
        <w:t>комплексам процессных мероприятий</w:t>
      </w:r>
      <w:r w:rsidRPr="00E47AA9">
        <w:rPr>
          <w:rFonts w:ascii="Times New Roman" w:eastAsia="Times New Roman" w:hAnsi="Times New Roman" w:cs="Times New Roman"/>
          <w:sz w:val="28"/>
          <w:szCs w:val="28"/>
        </w:rPr>
        <w:t xml:space="preserve"> исполнение расходов сложилось следующим образом:</w:t>
      </w:r>
    </w:p>
    <w:p w14:paraId="2DE44BF8"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rPr>
        <w:t xml:space="preserve">КПМ "Обеспечение деятельности, развитие и укрепление материально-технической базы профессиональных образовательных учреждений" </w:t>
      </w:r>
      <w:r w:rsidRPr="00E47AA9">
        <w:rPr>
          <w:rFonts w:ascii="Times New Roman" w:eastAsia="Times New Roman" w:hAnsi="Times New Roman" w:cs="Times New Roman"/>
          <w:sz w:val="28"/>
          <w:szCs w:val="28"/>
        </w:rPr>
        <w:t xml:space="preserve">– 679,58 млн рублей (в полном объеме плановых назначений). Основной объем приходится на </w:t>
      </w:r>
      <w:r w:rsidRPr="00E47AA9">
        <w:rPr>
          <w:rFonts w:ascii="Times New Roman" w:eastAsia="Times New Roman" w:hAnsi="Times New Roman" w:cs="Times New Roman"/>
          <w:sz w:val="28"/>
          <w:szCs w:val="28"/>
          <w:lang w:eastAsia="ru-RU"/>
        </w:rPr>
        <w:t>расходы на обеспечение деятельности (оказание услуг, выполнение работ) краевых государственных учреждений – 434,75 млн рублей, которые направлены на реализацию образовательных программ среднего профессионального образования и дополнительных профессиональных программ повышения квалификации</w:t>
      </w:r>
      <w:r w:rsidR="001E7E66" w:rsidRPr="00E47AA9">
        <w:rPr>
          <w:rFonts w:ascii="Times New Roman" w:eastAsia="Times New Roman" w:hAnsi="Times New Roman" w:cs="Times New Roman"/>
          <w:sz w:val="28"/>
          <w:szCs w:val="28"/>
          <w:lang w:eastAsia="ru-RU"/>
        </w:rPr>
        <w:t>.</w:t>
      </w:r>
    </w:p>
    <w:p w14:paraId="2A433A51" w14:textId="77777777"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rPr>
        <w:t xml:space="preserve">Также в рамках данного КПМ направлены бюджетные средства: на </w:t>
      </w:r>
      <w:r w:rsidRPr="00E47AA9">
        <w:rPr>
          <w:rFonts w:ascii="Times New Roman" w:eastAsia="Times New Roman" w:hAnsi="Times New Roman" w:cs="Times New Roman"/>
          <w:sz w:val="28"/>
          <w:szCs w:val="28"/>
          <w:lang w:eastAsia="ru-RU"/>
        </w:rPr>
        <w:t>стипендии учащимся краевых государственных бюджетных учреждений среднего профессионального образования (17,23 млн рублей), на их питание (13,01 млн рублей), на проведение работ по капитальному ремонту данных учебных заведений (122,30 млн рублей), социальное обеспечение детей-сирот и детей, оставшихся без попечения родителей, и лиц из числа детей-сирот, и детей, оставшихся без попечения родителей, обучающихся в краевых государственных учреждениях (10,59 млн рублей);</w:t>
      </w:r>
    </w:p>
    <w:p w14:paraId="70210B5E" w14:textId="52730B14" w:rsidR="00912B9F" w:rsidRPr="00E47AA9" w:rsidRDefault="00912B9F" w:rsidP="00912B9F">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"Социальная поддержка работников краевых государственных учреждений"</w:t>
      </w:r>
      <w:r w:rsidRPr="00E47AA9">
        <w:rPr>
          <w:rFonts w:ascii="Times New Roman" w:eastAsia="Times New Roman" w:hAnsi="Times New Roman" w:cs="Times New Roman"/>
          <w:sz w:val="28"/>
          <w:szCs w:val="28"/>
          <w:lang w:eastAsia="ru-RU"/>
        </w:rPr>
        <w:t xml:space="preserve"> – 234,80 млн рублей, или 94,29 % от плана 249,02 млн рублей, из них в полном объеме плановых назначений направлено 139,00 млн рублей на единовременные компенсационные выплаты медицинским работникам (врачам, фельдшерам, а также акушеркам и медицинским сестрам фельдшерских и фельдшерско-акушерских пунктов), прибывшим (переехавшим) на работу в сельские населенные пункты, либо рабочие поселки, либо поселки городского типа, либо города с населением до 50 тысяч человек.</w:t>
      </w:r>
      <w:r w:rsidRPr="00E47AA9">
        <w:rPr>
          <w:rFonts w:ascii="Times New Roman" w:hAnsi="Times New Roman" w:cs="Times New Roman"/>
        </w:rPr>
        <w:t xml:space="preserve"> </w:t>
      </w:r>
      <w:r w:rsidRPr="00E47AA9">
        <w:rPr>
          <w:rFonts w:ascii="Times New Roman" w:eastAsia="Times New Roman" w:hAnsi="Times New Roman" w:cs="Times New Roman"/>
          <w:sz w:val="28"/>
          <w:szCs w:val="28"/>
          <w:lang w:eastAsia="ru-RU"/>
        </w:rPr>
        <w:t>В целях привлечения специалистов для работы в учреждения здравоохранения, расположенные в данных населенных пунктах, в 2024 году министерством здравоохранения Приморского края заключены договоры о предоставлении единовременной компенсационной выплаты с</w:t>
      </w:r>
      <w:r w:rsidR="00137794"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89 медицинскими работниками: 50 врачей получили выплату по 2,00 млн рублей, 10 врачей – по 1,00 млн рублей; 29 фельдшеров – по 1,00 млн рублей;</w:t>
      </w:r>
    </w:p>
    <w:p w14:paraId="3EBDFC1A" w14:textId="03F283BA" w:rsidR="00912B9F" w:rsidRPr="00E47AA9" w:rsidRDefault="00912B9F" w:rsidP="00912B9F">
      <w:pPr>
        <w:spacing w:after="0" w:line="240" w:lineRule="auto"/>
        <w:ind w:firstLine="708"/>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i/>
          <w:sz w:val="28"/>
          <w:szCs w:val="28"/>
          <w:lang w:eastAsia="ru-RU"/>
        </w:rPr>
        <w:t>КПМ "Предоставление мер социальной поддержки студентам и ординаторам высших учебных заведений, обучающимся в рамках целевой подготовки"</w:t>
      </w:r>
      <w:r w:rsidRPr="00E47AA9">
        <w:rPr>
          <w:rFonts w:ascii="Times New Roman" w:eastAsia="Times New Roman" w:hAnsi="Times New Roman" w:cs="Times New Roman"/>
          <w:sz w:val="28"/>
          <w:szCs w:val="28"/>
          <w:lang w:eastAsia="ru-RU"/>
        </w:rPr>
        <w:t xml:space="preserve"> – 13,57 млн рублей, или 72,82 % от плана 18,64 млн рублей. Средства предоставлены студентам и ординаторам, заключившим с</w:t>
      </w:r>
      <w:r w:rsidR="00137794"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министерством здравоохранения Приморского края договоры о целевом обучении в пределах квоты приема на целевое обучение по образовательным программам высшего образования.</w:t>
      </w:r>
      <w:r w:rsidRPr="00E47AA9">
        <w:rPr>
          <w:rFonts w:ascii="Times New Roman" w:hAnsi="Times New Roman" w:cs="Times New Roman"/>
        </w:rPr>
        <w:t xml:space="preserve"> </w:t>
      </w:r>
      <w:r w:rsidRPr="00E47AA9">
        <w:rPr>
          <w:rFonts w:ascii="Times New Roman" w:eastAsia="Times New Roman" w:hAnsi="Times New Roman" w:cs="Times New Roman"/>
          <w:i/>
          <w:sz w:val="28"/>
          <w:szCs w:val="28"/>
          <w:lang w:eastAsia="ru-RU"/>
        </w:rPr>
        <w:t xml:space="preserve">Справочно: по информации министерства </w:t>
      </w:r>
      <w:r w:rsidRPr="00E47AA9">
        <w:rPr>
          <w:rFonts w:ascii="Times New Roman" w:eastAsia="Times New Roman" w:hAnsi="Times New Roman" w:cs="Times New Roman"/>
          <w:i/>
          <w:sz w:val="28"/>
          <w:szCs w:val="28"/>
          <w:lang w:eastAsia="ru-RU"/>
        </w:rPr>
        <w:lastRenderedPageBreak/>
        <w:t>здравоохранения</w:t>
      </w:r>
      <w:r w:rsidR="003206CF" w:rsidRPr="00E47AA9">
        <w:rPr>
          <w:rFonts w:ascii="Times New Roman" w:eastAsia="Times New Roman" w:hAnsi="Times New Roman" w:cs="Times New Roman"/>
          <w:i/>
          <w:sz w:val="28"/>
          <w:szCs w:val="28"/>
          <w:lang w:eastAsia="ru-RU"/>
        </w:rPr>
        <w:t>,</w:t>
      </w:r>
      <w:r w:rsidRPr="00E47AA9">
        <w:rPr>
          <w:rFonts w:ascii="Times New Roman" w:eastAsia="Times New Roman" w:hAnsi="Times New Roman" w:cs="Times New Roman"/>
          <w:i/>
          <w:sz w:val="28"/>
          <w:szCs w:val="28"/>
          <w:lang w:eastAsia="ru-RU"/>
        </w:rPr>
        <w:t xml:space="preserve"> в 2024 году на первый курс по целевому направлению для обучения по программам высшего образования "специалитет" поступило 240 человек: в ФГБОУ ВО "Тихоокеанский государственный медицинский университет" </w:t>
      </w:r>
      <w:r w:rsidR="003206CF" w:rsidRPr="00E47AA9">
        <w:rPr>
          <w:rFonts w:ascii="Times New Roman" w:eastAsia="Times New Roman" w:hAnsi="Times New Roman" w:cs="Times New Roman"/>
          <w:i/>
          <w:sz w:val="28"/>
          <w:szCs w:val="28"/>
          <w:lang w:eastAsia="ru-RU"/>
        </w:rPr>
        <w:t>–</w:t>
      </w:r>
      <w:r w:rsidRPr="00E47AA9">
        <w:rPr>
          <w:rFonts w:ascii="Times New Roman" w:eastAsia="Times New Roman" w:hAnsi="Times New Roman" w:cs="Times New Roman"/>
          <w:i/>
          <w:sz w:val="28"/>
          <w:szCs w:val="28"/>
          <w:lang w:eastAsia="ru-RU"/>
        </w:rPr>
        <w:t xml:space="preserve"> 210 человек (по направлениям "лечебное дело" </w:t>
      </w:r>
      <w:r w:rsidR="003206CF" w:rsidRPr="00E47AA9">
        <w:rPr>
          <w:rFonts w:ascii="Times New Roman" w:eastAsia="Times New Roman" w:hAnsi="Times New Roman" w:cs="Times New Roman"/>
          <w:i/>
          <w:sz w:val="28"/>
          <w:szCs w:val="28"/>
          <w:lang w:eastAsia="ru-RU"/>
        </w:rPr>
        <w:t>–</w:t>
      </w:r>
      <w:r w:rsidRPr="00E47AA9">
        <w:rPr>
          <w:rFonts w:ascii="Times New Roman" w:eastAsia="Times New Roman" w:hAnsi="Times New Roman" w:cs="Times New Roman"/>
          <w:i/>
          <w:sz w:val="28"/>
          <w:szCs w:val="28"/>
          <w:lang w:eastAsia="ru-RU"/>
        </w:rPr>
        <w:t xml:space="preserve"> 166,</w:t>
      </w:r>
      <w:r w:rsidR="00137794" w:rsidRPr="00E47AA9">
        <w:rPr>
          <w:rFonts w:ascii="Times New Roman" w:eastAsia="Times New Roman" w:hAnsi="Times New Roman" w:cs="Times New Roman"/>
          <w:i/>
          <w:sz w:val="28"/>
          <w:szCs w:val="28"/>
          <w:lang w:eastAsia="ru-RU"/>
        </w:rPr>
        <w:t> </w:t>
      </w:r>
      <w:r w:rsidRPr="00E47AA9">
        <w:rPr>
          <w:rFonts w:ascii="Times New Roman" w:eastAsia="Times New Roman" w:hAnsi="Times New Roman" w:cs="Times New Roman"/>
          <w:i/>
          <w:sz w:val="28"/>
          <w:szCs w:val="28"/>
          <w:lang w:eastAsia="ru-RU"/>
        </w:rPr>
        <w:t xml:space="preserve">"педиатрия" </w:t>
      </w:r>
      <w:r w:rsidR="003206CF" w:rsidRPr="00E47AA9">
        <w:rPr>
          <w:rFonts w:ascii="Times New Roman" w:eastAsia="Times New Roman" w:hAnsi="Times New Roman" w:cs="Times New Roman"/>
          <w:i/>
          <w:sz w:val="28"/>
          <w:szCs w:val="28"/>
          <w:lang w:eastAsia="ru-RU"/>
        </w:rPr>
        <w:t>–</w:t>
      </w:r>
      <w:r w:rsidRPr="00E47AA9">
        <w:rPr>
          <w:rFonts w:ascii="Times New Roman" w:eastAsia="Times New Roman" w:hAnsi="Times New Roman" w:cs="Times New Roman"/>
          <w:i/>
          <w:sz w:val="28"/>
          <w:szCs w:val="28"/>
          <w:lang w:eastAsia="ru-RU"/>
        </w:rPr>
        <w:t xml:space="preserve"> 44); в ФГАОУ ВО "Дальневосточный федеральный университет" </w:t>
      </w:r>
      <w:r w:rsidR="003206CF" w:rsidRPr="00E47AA9">
        <w:rPr>
          <w:rFonts w:ascii="Times New Roman" w:eastAsia="Times New Roman" w:hAnsi="Times New Roman" w:cs="Times New Roman"/>
          <w:i/>
          <w:sz w:val="28"/>
          <w:szCs w:val="28"/>
          <w:lang w:eastAsia="ru-RU"/>
        </w:rPr>
        <w:t>–</w:t>
      </w:r>
      <w:r w:rsidRPr="00E47AA9">
        <w:rPr>
          <w:rFonts w:ascii="Times New Roman" w:eastAsia="Times New Roman" w:hAnsi="Times New Roman" w:cs="Times New Roman"/>
          <w:i/>
          <w:sz w:val="28"/>
          <w:szCs w:val="28"/>
          <w:lang w:eastAsia="ru-RU"/>
        </w:rPr>
        <w:t xml:space="preserve"> 30 человек на лечебный факультет.</w:t>
      </w:r>
    </w:p>
    <w:p w14:paraId="197D3B1A" w14:textId="77777777" w:rsidR="00912B9F" w:rsidRPr="00E47AA9" w:rsidRDefault="00912B9F" w:rsidP="00912B9F">
      <w:pPr>
        <w:spacing w:after="0" w:line="240" w:lineRule="auto"/>
        <w:ind w:firstLine="708"/>
        <w:jc w:val="both"/>
        <w:rPr>
          <w:rFonts w:ascii="Times New Roman" w:hAnsi="Times New Roman" w:cs="Times New Roman"/>
        </w:rPr>
      </w:pPr>
      <w:r w:rsidRPr="00E47AA9">
        <w:rPr>
          <w:rFonts w:ascii="Times New Roman" w:eastAsia="Times New Roman" w:hAnsi="Times New Roman" w:cs="Times New Roman"/>
          <w:i/>
          <w:sz w:val="28"/>
          <w:szCs w:val="28"/>
          <w:lang w:eastAsia="ru-RU"/>
        </w:rPr>
        <w:t xml:space="preserve">На целевое обучение по программам ординатуры поступило 62 врача, в том числе: в ФГБОУ ВО "Тихоокеанский государственный медицинский университет" </w:t>
      </w:r>
      <w:r w:rsidR="003206CF" w:rsidRPr="00E47AA9">
        <w:rPr>
          <w:rFonts w:ascii="Times New Roman" w:eastAsia="Times New Roman" w:hAnsi="Times New Roman" w:cs="Times New Roman"/>
          <w:i/>
          <w:sz w:val="28"/>
          <w:szCs w:val="28"/>
          <w:lang w:eastAsia="ru-RU"/>
        </w:rPr>
        <w:t>–</w:t>
      </w:r>
      <w:r w:rsidRPr="00E47AA9">
        <w:rPr>
          <w:rFonts w:ascii="Times New Roman" w:eastAsia="Times New Roman" w:hAnsi="Times New Roman" w:cs="Times New Roman"/>
          <w:i/>
          <w:sz w:val="28"/>
          <w:szCs w:val="28"/>
          <w:lang w:eastAsia="ru-RU"/>
        </w:rPr>
        <w:t xml:space="preserve"> 51; в ФГАОУ ВО "Дальневосточный федеральный университет" </w:t>
      </w:r>
      <w:r w:rsidR="003206CF" w:rsidRPr="00E47AA9">
        <w:rPr>
          <w:rFonts w:ascii="Times New Roman" w:eastAsia="Times New Roman" w:hAnsi="Times New Roman" w:cs="Times New Roman"/>
          <w:i/>
          <w:sz w:val="28"/>
          <w:szCs w:val="28"/>
          <w:lang w:eastAsia="ru-RU"/>
        </w:rPr>
        <w:t>–</w:t>
      </w:r>
      <w:r w:rsidRPr="00E47AA9">
        <w:rPr>
          <w:rFonts w:ascii="Times New Roman" w:eastAsia="Times New Roman" w:hAnsi="Times New Roman" w:cs="Times New Roman"/>
          <w:i/>
          <w:sz w:val="28"/>
          <w:szCs w:val="28"/>
          <w:lang w:eastAsia="ru-RU"/>
        </w:rPr>
        <w:t xml:space="preserve"> 10; медицинский университет им. </w:t>
      </w:r>
      <w:proofErr w:type="spellStart"/>
      <w:r w:rsidRPr="00E47AA9">
        <w:rPr>
          <w:rFonts w:ascii="Times New Roman" w:eastAsia="Times New Roman" w:hAnsi="Times New Roman" w:cs="Times New Roman"/>
          <w:i/>
          <w:sz w:val="28"/>
          <w:szCs w:val="28"/>
          <w:lang w:eastAsia="ru-RU"/>
        </w:rPr>
        <w:t>Алмазова</w:t>
      </w:r>
      <w:proofErr w:type="spellEnd"/>
      <w:r w:rsidRPr="00E47AA9">
        <w:rPr>
          <w:rFonts w:ascii="Times New Roman" w:eastAsia="Times New Roman" w:hAnsi="Times New Roman" w:cs="Times New Roman"/>
          <w:i/>
          <w:sz w:val="28"/>
          <w:szCs w:val="28"/>
          <w:lang w:eastAsia="ru-RU"/>
        </w:rPr>
        <w:t xml:space="preserve"> </w:t>
      </w:r>
      <w:r w:rsidR="003206CF" w:rsidRPr="00E47AA9">
        <w:rPr>
          <w:rFonts w:ascii="Times New Roman" w:eastAsia="Times New Roman" w:hAnsi="Times New Roman" w:cs="Times New Roman"/>
          <w:i/>
          <w:sz w:val="28"/>
          <w:szCs w:val="28"/>
          <w:lang w:eastAsia="ru-RU"/>
        </w:rPr>
        <w:t>–</w:t>
      </w:r>
      <w:r w:rsidRPr="00E47AA9">
        <w:rPr>
          <w:rFonts w:ascii="Times New Roman" w:eastAsia="Times New Roman" w:hAnsi="Times New Roman" w:cs="Times New Roman"/>
          <w:i/>
          <w:sz w:val="28"/>
          <w:szCs w:val="28"/>
          <w:lang w:eastAsia="ru-RU"/>
        </w:rPr>
        <w:t xml:space="preserve"> 1 врач.</w:t>
      </w:r>
    </w:p>
    <w:p w14:paraId="74511D1F" w14:textId="77777777" w:rsidR="00912B9F" w:rsidRPr="00E47AA9" w:rsidRDefault="00912B9F" w:rsidP="00912B9F">
      <w:pPr>
        <w:spacing w:after="0" w:line="240" w:lineRule="auto"/>
        <w:jc w:val="center"/>
        <w:rPr>
          <w:rFonts w:ascii="Times New Roman" w:eastAsia="Times New Roman" w:hAnsi="Times New Roman" w:cs="Times New Roman"/>
          <w:sz w:val="28"/>
          <w:szCs w:val="28"/>
          <w:lang w:eastAsia="ru-RU"/>
        </w:rPr>
      </w:pPr>
    </w:p>
    <w:p w14:paraId="66D735CE" w14:textId="77777777" w:rsidR="008566E1" w:rsidRPr="00E47AA9" w:rsidRDefault="008566E1" w:rsidP="00FD476E">
      <w:pPr>
        <w:autoSpaceDE w:val="0"/>
        <w:autoSpaceDN w:val="0"/>
        <w:adjustRightInd w:val="0"/>
        <w:spacing w:after="0" w:line="240" w:lineRule="auto"/>
        <w:jc w:val="center"/>
        <w:rPr>
          <w:rFonts w:ascii="Times New Roman" w:eastAsia="Times New Roman" w:hAnsi="Times New Roman" w:cs="Times New Roman"/>
          <w:b/>
          <w:sz w:val="28"/>
          <w:szCs w:val="28"/>
        </w:rPr>
      </w:pPr>
      <w:r w:rsidRPr="00E47AA9">
        <w:rPr>
          <w:rFonts w:ascii="Times New Roman" w:eastAsia="Times New Roman" w:hAnsi="Times New Roman" w:cs="Times New Roman"/>
          <w:noProof/>
          <w:sz w:val="20"/>
          <w:szCs w:val="20"/>
          <w:lang w:eastAsia="ru-RU"/>
        </w:rPr>
        <w:drawing>
          <wp:anchor distT="0" distB="0" distL="114300" distR="114300" simplePos="0" relativeHeight="251676672" behindDoc="0" locked="0" layoutInCell="1" allowOverlap="1" wp14:anchorId="58586EF9" wp14:editId="53A62803">
            <wp:simplePos x="0" y="0"/>
            <wp:positionH relativeFrom="column">
              <wp:posOffset>-8255</wp:posOffset>
            </wp:positionH>
            <wp:positionV relativeFrom="paragraph">
              <wp:posOffset>95159</wp:posOffset>
            </wp:positionV>
            <wp:extent cx="1572260" cy="1178560"/>
            <wp:effectExtent l="0" t="0" r="8890" b="2540"/>
            <wp:wrapSquare wrapText="bothSides"/>
            <wp:docPr id="2" name="Рисунок 2" descr="C:\Users\zavzyataya_sv\Desktop\Картинки к исполнению\distantsionnaya_shko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avzyataya_sv\Desktop\Картинки к исполнению\distantsionnaya_shkola.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572260" cy="1178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AA9">
        <w:rPr>
          <w:rFonts w:ascii="Times New Roman" w:eastAsia="Times New Roman" w:hAnsi="Times New Roman" w:cs="Times New Roman"/>
          <w:b/>
          <w:sz w:val="28"/>
          <w:szCs w:val="28"/>
        </w:rPr>
        <w:t>5.2.2. Государственная программа Приморского края "Развитие образования Приморского края"</w:t>
      </w:r>
    </w:p>
    <w:p w14:paraId="6938104D" w14:textId="24A47EE3"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Согласно </w:t>
      </w:r>
      <w:proofErr w:type="gramStart"/>
      <w:r w:rsidRPr="00E47AA9">
        <w:rPr>
          <w:rFonts w:ascii="Times New Roman" w:eastAsia="Times New Roman" w:hAnsi="Times New Roman" w:cs="Times New Roman"/>
          <w:sz w:val="28"/>
          <w:szCs w:val="28"/>
          <w:lang w:eastAsia="ru-RU"/>
        </w:rPr>
        <w:t>отчету</w:t>
      </w:r>
      <w:proofErr w:type="gramEnd"/>
      <w:r w:rsidRPr="00E47AA9">
        <w:rPr>
          <w:rFonts w:ascii="Times New Roman" w:eastAsia="Times New Roman" w:hAnsi="Times New Roman" w:cs="Times New Roman"/>
          <w:sz w:val="28"/>
          <w:szCs w:val="28"/>
          <w:lang w:eastAsia="ru-RU"/>
        </w:rPr>
        <w:t xml:space="preserve"> уточненные бюджетные назначения на 2024 год составили 48359,43 млн рублей, исполнение программных расходов </w:t>
      </w:r>
      <w:r w:rsidR="00FE6EAA"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97,35 %, или 47079,52 млн рублей, из них за счет средств федерального бюджета 5610,25 млн рублей, или 99,03 % (план</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 5665,25 млн рублей), краевого бюджета – 41469,27 млн рублей, или 97,13 % (42694,18 млн рублей). </w:t>
      </w:r>
    </w:p>
    <w:p w14:paraId="2F2B7B17" w14:textId="77777777" w:rsidR="00536B7E" w:rsidRPr="00E47AA9" w:rsidRDefault="008566E1" w:rsidP="00536B7E">
      <w:pPr>
        <w:autoSpaceDE w:val="0"/>
        <w:autoSpaceDN w:val="0"/>
        <w:adjustRightInd w:val="0"/>
        <w:spacing w:after="0" w:line="240" w:lineRule="auto"/>
        <w:ind w:firstLine="708"/>
        <w:jc w:val="both"/>
        <w:rPr>
          <w:rFonts w:ascii="Times New Roman" w:eastAsia="Calibri" w:hAnsi="Times New Roman" w:cs="Times New Roman"/>
          <w:bCs/>
          <w:sz w:val="28"/>
          <w:szCs w:val="28"/>
          <w:lang w:eastAsia="ru-RU"/>
        </w:rPr>
      </w:pPr>
      <w:r w:rsidRPr="00E47AA9">
        <w:rPr>
          <w:rFonts w:ascii="Times New Roman" w:eastAsia="Times New Roman" w:hAnsi="Times New Roman" w:cs="Times New Roman"/>
          <w:sz w:val="28"/>
          <w:szCs w:val="28"/>
          <w:lang w:eastAsia="ru-RU"/>
        </w:rPr>
        <w:t xml:space="preserve">В соответствии с паспортом ГП в 2024 году ответственный исполнитель – министерство образования Приморского края, соисполнители – департамент по делам молодежи Приморского края, министерство строительства Приморского края, </w:t>
      </w:r>
      <w:r w:rsidRPr="00E47AA9">
        <w:rPr>
          <w:rFonts w:ascii="Times New Roman" w:eastAsia="Calibri" w:hAnsi="Times New Roman" w:cs="Times New Roman"/>
          <w:bCs/>
          <w:sz w:val="28"/>
          <w:szCs w:val="28"/>
          <w:lang w:eastAsia="ru-RU"/>
        </w:rPr>
        <w:t xml:space="preserve">министерство культуры и архивного дела Приморского края, министерство профессионального образования и занятости населения Приморского края. </w:t>
      </w:r>
    </w:p>
    <w:p w14:paraId="064039B1"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Исполнение ГП за 2024 год в разрезе главных распорядителей средств краевого бюджета приведено в таблице.</w:t>
      </w:r>
    </w:p>
    <w:tbl>
      <w:tblPr>
        <w:tblW w:w="9461" w:type="dxa"/>
        <w:tblLook w:val="04A0" w:firstRow="1" w:lastRow="0" w:firstColumn="1" w:lastColumn="0" w:noHBand="0" w:noVBand="1"/>
      </w:tblPr>
      <w:tblGrid>
        <w:gridCol w:w="2972"/>
        <w:gridCol w:w="579"/>
        <w:gridCol w:w="1329"/>
        <w:gridCol w:w="1149"/>
        <w:gridCol w:w="1221"/>
        <w:gridCol w:w="1028"/>
        <w:gridCol w:w="1183"/>
      </w:tblGrid>
      <w:tr w:rsidR="00E47AA9" w:rsidRPr="00E47AA9" w14:paraId="59920A60" w14:textId="77777777" w:rsidTr="00845A54">
        <w:trPr>
          <w:cantSplit/>
          <w:trHeight w:val="20"/>
          <w:tblHeader/>
        </w:trPr>
        <w:tc>
          <w:tcPr>
            <w:tcW w:w="2972" w:type="dxa"/>
            <w:tcBorders>
              <w:bottom w:val="single" w:sz="4" w:space="0" w:color="auto"/>
            </w:tcBorders>
            <w:shd w:val="clear" w:color="auto" w:fill="auto"/>
            <w:vAlign w:val="center"/>
          </w:tcPr>
          <w:p w14:paraId="68F1E136"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p>
        </w:tc>
        <w:tc>
          <w:tcPr>
            <w:tcW w:w="579" w:type="dxa"/>
            <w:tcBorders>
              <w:bottom w:val="single" w:sz="4" w:space="0" w:color="auto"/>
            </w:tcBorders>
            <w:shd w:val="clear" w:color="auto" w:fill="auto"/>
            <w:textDirection w:val="btLr"/>
            <w:vAlign w:val="center"/>
          </w:tcPr>
          <w:p w14:paraId="2259D160"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p>
        </w:tc>
        <w:tc>
          <w:tcPr>
            <w:tcW w:w="1329" w:type="dxa"/>
            <w:tcBorders>
              <w:bottom w:val="single" w:sz="4" w:space="0" w:color="auto"/>
            </w:tcBorders>
            <w:shd w:val="clear" w:color="auto" w:fill="auto"/>
            <w:vAlign w:val="center"/>
          </w:tcPr>
          <w:p w14:paraId="6AC213E8"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p>
        </w:tc>
        <w:tc>
          <w:tcPr>
            <w:tcW w:w="4581" w:type="dxa"/>
            <w:gridSpan w:val="4"/>
            <w:tcBorders>
              <w:bottom w:val="single" w:sz="4" w:space="0" w:color="auto"/>
            </w:tcBorders>
            <w:shd w:val="clear" w:color="auto" w:fill="auto"/>
            <w:vAlign w:val="center"/>
          </w:tcPr>
          <w:p w14:paraId="3282A8CA" w14:textId="77777777" w:rsidR="008566E1" w:rsidRPr="00511C41" w:rsidRDefault="0034644C" w:rsidP="00845A54">
            <w:pPr>
              <w:spacing w:after="0" w:line="240" w:lineRule="auto"/>
              <w:jc w:val="right"/>
              <w:rPr>
                <w:rFonts w:ascii="Times New Roman" w:eastAsia="Times New Roman" w:hAnsi="Times New Roman" w:cs="Times New Roman"/>
                <w:lang w:eastAsia="ru-RU"/>
              </w:rPr>
            </w:pPr>
            <w:r w:rsidRPr="00511C41">
              <w:rPr>
                <w:rFonts w:ascii="Times New Roman" w:eastAsia="Times New Roman" w:hAnsi="Times New Roman" w:cs="Times New Roman"/>
                <w:lang w:eastAsia="ru-RU"/>
              </w:rPr>
              <w:t>(</w:t>
            </w:r>
            <w:r w:rsidR="008566E1" w:rsidRPr="00511C41">
              <w:rPr>
                <w:rFonts w:ascii="Times New Roman" w:eastAsia="Times New Roman" w:hAnsi="Times New Roman" w:cs="Times New Roman"/>
                <w:lang w:eastAsia="ru-RU"/>
              </w:rPr>
              <w:t>млн рублей</w:t>
            </w:r>
            <w:r w:rsidRPr="00511C41">
              <w:rPr>
                <w:rFonts w:ascii="Times New Roman" w:eastAsia="Times New Roman" w:hAnsi="Times New Roman" w:cs="Times New Roman"/>
                <w:lang w:eastAsia="ru-RU"/>
              </w:rPr>
              <w:t>)</w:t>
            </w:r>
            <w:r w:rsidR="008566E1" w:rsidRPr="00511C41">
              <w:rPr>
                <w:rFonts w:ascii="Times New Roman" w:eastAsia="Times New Roman" w:hAnsi="Times New Roman" w:cs="Times New Roman"/>
                <w:lang w:eastAsia="ru-RU"/>
              </w:rPr>
              <w:t xml:space="preserve"> </w:t>
            </w:r>
          </w:p>
        </w:tc>
      </w:tr>
      <w:tr w:rsidR="00E47AA9" w:rsidRPr="00E47AA9" w14:paraId="5D5F316B" w14:textId="77777777" w:rsidTr="00845A54">
        <w:trPr>
          <w:cantSplit/>
          <w:trHeight w:val="20"/>
          <w:tblHeader/>
        </w:trPr>
        <w:tc>
          <w:tcPr>
            <w:tcW w:w="29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A4D92B"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показателя</w:t>
            </w:r>
          </w:p>
        </w:tc>
        <w:tc>
          <w:tcPr>
            <w:tcW w:w="57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92C2DBA"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Ведомство</w:t>
            </w:r>
          </w:p>
        </w:tc>
        <w:tc>
          <w:tcPr>
            <w:tcW w:w="13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2E9A6"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3398" w:type="dxa"/>
            <w:gridSpan w:val="3"/>
            <w:tcBorders>
              <w:top w:val="single" w:sz="4" w:space="0" w:color="auto"/>
              <w:left w:val="nil"/>
              <w:bottom w:val="single" w:sz="4" w:space="0" w:color="auto"/>
              <w:right w:val="single" w:sz="4" w:space="0" w:color="auto"/>
            </w:tcBorders>
            <w:shd w:val="clear" w:color="auto" w:fill="auto"/>
            <w:vAlign w:val="center"/>
            <w:hideMark/>
          </w:tcPr>
          <w:p w14:paraId="722A5E2B"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1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6B81CB"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r>
      <w:tr w:rsidR="00E47AA9" w:rsidRPr="00E47AA9" w14:paraId="740DD0BA" w14:textId="77777777" w:rsidTr="00845A54">
        <w:trPr>
          <w:cantSplit/>
          <w:trHeight w:val="20"/>
          <w:tblHeader/>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27F7CC8F"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p>
        </w:tc>
        <w:tc>
          <w:tcPr>
            <w:tcW w:w="579" w:type="dxa"/>
            <w:vMerge/>
            <w:tcBorders>
              <w:top w:val="single" w:sz="4" w:space="0" w:color="auto"/>
              <w:left w:val="single" w:sz="4" w:space="0" w:color="auto"/>
              <w:bottom w:val="single" w:sz="4" w:space="0" w:color="auto"/>
              <w:right w:val="single" w:sz="4" w:space="0" w:color="auto"/>
            </w:tcBorders>
            <w:vAlign w:val="center"/>
            <w:hideMark/>
          </w:tcPr>
          <w:p w14:paraId="686F58FF"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2B620AE"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70107838"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1221" w:type="dxa"/>
            <w:tcBorders>
              <w:top w:val="nil"/>
              <w:left w:val="nil"/>
              <w:bottom w:val="single" w:sz="4" w:space="0" w:color="auto"/>
              <w:right w:val="single" w:sz="4" w:space="0" w:color="auto"/>
            </w:tcBorders>
            <w:shd w:val="clear" w:color="auto" w:fill="auto"/>
            <w:vAlign w:val="center"/>
            <w:hideMark/>
          </w:tcPr>
          <w:p w14:paraId="42E0E159"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исполнения</w:t>
            </w:r>
          </w:p>
        </w:tc>
        <w:tc>
          <w:tcPr>
            <w:tcW w:w="1028" w:type="dxa"/>
            <w:tcBorders>
              <w:top w:val="nil"/>
              <w:left w:val="nil"/>
              <w:bottom w:val="single" w:sz="4" w:space="0" w:color="auto"/>
              <w:right w:val="single" w:sz="4" w:space="0" w:color="auto"/>
            </w:tcBorders>
            <w:shd w:val="clear" w:color="auto" w:fill="auto"/>
            <w:vAlign w:val="center"/>
            <w:hideMark/>
          </w:tcPr>
          <w:p w14:paraId="4831E77A"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удель-ный</w:t>
            </w:r>
            <w:proofErr w:type="spellEnd"/>
            <w:proofErr w:type="gramEnd"/>
            <w:r w:rsidRPr="00E47AA9">
              <w:rPr>
                <w:rFonts w:ascii="Times New Roman" w:eastAsia="Times New Roman" w:hAnsi="Times New Roman" w:cs="Times New Roman"/>
                <w:sz w:val="20"/>
                <w:szCs w:val="20"/>
                <w:lang w:eastAsia="ru-RU"/>
              </w:rPr>
              <w:t xml:space="preserve"> вес, %</w:t>
            </w:r>
          </w:p>
        </w:tc>
        <w:tc>
          <w:tcPr>
            <w:tcW w:w="1183" w:type="dxa"/>
            <w:vMerge/>
            <w:tcBorders>
              <w:top w:val="single" w:sz="4" w:space="0" w:color="auto"/>
              <w:left w:val="single" w:sz="4" w:space="0" w:color="auto"/>
              <w:bottom w:val="single" w:sz="4" w:space="0" w:color="auto"/>
              <w:right w:val="single" w:sz="4" w:space="0" w:color="auto"/>
            </w:tcBorders>
            <w:vAlign w:val="center"/>
            <w:hideMark/>
          </w:tcPr>
          <w:p w14:paraId="3D8A0C7C"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p>
        </w:tc>
      </w:tr>
      <w:tr w:rsidR="00E47AA9" w:rsidRPr="00E47AA9" w14:paraId="001FE96C" w14:textId="77777777" w:rsidTr="00845A54">
        <w:trPr>
          <w:cantSplit/>
          <w:trHeight w:val="20"/>
        </w:trPr>
        <w:tc>
          <w:tcPr>
            <w:tcW w:w="2972" w:type="dxa"/>
            <w:tcBorders>
              <w:top w:val="nil"/>
              <w:left w:val="single" w:sz="4" w:space="0" w:color="auto"/>
              <w:bottom w:val="single" w:sz="4" w:space="0" w:color="auto"/>
              <w:right w:val="single" w:sz="4" w:space="0" w:color="auto"/>
            </w:tcBorders>
            <w:shd w:val="clear" w:color="auto" w:fill="auto"/>
            <w:hideMark/>
          </w:tcPr>
          <w:p w14:paraId="510D6E0C" w14:textId="77777777" w:rsidR="008566E1" w:rsidRPr="00E47AA9" w:rsidRDefault="008566E1" w:rsidP="00845A54">
            <w:pPr>
              <w:spacing w:after="0" w:line="240" w:lineRule="auto"/>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ГП "Развитие образования Приморского края"</w:t>
            </w:r>
          </w:p>
        </w:tc>
        <w:tc>
          <w:tcPr>
            <w:tcW w:w="579" w:type="dxa"/>
            <w:tcBorders>
              <w:top w:val="nil"/>
              <w:left w:val="nil"/>
              <w:bottom w:val="single" w:sz="4" w:space="0" w:color="auto"/>
              <w:right w:val="single" w:sz="4" w:space="0" w:color="auto"/>
            </w:tcBorders>
            <w:shd w:val="clear" w:color="auto" w:fill="auto"/>
            <w:hideMark/>
          </w:tcPr>
          <w:p w14:paraId="0B43B394" w14:textId="77777777" w:rsidR="008566E1" w:rsidRPr="00E47AA9" w:rsidRDefault="008566E1" w:rsidP="00845A54">
            <w:pPr>
              <w:spacing w:after="0" w:line="240" w:lineRule="auto"/>
              <w:jc w:val="center"/>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 </w:t>
            </w:r>
          </w:p>
        </w:tc>
        <w:tc>
          <w:tcPr>
            <w:tcW w:w="1329" w:type="dxa"/>
            <w:tcBorders>
              <w:top w:val="nil"/>
              <w:left w:val="nil"/>
              <w:bottom w:val="single" w:sz="4" w:space="0" w:color="auto"/>
              <w:right w:val="single" w:sz="4" w:space="0" w:color="auto"/>
            </w:tcBorders>
            <w:shd w:val="clear" w:color="auto" w:fill="auto"/>
            <w:noWrap/>
            <w:hideMark/>
          </w:tcPr>
          <w:p w14:paraId="3F4CF9DA" w14:textId="77777777" w:rsidR="008566E1" w:rsidRPr="00E47AA9" w:rsidRDefault="008566E1" w:rsidP="00845A54">
            <w:pPr>
              <w:spacing w:after="0" w:line="240" w:lineRule="auto"/>
              <w:jc w:val="right"/>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48 359,43</w:t>
            </w:r>
          </w:p>
        </w:tc>
        <w:tc>
          <w:tcPr>
            <w:tcW w:w="1149" w:type="dxa"/>
            <w:tcBorders>
              <w:top w:val="nil"/>
              <w:left w:val="nil"/>
              <w:bottom w:val="single" w:sz="4" w:space="0" w:color="auto"/>
              <w:right w:val="single" w:sz="4" w:space="0" w:color="auto"/>
            </w:tcBorders>
            <w:shd w:val="clear" w:color="auto" w:fill="auto"/>
            <w:noWrap/>
            <w:hideMark/>
          </w:tcPr>
          <w:p w14:paraId="0719E5CF" w14:textId="77777777" w:rsidR="008566E1" w:rsidRPr="00E47AA9" w:rsidRDefault="008566E1" w:rsidP="00845A54">
            <w:pPr>
              <w:spacing w:after="0" w:line="240" w:lineRule="auto"/>
              <w:jc w:val="right"/>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47 079,52</w:t>
            </w:r>
          </w:p>
        </w:tc>
        <w:tc>
          <w:tcPr>
            <w:tcW w:w="1221" w:type="dxa"/>
            <w:tcBorders>
              <w:top w:val="nil"/>
              <w:left w:val="nil"/>
              <w:bottom w:val="single" w:sz="4" w:space="0" w:color="auto"/>
              <w:right w:val="single" w:sz="4" w:space="0" w:color="auto"/>
            </w:tcBorders>
            <w:shd w:val="clear" w:color="auto" w:fill="auto"/>
            <w:noWrap/>
            <w:hideMark/>
          </w:tcPr>
          <w:p w14:paraId="0791DFDD" w14:textId="77777777" w:rsidR="008566E1" w:rsidRPr="00E47AA9" w:rsidRDefault="008566E1" w:rsidP="00845A54">
            <w:pPr>
              <w:spacing w:after="0" w:line="240" w:lineRule="auto"/>
              <w:jc w:val="right"/>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97,35</w:t>
            </w:r>
          </w:p>
        </w:tc>
        <w:tc>
          <w:tcPr>
            <w:tcW w:w="1028" w:type="dxa"/>
            <w:tcBorders>
              <w:top w:val="nil"/>
              <w:left w:val="nil"/>
              <w:bottom w:val="single" w:sz="4" w:space="0" w:color="auto"/>
              <w:right w:val="single" w:sz="4" w:space="0" w:color="auto"/>
            </w:tcBorders>
            <w:shd w:val="clear" w:color="auto" w:fill="auto"/>
            <w:noWrap/>
            <w:hideMark/>
          </w:tcPr>
          <w:p w14:paraId="0245D477" w14:textId="77777777" w:rsidR="008566E1" w:rsidRPr="00E47AA9" w:rsidRDefault="008566E1" w:rsidP="00845A54">
            <w:pPr>
              <w:spacing w:after="0" w:line="240" w:lineRule="auto"/>
              <w:jc w:val="right"/>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100,00</w:t>
            </w:r>
          </w:p>
        </w:tc>
        <w:tc>
          <w:tcPr>
            <w:tcW w:w="1183" w:type="dxa"/>
            <w:tcBorders>
              <w:top w:val="nil"/>
              <w:left w:val="nil"/>
              <w:bottom w:val="single" w:sz="4" w:space="0" w:color="auto"/>
              <w:right w:val="single" w:sz="4" w:space="0" w:color="auto"/>
            </w:tcBorders>
            <w:shd w:val="clear" w:color="auto" w:fill="auto"/>
            <w:noWrap/>
            <w:hideMark/>
          </w:tcPr>
          <w:p w14:paraId="4BF48F07" w14:textId="77777777" w:rsidR="008566E1" w:rsidRPr="00E47AA9" w:rsidRDefault="008566E1" w:rsidP="00845A54">
            <w:pPr>
              <w:spacing w:after="0" w:line="240" w:lineRule="auto"/>
              <w:jc w:val="right"/>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1 279,91</w:t>
            </w:r>
          </w:p>
        </w:tc>
      </w:tr>
      <w:tr w:rsidR="00E47AA9" w:rsidRPr="00E47AA9" w14:paraId="00B5D13A" w14:textId="77777777" w:rsidTr="00845A54">
        <w:trPr>
          <w:cantSplit/>
          <w:trHeight w:val="20"/>
        </w:trPr>
        <w:tc>
          <w:tcPr>
            <w:tcW w:w="2972" w:type="dxa"/>
            <w:tcBorders>
              <w:top w:val="nil"/>
              <w:left w:val="single" w:sz="4" w:space="0" w:color="auto"/>
              <w:bottom w:val="single" w:sz="4" w:space="0" w:color="auto"/>
              <w:right w:val="single" w:sz="4" w:space="0" w:color="auto"/>
            </w:tcBorders>
            <w:shd w:val="clear" w:color="auto" w:fill="auto"/>
            <w:hideMark/>
          </w:tcPr>
          <w:p w14:paraId="634A9199" w14:textId="77777777" w:rsidR="008566E1" w:rsidRPr="00E47AA9" w:rsidRDefault="008566E1"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министерство образования Приморского края</w:t>
            </w:r>
          </w:p>
        </w:tc>
        <w:tc>
          <w:tcPr>
            <w:tcW w:w="579" w:type="dxa"/>
            <w:tcBorders>
              <w:top w:val="nil"/>
              <w:left w:val="nil"/>
              <w:bottom w:val="single" w:sz="4" w:space="0" w:color="auto"/>
              <w:right w:val="single" w:sz="4" w:space="0" w:color="auto"/>
            </w:tcBorders>
            <w:shd w:val="clear" w:color="auto" w:fill="auto"/>
            <w:hideMark/>
          </w:tcPr>
          <w:p w14:paraId="3EC091B8"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759</w:t>
            </w:r>
          </w:p>
        </w:tc>
        <w:tc>
          <w:tcPr>
            <w:tcW w:w="1329" w:type="dxa"/>
            <w:tcBorders>
              <w:top w:val="nil"/>
              <w:left w:val="nil"/>
              <w:bottom w:val="single" w:sz="4" w:space="0" w:color="auto"/>
              <w:right w:val="single" w:sz="4" w:space="0" w:color="auto"/>
            </w:tcBorders>
            <w:shd w:val="clear" w:color="auto" w:fill="auto"/>
            <w:noWrap/>
            <w:hideMark/>
          </w:tcPr>
          <w:p w14:paraId="7CA320B9"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40 424,04</w:t>
            </w:r>
          </w:p>
        </w:tc>
        <w:tc>
          <w:tcPr>
            <w:tcW w:w="1149" w:type="dxa"/>
            <w:tcBorders>
              <w:top w:val="nil"/>
              <w:left w:val="nil"/>
              <w:bottom w:val="single" w:sz="4" w:space="0" w:color="auto"/>
              <w:right w:val="single" w:sz="4" w:space="0" w:color="auto"/>
            </w:tcBorders>
            <w:shd w:val="clear" w:color="auto" w:fill="auto"/>
            <w:noWrap/>
            <w:hideMark/>
          </w:tcPr>
          <w:p w14:paraId="192B5418"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39 482,12</w:t>
            </w:r>
          </w:p>
        </w:tc>
        <w:tc>
          <w:tcPr>
            <w:tcW w:w="1221" w:type="dxa"/>
            <w:tcBorders>
              <w:top w:val="nil"/>
              <w:left w:val="nil"/>
              <w:bottom w:val="single" w:sz="4" w:space="0" w:color="auto"/>
              <w:right w:val="single" w:sz="4" w:space="0" w:color="auto"/>
            </w:tcBorders>
            <w:shd w:val="clear" w:color="auto" w:fill="auto"/>
            <w:noWrap/>
            <w:hideMark/>
          </w:tcPr>
          <w:p w14:paraId="2E45CC00"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97,67</w:t>
            </w:r>
          </w:p>
        </w:tc>
        <w:tc>
          <w:tcPr>
            <w:tcW w:w="1028" w:type="dxa"/>
            <w:tcBorders>
              <w:top w:val="nil"/>
              <w:left w:val="nil"/>
              <w:bottom w:val="single" w:sz="4" w:space="0" w:color="auto"/>
              <w:right w:val="single" w:sz="4" w:space="0" w:color="auto"/>
            </w:tcBorders>
            <w:shd w:val="clear" w:color="auto" w:fill="auto"/>
            <w:noWrap/>
            <w:hideMark/>
          </w:tcPr>
          <w:p w14:paraId="46AFE714"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83,86</w:t>
            </w:r>
          </w:p>
        </w:tc>
        <w:tc>
          <w:tcPr>
            <w:tcW w:w="1183" w:type="dxa"/>
            <w:tcBorders>
              <w:top w:val="nil"/>
              <w:left w:val="nil"/>
              <w:bottom w:val="single" w:sz="4" w:space="0" w:color="auto"/>
              <w:right w:val="single" w:sz="4" w:space="0" w:color="auto"/>
            </w:tcBorders>
            <w:shd w:val="clear" w:color="auto" w:fill="auto"/>
            <w:noWrap/>
            <w:hideMark/>
          </w:tcPr>
          <w:p w14:paraId="6540C441"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941,92</w:t>
            </w:r>
          </w:p>
        </w:tc>
      </w:tr>
      <w:tr w:rsidR="00E47AA9" w:rsidRPr="00E47AA9" w14:paraId="27B903B3" w14:textId="77777777" w:rsidTr="00845A54">
        <w:trPr>
          <w:cantSplit/>
          <w:trHeight w:val="20"/>
        </w:trPr>
        <w:tc>
          <w:tcPr>
            <w:tcW w:w="2972" w:type="dxa"/>
            <w:tcBorders>
              <w:top w:val="nil"/>
              <w:left w:val="single" w:sz="4" w:space="0" w:color="auto"/>
              <w:bottom w:val="single" w:sz="4" w:space="0" w:color="auto"/>
              <w:right w:val="single" w:sz="4" w:space="0" w:color="auto"/>
            </w:tcBorders>
            <w:shd w:val="clear" w:color="auto" w:fill="auto"/>
            <w:hideMark/>
          </w:tcPr>
          <w:p w14:paraId="5A2848DA" w14:textId="77777777" w:rsidR="008566E1" w:rsidRPr="00E47AA9" w:rsidRDefault="008566E1"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министерство здравоохранения Приморского края</w:t>
            </w:r>
          </w:p>
        </w:tc>
        <w:tc>
          <w:tcPr>
            <w:tcW w:w="579" w:type="dxa"/>
            <w:tcBorders>
              <w:top w:val="nil"/>
              <w:left w:val="nil"/>
              <w:bottom w:val="single" w:sz="4" w:space="0" w:color="auto"/>
              <w:right w:val="single" w:sz="4" w:space="0" w:color="auto"/>
            </w:tcBorders>
            <w:shd w:val="clear" w:color="auto" w:fill="auto"/>
            <w:hideMark/>
          </w:tcPr>
          <w:p w14:paraId="567FC888"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761</w:t>
            </w:r>
          </w:p>
        </w:tc>
        <w:tc>
          <w:tcPr>
            <w:tcW w:w="1329" w:type="dxa"/>
            <w:tcBorders>
              <w:top w:val="nil"/>
              <w:left w:val="nil"/>
              <w:bottom w:val="single" w:sz="4" w:space="0" w:color="auto"/>
              <w:right w:val="single" w:sz="4" w:space="0" w:color="auto"/>
            </w:tcBorders>
            <w:shd w:val="clear" w:color="auto" w:fill="auto"/>
            <w:noWrap/>
            <w:hideMark/>
          </w:tcPr>
          <w:p w14:paraId="7F3CFFF0"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18,36</w:t>
            </w:r>
          </w:p>
        </w:tc>
        <w:tc>
          <w:tcPr>
            <w:tcW w:w="1149" w:type="dxa"/>
            <w:tcBorders>
              <w:top w:val="nil"/>
              <w:left w:val="nil"/>
              <w:bottom w:val="single" w:sz="4" w:space="0" w:color="auto"/>
              <w:right w:val="single" w:sz="4" w:space="0" w:color="auto"/>
            </w:tcBorders>
            <w:shd w:val="clear" w:color="auto" w:fill="auto"/>
            <w:noWrap/>
            <w:hideMark/>
          </w:tcPr>
          <w:p w14:paraId="6233A806"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18,36</w:t>
            </w:r>
          </w:p>
        </w:tc>
        <w:tc>
          <w:tcPr>
            <w:tcW w:w="1221" w:type="dxa"/>
            <w:tcBorders>
              <w:top w:val="nil"/>
              <w:left w:val="nil"/>
              <w:bottom w:val="single" w:sz="4" w:space="0" w:color="auto"/>
              <w:right w:val="single" w:sz="4" w:space="0" w:color="auto"/>
            </w:tcBorders>
            <w:shd w:val="clear" w:color="auto" w:fill="auto"/>
            <w:noWrap/>
            <w:hideMark/>
          </w:tcPr>
          <w:p w14:paraId="72C1E889"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100,01</w:t>
            </w:r>
          </w:p>
        </w:tc>
        <w:tc>
          <w:tcPr>
            <w:tcW w:w="1028" w:type="dxa"/>
            <w:tcBorders>
              <w:top w:val="nil"/>
              <w:left w:val="nil"/>
              <w:bottom w:val="single" w:sz="4" w:space="0" w:color="auto"/>
              <w:right w:val="single" w:sz="4" w:space="0" w:color="auto"/>
            </w:tcBorders>
            <w:shd w:val="clear" w:color="auto" w:fill="auto"/>
            <w:noWrap/>
            <w:hideMark/>
          </w:tcPr>
          <w:p w14:paraId="1402C15D"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0,04</w:t>
            </w:r>
          </w:p>
        </w:tc>
        <w:tc>
          <w:tcPr>
            <w:tcW w:w="1183" w:type="dxa"/>
            <w:tcBorders>
              <w:top w:val="nil"/>
              <w:left w:val="nil"/>
              <w:bottom w:val="single" w:sz="4" w:space="0" w:color="auto"/>
              <w:right w:val="single" w:sz="4" w:space="0" w:color="auto"/>
            </w:tcBorders>
            <w:shd w:val="clear" w:color="auto" w:fill="auto"/>
            <w:noWrap/>
            <w:hideMark/>
          </w:tcPr>
          <w:p w14:paraId="48C0CE59"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0,00</w:t>
            </w:r>
          </w:p>
        </w:tc>
      </w:tr>
      <w:tr w:rsidR="00E47AA9" w:rsidRPr="00E47AA9" w14:paraId="5BEF26C4" w14:textId="77777777" w:rsidTr="00845A54">
        <w:trPr>
          <w:cantSplit/>
          <w:trHeight w:val="20"/>
        </w:trPr>
        <w:tc>
          <w:tcPr>
            <w:tcW w:w="2972" w:type="dxa"/>
            <w:tcBorders>
              <w:top w:val="nil"/>
              <w:left w:val="single" w:sz="4" w:space="0" w:color="auto"/>
              <w:bottom w:val="single" w:sz="4" w:space="0" w:color="auto"/>
              <w:right w:val="single" w:sz="4" w:space="0" w:color="auto"/>
            </w:tcBorders>
            <w:shd w:val="clear" w:color="auto" w:fill="auto"/>
            <w:hideMark/>
          </w:tcPr>
          <w:p w14:paraId="7FCFBBEC" w14:textId="77777777" w:rsidR="008566E1" w:rsidRPr="00E47AA9" w:rsidRDefault="008566E1"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департамент по делам молодежи Приморского края</w:t>
            </w:r>
          </w:p>
        </w:tc>
        <w:tc>
          <w:tcPr>
            <w:tcW w:w="579" w:type="dxa"/>
            <w:tcBorders>
              <w:top w:val="nil"/>
              <w:left w:val="nil"/>
              <w:bottom w:val="single" w:sz="4" w:space="0" w:color="auto"/>
              <w:right w:val="single" w:sz="4" w:space="0" w:color="auto"/>
            </w:tcBorders>
            <w:shd w:val="clear" w:color="auto" w:fill="auto"/>
            <w:hideMark/>
          </w:tcPr>
          <w:p w14:paraId="5F693B07"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774</w:t>
            </w:r>
          </w:p>
        </w:tc>
        <w:tc>
          <w:tcPr>
            <w:tcW w:w="1329" w:type="dxa"/>
            <w:tcBorders>
              <w:top w:val="nil"/>
              <w:left w:val="nil"/>
              <w:bottom w:val="single" w:sz="4" w:space="0" w:color="auto"/>
              <w:right w:val="single" w:sz="4" w:space="0" w:color="auto"/>
            </w:tcBorders>
            <w:shd w:val="clear" w:color="auto" w:fill="auto"/>
            <w:noWrap/>
            <w:hideMark/>
          </w:tcPr>
          <w:p w14:paraId="630A63C4"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363,60</w:t>
            </w:r>
          </w:p>
        </w:tc>
        <w:tc>
          <w:tcPr>
            <w:tcW w:w="1149" w:type="dxa"/>
            <w:tcBorders>
              <w:top w:val="nil"/>
              <w:left w:val="nil"/>
              <w:bottom w:val="single" w:sz="4" w:space="0" w:color="auto"/>
              <w:right w:val="single" w:sz="4" w:space="0" w:color="auto"/>
            </w:tcBorders>
            <w:shd w:val="clear" w:color="auto" w:fill="auto"/>
            <w:noWrap/>
            <w:hideMark/>
          </w:tcPr>
          <w:p w14:paraId="20A24972"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359,48</w:t>
            </w:r>
          </w:p>
        </w:tc>
        <w:tc>
          <w:tcPr>
            <w:tcW w:w="1221" w:type="dxa"/>
            <w:tcBorders>
              <w:top w:val="nil"/>
              <w:left w:val="nil"/>
              <w:bottom w:val="single" w:sz="4" w:space="0" w:color="auto"/>
              <w:right w:val="single" w:sz="4" w:space="0" w:color="auto"/>
            </w:tcBorders>
            <w:shd w:val="clear" w:color="auto" w:fill="auto"/>
            <w:noWrap/>
            <w:hideMark/>
          </w:tcPr>
          <w:p w14:paraId="0CE85BD4"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98,87</w:t>
            </w:r>
          </w:p>
        </w:tc>
        <w:tc>
          <w:tcPr>
            <w:tcW w:w="1028" w:type="dxa"/>
            <w:tcBorders>
              <w:top w:val="nil"/>
              <w:left w:val="nil"/>
              <w:bottom w:val="single" w:sz="4" w:space="0" w:color="auto"/>
              <w:right w:val="single" w:sz="4" w:space="0" w:color="auto"/>
            </w:tcBorders>
            <w:shd w:val="clear" w:color="auto" w:fill="auto"/>
            <w:noWrap/>
            <w:hideMark/>
          </w:tcPr>
          <w:p w14:paraId="49179D72"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0,76</w:t>
            </w:r>
          </w:p>
        </w:tc>
        <w:tc>
          <w:tcPr>
            <w:tcW w:w="1183" w:type="dxa"/>
            <w:tcBorders>
              <w:top w:val="nil"/>
              <w:left w:val="nil"/>
              <w:bottom w:val="single" w:sz="4" w:space="0" w:color="auto"/>
              <w:right w:val="single" w:sz="4" w:space="0" w:color="auto"/>
            </w:tcBorders>
            <w:shd w:val="clear" w:color="auto" w:fill="auto"/>
            <w:noWrap/>
            <w:hideMark/>
          </w:tcPr>
          <w:p w14:paraId="29FFF88E"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4,12</w:t>
            </w:r>
          </w:p>
        </w:tc>
      </w:tr>
      <w:tr w:rsidR="00E47AA9" w:rsidRPr="00E47AA9" w14:paraId="059EEDA6" w14:textId="77777777" w:rsidTr="00845A54">
        <w:trPr>
          <w:cantSplit/>
          <w:trHeight w:val="20"/>
        </w:trPr>
        <w:tc>
          <w:tcPr>
            <w:tcW w:w="2972" w:type="dxa"/>
            <w:tcBorders>
              <w:top w:val="nil"/>
              <w:left w:val="single" w:sz="4" w:space="0" w:color="auto"/>
              <w:bottom w:val="single" w:sz="4" w:space="0" w:color="auto"/>
              <w:right w:val="single" w:sz="4" w:space="0" w:color="auto"/>
            </w:tcBorders>
            <w:shd w:val="clear" w:color="auto" w:fill="auto"/>
            <w:hideMark/>
          </w:tcPr>
          <w:p w14:paraId="00AF1C7A" w14:textId="77777777" w:rsidR="008566E1" w:rsidRPr="00E47AA9" w:rsidRDefault="008566E1"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министерство строительства Приморского края</w:t>
            </w:r>
          </w:p>
        </w:tc>
        <w:tc>
          <w:tcPr>
            <w:tcW w:w="579" w:type="dxa"/>
            <w:tcBorders>
              <w:top w:val="nil"/>
              <w:left w:val="nil"/>
              <w:bottom w:val="single" w:sz="4" w:space="0" w:color="auto"/>
              <w:right w:val="single" w:sz="4" w:space="0" w:color="auto"/>
            </w:tcBorders>
            <w:shd w:val="clear" w:color="auto" w:fill="auto"/>
            <w:hideMark/>
          </w:tcPr>
          <w:p w14:paraId="58E41DAE"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775</w:t>
            </w:r>
          </w:p>
        </w:tc>
        <w:tc>
          <w:tcPr>
            <w:tcW w:w="1329" w:type="dxa"/>
            <w:tcBorders>
              <w:top w:val="nil"/>
              <w:left w:val="nil"/>
              <w:bottom w:val="single" w:sz="4" w:space="0" w:color="auto"/>
              <w:right w:val="single" w:sz="4" w:space="0" w:color="auto"/>
            </w:tcBorders>
            <w:shd w:val="clear" w:color="auto" w:fill="auto"/>
            <w:noWrap/>
            <w:hideMark/>
          </w:tcPr>
          <w:p w14:paraId="4253803E"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729,70</w:t>
            </w:r>
          </w:p>
        </w:tc>
        <w:tc>
          <w:tcPr>
            <w:tcW w:w="1149" w:type="dxa"/>
            <w:tcBorders>
              <w:top w:val="nil"/>
              <w:left w:val="nil"/>
              <w:bottom w:val="single" w:sz="4" w:space="0" w:color="auto"/>
              <w:right w:val="single" w:sz="4" w:space="0" w:color="auto"/>
            </w:tcBorders>
            <w:shd w:val="clear" w:color="auto" w:fill="auto"/>
            <w:noWrap/>
            <w:hideMark/>
          </w:tcPr>
          <w:p w14:paraId="186B9C46"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503,30</w:t>
            </w:r>
          </w:p>
        </w:tc>
        <w:tc>
          <w:tcPr>
            <w:tcW w:w="1221" w:type="dxa"/>
            <w:tcBorders>
              <w:top w:val="nil"/>
              <w:left w:val="nil"/>
              <w:bottom w:val="single" w:sz="4" w:space="0" w:color="auto"/>
              <w:right w:val="single" w:sz="4" w:space="0" w:color="auto"/>
            </w:tcBorders>
            <w:shd w:val="clear" w:color="auto" w:fill="auto"/>
            <w:noWrap/>
            <w:hideMark/>
          </w:tcPr>
          <w:p w14:paraId="7356E36C"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68,97</w:t>
            </w:r>
          </w:p>
        </w:tc>
        <w:tc>
          <w:tcPr>
            <w:tcW w:w="1028" w:type="dxa"/>
            <w:tcBorders>
              <w:top w:val="nil"/>
              <w:left w:val="nil"/>
              <w:bottom w:val="single" w:sz="4" w:space="0" w:color="auto"/>
              <w:right w:val="single" w:sz="4" w:space="0" w:color="auto"/>
            </w:tcBorders>
            <w:shd w:val="clear" w:color="auto" w:fill="auto"/>
            <w:noWrap/>
            <w:hideMark/>
          </w:tcPr>
          <w:p w14:paraId="675F96B3"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1,07</w:t>
            </w:r>
          </w:p>
        </w:tc>
        <w:tc>
          <w:tcPr>
            <w:tcW w:w="1183" w:type="dxa"/>
            <w:tcBorders>
              <w:top w:val="nil"/>
              <w:left w:val="nil"/>
              <w:bottom w:val="single" w:sz="4" w:space="0" w:color="auto"/>
              <w:right w:val="single" w:sz="4" w:space="0" w:color="auto"/>
            </w:tcBorders>
            <w:shd w:val="clear" w:color="auto" w:fill="auto"/>
            <w:noWrap/>
            <w:hideMark/>
          </w:tcPr>
          <w:p w14:paraId="59254397"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226,40</w:t>
            </w:r>
          </w:p>
        </w:tc>
      </w:tr>
      <w:tr w:rsidR="00E47AA9" w:rsidRPr="00E47AA9" w14:paraId="1CBEC335" w14:textId="77777777" w:rsidTr="00845A54">
        <w:trPr>
          <w:cantSplit/>
          <w:trHeight w:val="20"/>
        </w:trPr>
        <w:tc>
          <w:tcPr>
            <w:tcW w:w="2972" w:type="dxa"/>
            <w:tcBorders>
              <w:top w:val="nil"/>
              <w:left w:val="single" w:sz="4" w:space="0" w:color="auto"/>
              <w:bottom w:val="single" w:sz="4" w:space="0" w:color="auto"/>
              <w:right w:val="single" w:sz="4" w:space="0" w:color="auto"/>
            </w:tcBorders>
            <w:shd w:val="clear" w:color="auto" w:fill="auto"/>
            <w:hideMark/>
          </w:tcPr>
          <w:p w14:paraId="3D0F9B19" w14:textId="77777777" w:rsidR="008566E1" w:rsidRPr="00E47AA9" w:rsidRDefault="008566E1"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министерство культуры и архивного дела Приморского края</w:t>
            </w:r>
          </w:p>
        </w:tc>
        <w:tc>
          <w:tcPr>
            <w:tcW w:w="579" w:type="dxa"/>
            <w:tcBorders>
              <w:top w:val="nil"/>
              <w:left w:val="nil"/>
              <w:bottom w:val="single" w:sz="4" w:space="0" w:color="auto"/>
              <w:right w:val="single" w:sz="4" w:space="0" w:color="auto"/>
            </w:tcBorders>
            <w:shd w:val="clear" w:color="auto" w:fill="auto"/>
            <w:hideMark/>
          </w:tcPr>
          <w:p w14:paraId="1ABDE4DA"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806</w:t>
            </w:r>
          </w:p>
        </w:tc>
        <w:tc>
          <w:tcPr>
            <w:tcW w:w="1329" w:type="dxa"/>
            <w:tcBorders>
              <w:top w:val="nil"/>
              <w:left w:val="nil"/>
              <w:bottom w:val="single" w:sz="4" w:space="0" w:color="auto"/>
              <w:right w:val="single" w:sz="4" w:space="0" w:color="auto"/>
            </w:tcBorders>
            <w:shd w:val="clear" w:color="auto" w:fill="auto"/>
            <w:noWrap/>
            <w:hideMark/>
          </w:tcPr>
          <w:p w14:paraId="02013FB6"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5,47</w:t>
            </w:r>
          </w:p>
        </w:tc>
        <w:tc>
          <w:tcPr>
            <w:tcW w:w="1149" w:type="dxa"/>
            <w:tcBorders>
              <w:top w:val="nil"/>
              <w:left w:val="nil"/>
              <w:bottom w:val="single" w:sz="4" w:space="0" w:color="auto"/>
              <w:right w:val="single" w:sz="4" w:space="0" w:color="auto"/>
            </w:tcBorders>
            <w:shd w:val="clear" w:color="auto" w:fill="auto"/>
            <w:noWrap/>
            <w:hideMark/>
          </w:tcPr>
          <w:p w14:paraId="04F5EBA8"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5,41</w:t>
            </w:r>
          </w:p>
        </w:tc>
        <w:tc>
          <w:tcPr>
            <w:tcW w:w="1221" w:type="dxa"/>
            <w:tcBorders>
              <w:top w:val="nil"/>
              <w:left w:val="nil"/>
              <w:bottom w:val="single" w:sz="4" w:space="0" w:color="auto"/>
              <w:right w:val="single" w:sz="4" w:space="0" w:color="auto"/>
            </w:tcBorders>
            <w:shd w:val="clear" w:color="auto" w:fill="auto"/>
            <w:noWrap/>
            <w:hideMark/>
          </w:tcPr>
          <w:p w14:paraId="695E4AE5"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98,90</w:t>
            </w:r>
          </w:p>
        </w:tc>
        <w:tc>
          <w:tcPr>
            <w:tcW w:w="1028" w:type="dxa"/>
            <w:tcBorders>
              <w:top w:val="nil"/>
              <w:left w:val="nil"/>
              <w:bottom w:val="single" w:sz="4" w:space="0" w:color="auto"/>
              <w:right w:val="single" w:sz="4" w:space="0" w:color="auto"/>
            </w:tcBorders>
            <w:shd w:val="clear" w:color="auto" w:fill="auto"/>
            <w:noWrap/>
            <w:hideMark/>
          </w:tcPr>
          <w:p w14:paraId="616C333C"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0,01</w:t>
            </w:r>
          </w:p>
        </w:tc>
        <w:tc>
          <w:tcPr>
            <w:tcW w:w="1183" w:type="dxa"/>
            <w:tcBorders>
              <w:top w:val="nil"/>
              <w:left w:val="nil"/>
              <w:bottom w:val="single" w:sz="4" w:space="0" w:color="auto"/>
              <w:right w:val="single" w:sz="4" w:space="0" w:color="auto"/>
            </w:tcBorders>
            <w:shd w:val="clear" w:color="auto" w:fill="auto"/>
            <w:noWrap/>
            <w:hideMark/>
          </w:tcPr>
          <w:p w14:paraId="0EF65F9D"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0,06</w:t>
            </w:r>
          </w:p>
        </w:tc>
      </w:tr>
      <w:tr w:rsidR="008566E1" w:rsidRPr="00E47AA9" w14:paraId="6D05B472" w14:textId="77777777" w:rsidTr="00845A54">
        <w:trPr>
          <w:cantSplit/>
          <w:trHeight w:val="20"/>
        </w:trPr>
        <w:tc>
          <w:tcPr>
            <w:tcW w:w="2972" w:type="dxa"/>
            <w:tcBorders>
              <w:top w:val="nil"/>
              <w:left w:val="single" w:sz="4" w:space="0" w:color="auto"/>
              <w:bottom w:val="single" w:sz="4" w:space="0" w:color="auto"/>
              <w:right w:val="single" w:sz="4" w:space="0" w:color="auto"/>
            </w:tcBorders>
            <w:shd w:val="clear" w:color="auto" w:fill="auto"/>
            <w:hideMark/>
          </w:tcPr>
          <w:p w14:paraId="5D53926E" w14:textId="77777777" w:rsidR="008566E1" w:rsidRPr="00E47AA9" w:rsidRDefault="008566E1"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lastRenderedPageBreak/>
              <w:t>министерство профессионального образования и занятости населения Приморского края</w:t>
            </w:r>
          </w:p>
        </w:tc>
        <w:tc>
          <w:tcPr>
            <w:tcW w:w="579" w:type="dxa"/>
            <w:tcBorders>
              <w:top w:val="nil"/>
              <w:left w:val="nil"/>
              <w:bottom w:val="single" w:sz="4" w:space="0" w:color="auto"/>
              <w:right w:val="single" w:sz="4" w:space="0" w:color="auto"/>
            </w:tcBorders>
            <w:shd w:val="clear" w:color="auto" w:fill="auto"/>
            <w:hideMark/>
          </w:tcPr>
          <w:p w14:paraId="6A257F6B"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810</w:t>
            </w:r>
          </w:p>
        </w:tc>
        <w:tc>
          <w:tcPr>
            <w:tcW w:w="1329" w:type="dxa"/>
            <w:tcBorders>
              <w:top w:val="nil"/>
              <w:left w:val="nil"/>
              <w:bottom w:val="single" w:sz="4" w:space="0" w:color="auto"/>
              <w:right w:val="single" w:sz="4" w:space="0" w:color="auto"/>
            </w:tcBorders>
            <w:shd w:val="clear" w:color="auto" w:fill="auto"/>
            <w:noWrap/>
            <w:hideMark/>
          </w:tcPr>
          <w:p w14:paraId="3B961692"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6 818,26</w:t>
            </w:r>
          </w:p>
        </w:tc>
        <w:tc>
          <w:tcPr>
            <w:tcW w:w="1149" w:type="dxa"/>
            <w:tcBorders>
              <w:top w:val="nil"/>
              <w:left w:val="nil"/>
              <w:bottom w:val="single" w:sz="4" w:space="0" w:color="auto"/>
              <w:right w:val="single" w:sz="4" w:space="0" w:color="auto"/>
            </w:tcBorders>
            <w:shd w:val="clear" w:color="auto" w:fill="auto"/>
            <w:noWrap/>
            <w:hideMark/>
          </w:tcPr>
          <w:p w14:paraId="07ECABB2"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6 710,85</w:t>
            </w:r>
          </w:p>
        </w:tc>
        <w:tc>
          <w:tcPr>
            <w:tcW w:w="1221" w:type="dxa"/>
            <w:tcBorders>
              <w:top w:val="nil"/>
              <w:left w:val="nil"/>
              <w:bottom w:val="single" w:sz="4" w:space="0" w:color="auto"/>
              <w:right w:val="single" w:sz="4" w:space="0" w:color="auto"/>
            </w:tcBorders>
            <w:shd w:val="clear" w:color="auto" w:fill="auto"/>
            <w:noWrap/>
            <w:hideMark/>
          </w:tcPr>
          <w:p w14:paraId="1D83782D"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98,42</w:t>
            </w:r>
          </w:p>
        </w:tc>
        <w:tc>
          <w:tcPr>
            <w:tcW w:w="1028" w:type="dxa"/>
            <w:tcBorders>
              <w:top w:val="nil"/>
              <w:left w:val="nil"/>
              <w:bottom w:val="single" w:sz="4" w:space="0" w:color="auto"/>
              <w:right w:val="single" w:sz="4" w:space="0" w:color="auto"/>
            </w:tcBorders>
            <w:shd w:val="clear" w:color="auto" w:fill="auto"/>
            <w:noWrap/>
            <w:hideMark/>
          </w:tcPr>
          <w:p w14:paraId="57A605C7"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14,25</w:t>
            </w:r>
          </w:p>
        </w:tc>
        <w:tc>
          <w:tcPr>
            <w:tcW w:w="1183" w:type="dxa"/>
            <w:tcBorders>
              <w:top w:val="nil"/>
              <w:left w:val="nil"/>
              <w:bottom w:val="single" w:sz="4" w:space="0" w:color="auto"/>
              <w:right w:val="single" w:sz="4" w:space="0" w:color="auto"/>
            </w:tcBorders>
            <w:shd w:val="clear" w:color="auto" w:fill="auto"/>
            <w:noWrap/>
            <w:hideMark/>
          </w:tcPr>
          <w:p w14:paraId="17387C50"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107,41</w:t>
            </w:r>
          </w:p>
        </w:tc>
      </w:tr>
    </w:tbl>
    <w:p w14:paraId="0EE859C6" w14:textId="77777777" w:rsidR="008566E1" w:rsidRPr="00E47AA9" w:rsidRDefault="008566E1" w:rsidP="008566E1">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02C8CB30" w14:textId="77777777" w:rsidR="008566E1" w:rsidRPr="00E47AA9" w:rsidRDefault="008566E1" w:rsidP="008566E1">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Структура ГП на 2024 год сформирована в разрезе следующих структурных элементов и включенных в их состав региональных проектов.</w:t>
      </w:r>
    </w:p>
    <w:p w14:paraId="6C27A423" w14:textId="77777777" w:rsidR="008566E1" w:rsidRPr="00E47AA9" w:rsidRDefault="008566E1" w:rsidP="008566E1">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p>
    <w:tbl>
      <w:tblPr>
        <w:tblW w:w="9382" w:type="dxa"/>
        <w:tblInd w:w="-5" w:type="dxa"/>
        <w:tblLook w:val="04A0" w:firstRow="1" w:lastRow="0" w:firstColumn="1" w:lastColumn="0" w:noHBand="0" w:noVBand="1"/>
      </w:tblPr>
      <w:tblGrid>
        <w:gridCol w:w="3544"/>
        <w:gridCol w:w="1279"/>
        <w:gridCol w:w="1337"/>
        <w:gridCol w:w="1221"/>
        <w:gridCol w:w="818"/>
        <w:gridCol w:w="1183"/>
      </w:tblGrid>
      <w:tr w:rsidR="00E47AA9" w:rsidRPr="00E47AA9" w14:paraId="3B31839B" w14:textId="77777777" w:rsidTr="004619E7">
        <w:trPr>
          <w:trHeight w:val="20"/>
          <w:tblHeader/>
        </w:trPr>
        <w:tc>
          <w:tcPr>
            <w:tcW w:w="3544" w:type="dxa"/>
            <w:tcBorders>
              <w:bottom w:val="single" w:sz="4" w:space="0" w:color="auto"/>
            </w:tcBorders>
            <w:shd w:val="clear" w:color="auto" w:fill="auto"/>
            <w:vAlign w:val="center"/>
          </w:tcPr>
          <w:p w14:paraId="47D0B94B" w14:textId="77777777" w:rsidR="004619E7" w:rsidRPr="00E47AA9" w:rsidRDefault="004619E7" w:rsidP="004619E7">
            <w:pPr>
              <w:spacing w:after="0" w:line="240" w:lineRule="auto"/>
              <w:rPr>
                <w:rFonts w:ascii="Times New Roman" w:eastAsia="Times New Roman" w:hAnsi="Times New Roman" w:cs="Times New Roman"/>
                <w:sz w:val="20"/>
                <w:szCs w:val="20"/>
                <w:lang w:eastAsia="ru-RU"/>
              </w:rPr>
            </w:pPr>
          </w:p>
        </w:tc>
        <w:tc>
          <w:tcPr>
            <w:tcW w:w="1279" w:type="dxa"/>
            <w:tcBorders>
              <w:bottom w:val="single" w:sz="4" w:space="0" w:color="auto"/>
            </w:tcBorders>
            <w:shd w:val="clear" w:color="auto" w:fill="auto"/>
            <w:vAlign w:val="center"/>
          </w:tcPr>
          <w:p w14:paraId="2D615647" w14:textId="77777777" w:rsidR="004619E7" w:rsidRPr="00E47AA9" w:rsidRDefault="004619E7" w:rsidP="004619E7">
            <w:pPr>
              <w:spacing w:after="0" w:line="240" w:lineRule="auto"/>
              <w:jc w:val="center"/>
              <w:rPr>
                <w:rFonts w:ascii="Times New Roman" w:eastAsia="Times New Roman" w:hAnsi="Times New Roman" w:cs="Times New Roman"/>
                <w:sz w:val="20"/>
                <w:szCs w:val="20"/>
                <w:lang w:eastAsia="ru-RU"/>
              </w:rPr>
            </w:pPr>
          </w:p>
        </w:tc>
        <w:tc>
          <w:tcPr>
            <w:tcW w:w="1337" w:type="dxa"/>
            <w:tcBorders>
              <w:bottom w:val="single" w:sz="4" w:space="0" w:color="auto"/>
            </w:tcBorders>
            <w:shd w:val="clear" w:color="auto" w:fill="auto"/>
            <w:vAlign w:val="center"/>
          </w:tcPr>
          <w:p w14:paraId="0A37A814" w14:textId="77777777" w:rsidR="004619E7" w:rsidRPr="00E47AA9" w:rsidRDefault="004619E7" w:rsidP="004619E7">
            <w:pPr>
              <w:spacing w:after="0" w:line="240" w:lineRule="auto"/>
              <w:jc w:val="center"/>
              <w:rPr>
                <w:rFonts w:ascii="Times New Roman" w:eastAsia="Times New Roman" w:hAnsi="Times New Roman" w:cs="Times New Roman"/>
                <w:sz w:val="20"/>
                <w:szCs w:val="20"/>
                <w:lang w:eastAsia="ru-RU"/>
              </w:rPr>
            </w:pPr>
          </w:p>
        </w:tc>
        <w:tc>
          <w:tcPr>
            <w:tcW w:w="3222" w:type="dxa"/>
            <w:gridSpan w:val="3"/>
            <w:tcBorders>
              <w:bottom w:val="single" w:sz="4" w:space="0" w:color="auto"/>
            </w:tcBorders>
            <w:shd w:val="clear" w:color="auto" w:fill="auto"/>
            <w:vAlign w:val="center"/>
          </w:tcPr>
          <w:p w14:paraId="1437C948" w14:textId="77777777" w:rsidR="004619E7" w:rsidRPr="00511C41" w:rsidRDefault="004619E7" w:rsidP="004619E7">
            <w:pPr>
              <w:spacing w:after="0" w:line="240" w:lineRule="auto"/>
              <w:jc w:val="right"/>
              <w:rPr>
                <w:rFonts w:ascii="Times New Roman" w:eastAsia="Times New Roman" w:hAnsi="Times New Roman" w:cs="Times New Roman"/>
                <w:sz w:val="20"/>
                <w:szCs w:val="20"/>
                <w:lang w:eastAsia="ru-RU"/>
              </w:rPr>
            </w:pPr>
            <w:r w:rsidRPr="00511C41">
              <w:rPr>
                <w:rFonts w:ascii="Times New Roman" w:eastAsia="Times New Roman" w:hAnsi="Times New Roman" w:cs="Times New Roman"/>
                <w:sz w:val="20"/>
                <w:szCs w:val="20"/>
                <w:lang w:eastAsia="ru-RU"/>
              </w:rPr>
              <w:t>(млн рублей)</w:t>
            </w:r>
          </w:p>
        </w:tc>
      </w:tr>
      <w:tr w:rsidR="00E47AA9" w:rsidRPr="00E47AA9" w14:paraId="1C5D5970" w14:textId="77777777" w:rsidTr="004619E7">
        <w:trPr>
          <w:trHeight w:val="20"/>
          <w:tblHeader/>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92B0D7" w14:textId="77777777" w:rsidR="004619E7" w:rsidRPr="00E47AA9" w:rsidRDefault="004619E7" w:rsidP="003C5CB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ГП, типа структурного элемента</w:t>
            </w:r>
          </w:p>
        </w:tc>
        <w:tc>
          <w:tcPr>
            <w:tcW w:w="1279" w:type="dxa"/>
            <w:tcBorders>
              <w:top w:val="single" w:sz="4" w:space="0" w:color="auto"/>
              <w:left w:val="nil"/>
              <w:bottom w:val="single" w:sz="4" w:space="0" w:color="auto"/>
              <w:right w:val="single" w:sz="4" w:space="0" w:color="auto"/>
            </w:tcBorders>
            <w:shd w:val="clear" w:color="auto" w:fill="auto"/>
            <w:vAlign w:val="center"/>
            <w:hideMark/>
          </w:tcPr>
          <w:p w14:paraId="179718A7" w14:textId="77777777" w:rsidR="004619E7" w:rsidRPr="00E47AA9" w:rsidRDefault="004619E7" w:rsidP="004619E7">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1337" w:type="dxa"/>
            <w:tcBorders>
              <w:top w:val="single" w:sz="4" w:space="0" w:color="auto"/>
              <w:left w:val="nil"/>
              <w:bottom w:val="single" w:sz="4" w:space="0" w:color="auto"/>
              <w:right w:val="single" w:sz="4" w:space="0" w:color="auto"/>
            </w:tcBorders>
            <w:shd w:val="clear" w:color="auto" w:fill="auto"/>
            <w:vAlign w:val="center"/>
            <w:hideMark/>
          </w:tcPr>
          <w:p w14:paraId="1A996B8D" w14:textId="77777777" w:rsidR="004619E7" w:rsidRPr="00E47AA9" w:rsidRDefault="004619E7" w:rsidP="004619E7">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221" w:type="dxa"/>
            <w:tcBorders>
              <w:top w:val="single" w:sz="4" w:space="0" w:color="auto"/>
              <w:left w:val="nil"/>
              <w:bottom w:val="single" w:sz="4" w:space="0" w:color="auto"/>
              <w:right w:val="single" w:sz="4" w:space="0" w:color="auto"/>
            </w:tcBorders>
            <w:shd w:val="clear" w:color="auto" w:fill="auto"/>
            <w:vAlign w:val="center"/>
            <w:hideMark/>
          </w:tcPr>
          <w:p w14:paraId="0ABFD27F" w14:textId="77777777" w:rsidR="004619E7" w:rsidRPr="00E47AA9" w:rsidRDefault="004619E7" w:rsidP="004619E7">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исполнения</w:t>
            </w:r>
          </w:p>
        </w:tc>
        <w:tc>
          <w:tcPr>
            <w:tcW w:w="818" w:type="dxa"/>
            <w:tcBorders>
              <w:top w:val="single" w:sz="4" w:space="0" w:color="auto"/>
              <w:left w:val="nil"/>
              <w:bottom w:val="single" w:sz="4" w:space="0" w:color="auto"/>
              <w:right w:val="single" w:sz="4" w:space="0" w:color="auto"/>
            </w:tcBorders>
            <w:shd w:val="clear" w:color="auto" w:fill="auto"/>
            <w:vAlign w:val="center"/>
            <w:hideMark/>
          </w:tcPr>
          <w:p w14:paraId="7BFB168B" w14:textId="2C8E3EC8" w:rsidR="004619E7" w:rsidRPr="00E47AA9" w:rsidRDefault="00EE3D55" w:rsidP="004619E7">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w:t>
            </w:r>
            <w:r w:rsidR="004619E7" w:rsidRPr="00E47AA9">
              <w:rPr>
                <w:rFonts w:ascii="Times New Roman" w:eastAsia="Times New Roman" w:hAnsi="Times New Roman" w:cs="Times New Roman"/>
                <w:sz w:val="20"/>
                <w:szCs w:val="20"/>
                <w:lang w:eastAsia="ru-RU"/>
              </w:rPr>
              <w:t>дель-ный</w:t>
            </w:r>
            <w:proofErr w:type="spellEnd"/>
            <w:proofErr w:type="gramEnd"/>
            <w:r w:rsidR="004619E7" w:rsidRPr="00E47AA9">
              <w:rPr>
                <w:rFonts w:ascii="Times New Roman" w:eastAsia="Times New Roman" w:hAnsi="Times New Roman" w:cs="Times New Roman"/>
                <w:sz w:val="20"/>
                <w:szCs w:val="20"/>
                <w:lang w:eastAsia="ru-RU"/>
              </w:rPr>
              <w:t xml:space="preserve"> вес, %</w:t>
            </w:r>
          </w:p>
        </w:tc>
        <w:tc>
          <w:tcPr>
            <w:tcW w:w="1183" w:type="dxa"/>
            <w:tcBorders>
              <w:top w:val="single" w:sz="4" w:space="0" w:color="auto"/>
              <w:left w:val="nil"/>
              <w:bottom w:val="single" w:sz="4" w:space="0" w:color="auto"/>
              <w:right w:val="single" w:sz="4" w:space="0" w:color="auto"/>
            </w:tcBorders>
            <w:shd w:val="clear" w:color="auto" w:fill="auto"/>
            <w:vAlign w:val="center"/>
            <w:hideMark/>
          </w:tcPr>
          <w:p w14:paraId="6A9CCC7A" w14:textId="77777777" w:rsidR="004619E7" w:rsidRPr="00E47AA9" w:rsidRDefault="004619E7" w:rsidP="004619E7">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r>
      <w:tr w:rsidR="00E47AA9" w:rsidRPr="00E47AA9" w14:paraId="05060668"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443CCD7E" w14:textId="77777777" w:rsidR="004619E7" w:rsidRPr="00E47AA9" w:rsidRDefault="004619E7" w:rsidP="004619E7">
            <w:pPr>
              <w:spacing w:after="0" w:line="240" w:lineRule="auto"/>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sz w:val="20"/>
                <w:szCs w:val="20"/>
                <w:lang w:eastAsia="ru-RU"/>
              </w:rPr>
              <w:t>Расходы по ГП всего,</w:t>
            </w:r>
            <w:r w:rsidRPr="00E47AA9">
              <w:rPr>
                <w:rFonts w:ascii="Times New Roman" w:eastAsia="Times New Roman" w:hAnsi="Times New Roman" w:cs="Times New Roman"/>
                <w:b/>
                <w:bCs/>
                <w:i/>
                <w:iCs/>
                <w:sz w:val="20"/>
                <w:szCs w:val="20"/>
                <w:lang w:eastAsia="ru-RU"/>
              </w:rPr>
              <w:t xml:space="preserve"> </w:t>
            </w:r>
          </w:p>
          <w:p w14:paraId="6BA43044" w14:textId="77777777" w:rsidR="004619E7" w:rsidRPr="00E47AA9" w:rsidRDefault="004619E7" w:rsidP="004619E7">
            <w:pPr>
              <w:spacing w:after="0" w:line="240" w:lineRule="auto"/>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iCs/>
                <w:sz w:val="20"/>
                <w:szCs w:val="20"/>
                <w:lang w:eastAsia="ru-RU"/>
              </w:rPr>
              <w:t>в том числе</w:t>
            </w:r>
          </w:p>
        </w:tc>
        <w:tc>
          <w:tcPr>
            <w:tcW w:w="1279" w:type="dxa"/>
            <w:tcBorders>
              <w:top w:val="nil"/>
              <w:left w:val="nil"/>
              <w:bottom w:val="single" w:sz="4" w:space="0" w:color="auto"/>
              <w:right w:val="single" w:sz="4" w:space="0" w:color="auto"/>
            </w:tcBorders>
            <w:shd w:val="clear" w:color="auto" w:fill="auto"/>
            <w:vAlign w:val="center"/>
            <w:hideMark/>
          </w:tcPr>
          <w:p w14:paraId="14DC8436"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48359,43</w:t>
            </w:r>
          </w:p>
        </w:tc>
        <w:tc>
          <w:tcPr>
            <w:tcW w:w="1337" w:type="dxa"/>
            <w:tcBorders>
              <w:top w:val="nil"/>
              <w:left w:val="nil"/>
              <w:bottom w:val="single" w:sz="4" w:space="0" w:color="auto"/>
              <w:right w:val="single" w:sz="4" w:space="0" w:color="auto"/>
            </w:tcBorders>
            <w:shd w:val="clear" w:color="auto" w:fill="auto"/>
            <w:vAlign w:val="center"/>
            <w:hideMark/>
          </w:tcPr>
          <w:p w14:paraId="6AC8C77C"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47079,52</w:t>
            </w:r>
          </w:p>
        </w:tc>
        <w:tc>
          <w:tcPr>
            <w:tcW w:w="1221" w:type="dxa"/>
            <w:tcBorders>
              <w:top w:val="nil"/>
              <w:left w:val="nil"/>
              <w:bottom w:val="single" w:sz="4" w:space="0" w:color="auto"/>
              <w:right w:val="single" w:sz="4" w:space="0" w:color="auto"/>
            </w:tcBorders>
            <w:shd w:val="clear" w:color="auto" w:fill="auto"/>
            <w:vAlign w:val="center"/>
            <w:hideMark/>
          </w:tcPr>
          <w:p w14:paraId="3399BEE8"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97,35</w:t>
            </w:r>
          </w:p>
        </w:tc>
        <w:tc>
          <w:tcPr>
            <w:tcW w:w="818" w:type="dxa"/>
            <w:tcBorders>
              <w:top w:val="nil"/>
              <w:left w:val="nil"/>
              <w:bottom w:val="single" w:sz="4" w:space="0" w:color="auto"/>
              <w:right w:val="single" w:sz="4" w:space="0" w:color="auto"/>
            </w:tcBorders>
            <w:shd w:val="clear" w:color="auto" w:fill="auto"/>
            <w:vAlign w:val="center"/>
            <w:hideMark/>
          </w:tcPr>
          <w:p w14:paraId="2C3DA2A0"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c>
          <w:tcPr>
            <w:tcW w:w="1183" w:type="dxa"/>
            <w:tcBorders>
              <w:top w:val="nil"/>
              <w:left w:val="nil"/>
              <w:bottom w:val="single" w:sz="4" w:space="0" w:color="auto"/>
              <w:right w:val="single" w:sz="4" w:space="0" w:color="auto"/>
            </w:tcBorders>
            <w:shd w:val="clear" w:color="auto" w:fill="auto"/>
            <w:vAlign w:val="center"/>
            <w:hideMark/>
          </w:tcPr>
          <w:p w14:paraId="53948D85"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1279,91</w:t>
            </w:r>
          </w:p>
        </w:tc>
      </w:tr>
      <w:tr w:rsidR="00E47AA9" w:rsidRPr="00E47AA9" w14:paraId="5E86C29B"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53306426" w14:textId="77777777" w:rsidR="004619E7" w:rsidRPr="00E47AA9" w:rsidRDefault="004619E7" w:rsidP="004619E7">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проектные мероприятия, в том числе</w:t>
            </w:r>
          </w:p>
        </w:tc>
        <w:tc>
          <w:tcPr>
            <w:tcW w:w="1279" w:type="dxa"/>
            <w:tcBorders>
              <w:top w:val="nil"/>
              <w:left w:val="nil"/>
              <w:bottom w:val="single" w:sz="4" w:space="0" w:color="auto"/>
              <w:right w:val="single" w:sz="4" w:space="0" w:color="auto"/>
            </w:tcBorders>
            <w:shd w:val="clear" w:color="auto" w:fill="auto"/>
            <w:vAlign w:val="center"/>
            <w:hideMark/>
          </w:tcPr>
          <w:p w14:paraId="027EF1A1"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3381,21</w:t>
            </w:r>
          </w:p>
        </w:tc>
        <w:tc>
          <w:tcPr>
            <w:tcW w:w="1337" w:type="dxa"/>
            <w:tcBorders>
              <w:top w:val="nil"/>
              <w:left w:val="nil"/>
              <w:bottom w:val="single" w:sz="4" w:space="0" w:color="auto"/>
              <w:right w:val="single" w:sz="4" w:space="0" w:color="auto"/>
            </w:tcBorders>
            <w:shd w:val="clear" w:color="auto" w:fill="auto"/>
            <w:vAlign w:val="center"/>
            <w:hideMark/>
          </w:tcPr>
          <w:p w14:paraId="5B086F93"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3337,27</w:t>
            </w:r>
          </w:p>
        </w:tc>
        <w:tc>
          <w:tcPr>
            <w:tcW w:w="1221" w:type="dxa"/>
            <w:tcBorders>
              <w:top w:val="nil"/>
              <w:left w:val="nil"/>
              <w:bottom w:val="single" w:sz="4" w:space="0" w:color="auto"/>
              <w:right w:val="single" w:sz="4" w:space="0" w:color="auto"/>
            </w:tcBorders>
            <w:shd w:val="clear" w:color="auto" w:fill="auto"/>
            <w:vAlign w:val="center"/>
            <w:hideMark/>
          </w:tcPr>
          <w:p w14:paraId="6DAD3C2F"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98,70</w:t>
            </w:r>
          </w:p>
        </w:tc>
        <w:tc>
          <w:tcPr>
            <w:tcW w:w="818" w:type="dxa"/>
            <w:tcBorders>
              <w:top w:val="nil"/>
              <w:left w:val="nil"/>
              <w:bottom w:val="single" w:sz="4" w:space="0" w:color="auto"/>
              <w:right w:val="single" w:sz="4" w:space="0" w:color="auto"/>
            </w:tcBorders>
            <w:shd w:val="clear" w:color="auto" w:fill="auto"/>
            <w:vAlign w:val="center"/>
            <w:hideMark/>
          </w:tcPr>
          <w:p w14:paraId="29EAC97E"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7,09</w:t>
            </w:r>
          </w:p>
        </w:tc>
        <w:tc>
          <w:tcPr>
            <w:tcW w:w="1183" w:type="dxa"/>
            <w:tcBorders>
              <w:top w:val="nil"/>
              <w:left w:val="nil"/>
              <w:bottom w:val="single" w:sz="4" w:space="0" w:color="auto"/>
              <w:right w:val="single" w:sz="4" w:space="0" w:color="auto"/>
            </w:tcBorders>
            <w:shd w:val="clear" w:color="auto" w:fill="auto"/>
            <w:vAlign w:val="center"/>
            <w:hideMark/>
          </w:tcPr>
          <w:p w14:paraId="2F40A856"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43,94</w:t>
            </w:r>
          </w:p>
        </w:tc>
      </w:tr>
      <w:tr w:rsidR="00E47AA9" w:rsidRPr="00E47AA9" w14:paraId="48D75C72"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72E4AC91" w14:textId="77777777" w:rsidR="004619E7" w:rsidRPr="00E47AA9" w:rsidRDefault="004619E7" w:rsidP="004619E7">
            <w:pPr>
              <w:spacing w:after="0" w:line="240" w:lineRule="auto"/>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РП, входящие в состав НП</w:t>
            </w:r>
          </w:p>
        </w:tc>
        <w:tc>
          <w:tcPr>
            <w:tcW w:w="1279" w:type="dxa"/>
            <w:tcBorders>
              <w:top w:val="nil"/>
              <w:left w:val="nil"/>
              <w:bottom w:val="single" w:sz="4" w:space="0" w:color="auto"/>
              <w:right w:val="single" w:sz="4" w:space="0" w:color="auto"/>
            </w:tcBorders>
            <w:shd w:val="clear" w:color="auto" w:fill="auto"/>
            <w:vAlign w:val="center"/>
            <w:hideMark/>
          </w:tcPr>
          <w:p w14:paraId="49BD24F8"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2977,34</w:t>
            </w:r>
          </w:p>
        </w:tc>
        <w:tc>
          <w:tcPr>
            <w:tcW w:w="1337" w:type="dxa"/>
            <w:tcBorders>
              <w:top w:val="nil"/>
              <w:left w:val="nil"/>
              <w:bottom w:val="single" w:sz="4" w:space="0" w:color="auto"/>
              <w:right w:val="single" w:sz="4" w:space="0" w:color="auto"/>
            </w:tcBorders>
            <w:shd w:val="clear" w:color="auto" w:fill="auto"/>
            <w:vAlign w:val="center"/>
            <w:hideMark/>
          </w:tcPr>
          <w:p w14:paraId="78402651"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2934,65</w:t>
            </w:r>
          </w:p>
        </w:tc>
        <w:tc>
          <w:tcPr>
            <w:tcW w:w="1221" w:type="dxa"/>
            <w:tcBorders>
              <w:top w:val="nil"/>
              <w:left w:val="nil"/>
              <w:bottom w:val="single" w:sz="4" w:space="0" w:color="auto"/>
              <w:right w:val="single" w:sz="4" w:space="0" w:color="auto"/>
            </w:tcBorders>
            <w:shd w:val="clear" w:color="auto" w:fill="auto"/>
            <w:vAlign w:val="center"/>
            <w:hideMark/>
          </w:tcPr>
          <w:p w14:paraId="500AE4AA"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98,57</w:t>
            </w:r>
          </w:p>
        </w:tc>
        <w:tc>
          <w:tcPr>
            <w:tcW w:w="818" w:type="dxa"/>
            <w:tcBorders>
              <w:top w:val="nil"/>
              <w:left w:val="nil"/>
              <w:bottom w:val="single" w:sz="4" w:space="0" w:color="auto"/>
              <w:right w:val="single" w:sz="4" w:space="0" w:color="auto"/>
            </w:tcBorders>
            <w:shd w:val="clear" w:color="auto" w:fill="auto"/>
            <w:vAlign w:val="center"/>
            <w:hideMark/>
          </w:tcPr>
          <w:p w14:paraId="4CF335AF"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6,23</w:t>
            </w:r>
          </w:p>
        </w:tc>
        <w:tc>
          <w:tcPr>
            <w:tcW w:w="1183" w:type="dxa"/>
            <w:tcBorders>
              <w:top w:val="nil"/>
              <w:left w:val="nil"/>
              <w:bottom w:val="single" w:sz="4" w:space="0" w:color="auto"/>
              <w:right w:val="single" w:sz="4" w:space="0" w:color="auto"/>
            </w:tcBorders>
            <w:shd w:val="clear" w:color="auto" w:fill="auto"/>
            <w:vAlign w:val="center"/>
            <w:hideMark/>
          </w:tcPr>
          <w:p w14:paraId="295F51F1"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42,69</w:t>
            </w:r>
          </w:p>
        </w:tc>
      </w:tr>
      <w:tr w:rsidR="00E47AA9" w:rsidRPr="00E47AA9" w14:paraId="6D18ABC2"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09026FB6" w14:textId="77777777" w:rsidR="004619E7" w:rsidRPr="00E47AA9" w:rsidRDefault="004619E7" w:rsidP="004619E7">
            <w:pPr>
              <w:spacing w:after="0" w:line="240" w:lineRule="auto"/>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НП "Демография"</w:t>
            </w:r>
          </w:p>
        </w:tc>
        <w:tc>
          <w:tcPr>
            <w:tcW w:w="1279" w:type="dxa"/>
            <w:tcBorders>
              <w:top w:val="nil"/>
              <w:left w:val="nil"/>
              <w:bottom w:val="single" w:sz="4" w:space="0" w:color="auto"/>
              <w:right w:val="single" w:sz="4" w:space="0" w:color="auto"/>
            </w:tcBorders>
            <w:shd w:val="clear" w:color="auto" w:fill="auto"/>
            <w:vAlign w:val="center"/>
            <w:hideMark/>
          </w:tcPr>
          <w:p w14:paraId="3D845AFB" w14:textId="77777777" w:rsidR="004619E7" w:rsidRPr="00E47AA9" w:rsidRDefault="004619E7" w:rsidP="004619E7">
            <w:pPr>
              <w:spacing w:after="0" w:line="240" w:lineRule="auto"/>
              <w:jc w:val="right"/>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238,99</w:t>
            </w:r>
          </w:p>
        </w:tc>
        <w:tc>
          <w:tcPr>
            <w:tcW w:w="1337" w:type="dxa"/>
            <w:tcBorders>
              <w:top w:val="nil"/>
              <w:left w:val="nil"/>
              <w:bottom w:val="single" w:sz="4" w:space="0" w:color="auto"/>
              <w:right w:val="single" w:sz="4" w:space="0" w:color="auto"/>
            </w:tcBorders>
            <w:shd w:val="clear" w:color="auto" w:fill="auto"/>
            <w:vAlign w:val="center"/>
            <w:hideMark/>
          </w:tcPr>
          <w:p w14:paraId="19A31C10" w14:textId="77777777" w:rsidR="004619E7" w:rsidRPr="00E47AA9" w:rsidRDefault="004619E7" w:rsidP="004619E7">
            <w:pPr>
              <w:spacing w:after="0" w:line="240" w:lineRule="auto"/>
              <w:jc w:val="right"/>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238,99</w:t>
            </w:r>
          </w:p>
        </w:tc>
        <w:tc>
          <w:tcPr>
            <w:tcW w:w="1221" w:type="dxa"/>
            <w:tcBorders>
              <w:top w:val="nil"/>
              <w:left w:val="nil"/>
              <w:bottom w:val="single" w:sz="4" w:space="0" w:color="auto"/>
              <w:right w:val="single" w:sz="4" w:space="0" w:color="auto"/>
            </w:tcBorders>
            <w:shd w:val="clear" w:color="auto" w:fill="auto"/>
            <w:vAlign w:val="center"/>
            <w:hideMark/>
          </w:tcPr>
          <w:p w14:paraId="2178533A"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c>
          <w:tcPr>
            <w:tcW w:w="818" w:type="dxa"/>
            <w:tcBorders>
              <w:top w:val="nil"/>
              <w:left w:val="nil"/>
              <w:bottom w:val="single" w:sz="4" w:space="0" w:color="auto"/>
              <w:right w:val="single" w:sz="4" w:space="0" w:color="auto"/>
            </w:tcBorders>
            <w:shd w:val="clear" w:color="auto" w:fill="auto"/>
            <w:vAlign w:val="center"/>
            <w:hideMark/>
          </w:tcPr>
          <w:p w14:paraId="201DA181"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0,51</w:t>
            </w:r>
          </w:p>
        </w:tc>
        <w:tc>
          <w:tcPr>
            <w:tcW w:w="1183" w:type="dxa"/>
            <w:tcBorders>
              <w:top w:val="nil"/>
              <w:left w:val="nil"/>
              <w:bottom w:val="single" w:sz="4" w:space="0" w:color="auto"/>
              <w:right w:val="single" w:sz="4" w:space="0" w:color="auto"/>
            </w:tcBorders>
            <w:shd w:val="clear" w:color="auto" w:fill="auto"/>
            <w:vAlign w:val="center"/>
            <w:hideMark/>
          </w:tcPr>
          <w:p w14:paraId="2BC985A4"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0,00</w:t>
            </w:r>
          </w:p>
        </w:tc>
      </w:tr>
      <w:tr w:rsidR="00E47AA9" w:rsidRPr="00E47AA9" w14:paraId="0E61E23E"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668220BE" w14:textId="77777777" w:rsidR="004619E7" w:rsidRPr="00E47AA9" w:rsidRDefault="004619E7" w:rsidP="004619E7">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"Финансовая поддержка семей при рождении детей"</w:t>
            </w:r>
          </w:p>
        </w:tc>
        <w:tc>
          <w:tcPr>
            <w:tcW w:w="1279" w:type="dxa"/>
            <w:tcBorders>
              <w:top w:val="nil"/>
              <w:left w:val="nil"/>
              <w:bottom w:val="single" w:sz="4" w:space="0" w:color="auto"/>
              <w:right w:val="single" w:sz="4" w:space="0" w:color="auto"/>
            </w:tcBorders>
            <w:shd w:val="clear" w:color="auto" w:fill="auto"/>
            <w:vAlign w:val="center"/>
            <w:hideMark/>
          </w:tcPr>
          <w:p w14:paraId="292F0F30"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0,78</w:t>
            </w:r>
          </w:p>
        </w:tc>
        <w:tc>
          <w:tcPr>
            <w:tcW w:w="1337" w:type="dxa"/>
            <w:tcBorders>
              <w:top w:val="nil"/>
              <w:left w:val="nil"/>
              <w:bottom w:val="single" w:sz="4" w:space="0" w:color="auto"/>
              <w:right w:val="single" w:sz="4" w:space="0" w:color="auto"/>
            </w:tcBorders>
            <w:shd w:val="clear" w:color="auto" w:fill="auto"/>
            <w:vAlign w:val="center"/>
            <w:hideMark/>
          </w:tcPr>
          <w:p w14:paraId="0D666913"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0,78</w:t>
            </w:r>
          </w:p>
        </w:tc>
        <w:tc>
          <w:tcPr>
            <w:tcW w:w="1221" w:type="dxa"/>
            <w:tcBorders>
              <w:top w:val="nil"/>
              <w:left w:val="nil"/>
              <w:bottom w:val="single" w:sz="4" w:space="0" w:color="auto"/>
              <w:right w:val="single" w:sz="4" w:space="0" w:color="auto"/>
            </w:tcBorders>
            <w:shd w:val="clear" w:color="auto" w:fill="auto"/>
            <w:vAlign w:val="center"/>
            <w:hideMark/>
          </w:tcPr>
          <w:p w14:paraId="2CD9C011"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818" w:type="dxa"/>
            <w:tcBorders>
              <w:top w:val="nil"/>
              <w:left w:val="nil"/>
              <w:bottom w:val="single" w:sz="4" w:space="0" w:color="auto"/>
              <w:right w:val="single" w:sz="4" w:space="0" w:color="auto"/>
            </w:tcBorders>
            <w:shd w:val="clear" w:color="auto" w:fill="auto"/>
            <w:vAlign w:val="center"/>
            <w:hideMark/>
          </w:tcPr>
          <w:p w14:paraId="38AA0E90"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1183" w:type="dxa"/>
            <w:tcBorders>
              <w:top w:val="nil"/>
              <w:left w:val="nil"/>
              <w:bottom w:val="single" w:sz="4" w:space="0" w:color="auto"/>
              <w:right w:val="single" w:sz="4" w:space="0" w:color="auto"/>
            </w:tcBorders>
            <w:shd w:val="clear" w:color="auto" w:fill="auto"/>
            <w:vAlign w:val="center"/>
            <w:hideMark/>
          </w:tcPr>
          <w:p w14:paraId="6EFD819A"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E47AA9" w:rsidRPr="00E47AA9" w14:paraId="113443D4"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5C310A36" w14:textId="77777777" w:rsidR="004619E7" w:rsidRPr="00E47AA9" w:rsidRDefault="004619E7" w:rsidP="004619E7">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"Содействие занятости"</w:t>
            </w:r>
          </w:p>
        </w:tc>
        <w:tc>
          <w:tcPr>
            <w:tcW w:w="1279" w:type="dxa"/>
            <w:tcBorders>
              <w:top w:val="nil"/>
              <w:left w:val="nil"/>
              <w:bottom w:val="single" w:sz="4" w:space="0" w:color="auto"/>
              <w:right w:val="single" w:sz="4" w:space="0" w:color="auto"/>
            </w:tcBorders>
            <w:shd w:val="clear" w:color="auto" w:fill="auto"/>
            <w:vAlign w:val="center"/>
            <w:hideMark/>
          </w:tcPr>
          <w:p w14:paraId="6061A177"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238,21</w:t>
            </w:r>
          </w:p>
        </w:tc>
        <w:tc>
          <w:tcPr>
            <w:tcW w:w="1337" w:type="dxa"/>
            <w:tcBorders>
              <w:top w:val="nil"/>
              <w:left w:val="nil"/>
              <w:bottom w:val="single" w:sz="4" w:space="0" w:color="auto"/>
              <w:right w:val="single" w:sz="4" w:space="0" w:color="auto"/>
            </w:tcBorders>
            <w:shd w:val="clear" w:color="auto" w:fill="auto"/>
            <w:vAlign w:val="center"/>
            <w:hideMark/>
          </w:tcPr>
          <w:p w14:paraId="1C7C48FF"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238,21</w:t>
            </w:r>
          </w:p>
        </w:tc>
        <w:tc>
          <w:tcPr>
            <w:tcW w:w="1221" w:type="dxa"/>
            <w:tcBorders>
              <w:top w:val="nil"/>
              <w:left w:val="nil"/>
              <w:bottom w:val="single" w:sz="4" w:space="0" w:color="auto"/>
              <w:right w:val="single" w:sz="4" w:space="0" w:color="auto"/>
            </w:tcBorders>
            <w:shd w:val="clear" w:color="auto" w:fill="auto"/>
            <w:vAlign w:val="center"/>
            <w:hideMark/>
          </w:tcPr>
          <w:p w14:paraId="67090E4A"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818" w:type="dxa"/>
            <w:tcBorders>
              <w:top w:val="nil"/>
              <w:left w:val="nil"/>
              <w:bottom w:val="single" w:sz="4" w:space="0" w:color="auto"/>
              <w:right w:val="single" w:sz="4" w:space="0" w:color="auto"/>
            </w:tcBorders>
            <w:shd w:val="clear" w:color="auto" w:fill="auto"/>
            <w:vAlign w:val="center"/>
            <w:hideMark/>
          </w:tcPr>
          <w:p w14:paraId="61761ACD"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0,51</w:t>
            </w:r>
          </w:p>
        </w:tc>
        <w:tc>
          <w:tcPr>
            <w:tcW w:w="1183" w:type="dxa"/>
            <w:tcBorders>
              <w:top w:val="nil"/>
              <w:left w:val="nil"/>
              <w:bottom w:val="single" w:sz="4" w:space="0" w:color="auto"/>
              <w:right w:val="single" w:sz="4" w:space="0" w:color="auto"/>
            </w:tcBorders>
            <w:shd w:val="clear" w:color="auto" w:fill="auto"/>
            <w:vAlign w:val="center"/>
            <w:hideMark/>
          </w:tcPr>
          <w:p w14:paraId="0AEF1639"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E47AA9" w:rsidRPr="00E47AA9" w14:paraId="688A846A"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1D1ADB8F" w14:textId="77777777" w:rsidR="004619E7" w:rsidRPr="00E47AA9" w:rsidRDefault="004619E7" w:rsidP="004619E7">
            <w:pPr>
              <w:spacing w:after="0" w:line="240" w:lineRule="auto"/>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НП "Образование"</w:t>
            </w:r>
          </w:p>
        </w:tc>
        <w:tc>
          <w:tcPr>
            <w:tcW w:w="1279" w:type="dxa"/>
            <w:tcBorders>
              <w:top w:val="nil"/>
              <w:left w:val="nil"/>
              <w:bottom w:val="single" w:sz="4" w:space="0" w:color="auto"/>
              <w:right w:val="single" w:sz="4" w:space="0" w:color="auto"/>
            </w:tcBorders>
            <w:shd w:val="clear" w:color="auto" w:fill="auto"/>
            <w:vAlign w:val="center"/>
            <w:hideMark/>
          </w:tcPr>
          <w:p w14:paraId="2A65B1A0"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2738,35</w:t>
            </w:r>
          </w:p>
        </w:tc>
        <w:tc>
          <w:tcPr>
            <w:tcW w:w="1337" w:type="dxa"/>
            <w:tcBorders>
              <w:top w:val="nil"/>
              <w:left w:val="nil"/>
              <w:bottom w:val="single" w:sz="4" w:space="0" w:color="auto"/>
              <w:right w:val="single" w:sz="4" w:space="0" w:color="auto"/>
            </w:tcBorders>
            <w:shd w:val="clear" w:color="auto" w:fill="auto"/>
            <w:vAlign w:val="center"/>
            <w:hideMark/>
          </w:tcPr>
          <w:p w14:paraId="1A5C1534"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2695,66</w:t>
            </w:r>
          </w:p>
        </w:tc>
        <w:tc>
          <w:tcPr>
            <w:tcW w:w="1221" w:type="dxa"/>
            <w:tcBorders>
              <w:top w:val="nil"/>
              <w:left w:val="nil"/>
              <w:bottom w:val="single" w:sz="4" w:space="0" w:color="auto"/>
              <w:right w:val="single" w:sz="4" w:space="0" w:color="auto"/>
            </w:tcBorders>
            <w:shd w:val="clear" w:color="auto" w:fill="auto"/>
            <w:vAlign w:val="center"/>
            <w:hideMark/>
          </w:tcPr>
          <w:p w14:paraId="59A629B5"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98,44</w:t>
            </w:r>
          </w:p>
        </w:tc>
        <w:tc>
          <w:tcPr>
            <w:tcW w:w="818" w:type="dxa"/>
            <w:tcBorders>
              <w:top w:val="nil"/>
              <w:left w:val="nil"/>
              <w:bottom w:val="single" w:sz="4" w:space="0" w:color="auto"/>
              <w:right w:val="single" w:sz="4" w:space="0" w:color="auto"/>
            </w:tcBorders>
            <w:shd w:val="clear" w:color="auto" w:fill="auto"/>
            <w:vAlign w:val="center"/>
            <w:hideMark/>
          </w:tcPr>
          <w:p w14:paraId="569AD8F9"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5,73</w:t>
            </w:r>
          </w:p>
        </w:tc>
        <w:tc>
          <w:tcPr>
            <w:tcW w:w="1183" w:type="dxa"/>
            <w:tcBorders>
              <w:top w:val="nil"/>
              <w:left w:val="nil"/>
              <w:bottom w:val="single" w:sz="4" w:space="0" w:color="auto"/>
              <w:right w:val="single" w:sz="4" w:space="0" w:color="auto"/>
            </w:tcBorders>
            <w:shd w:val="clear" w:color="auto" w:fill="auto"/>
            <w:vAlign w:val="center"/>
            <w:hideMark/>
          </w:tcPr>
          <w:p w14:paraId="0D82A898"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42,69</w:t>
            </w:r>
          </w:p>
        </w:tc>
      </w:tr>
      <w:tr w:rsidR="00E47AA9" w:rsidRPr="00E47AA9" w14:paraId="21973106"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2506D55D" w14:textId="77777777" w:rsidR="004619E7" w:rsidRPr="00E47AA9" w:rsidRDefault="004619E7" w:rsidP="004619E7">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"Современная школа"</w:t>
            </w:r>
          </w:p>
        </w:tc>
        <w:tc>
          <w:tcPr>
            <w:tcW w:w="1279" w:type="dxa"/>
            <w:tcBorders>
              <w:top w:val="nil"/>
              <w:left w:val="nil"/>
              <w:bottom w:val="single" w:sz="4" w:space="0" w:color="auto"/>
              <w:right w:val="single" w:sz="4" w:space="0" w:color="auto"/>
            </w:tcBorders>
            <w:shd w:val="clear" w:color="auto" w:fill="auto"/>
            <w:vAlign w:val="center"/>
            <w:hideMark/>
          </w:tcPr>
          <w:p w14:paraId="1234181F"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1844,75</w:t>
            </w:r>
          </w:p>
        </w:tc>
        <w:tc>
          <w:tcPr>
            <w:tcW w:w="1337" w:type="dxa"/>
            <w:tcBorders>
              <w:top w:val="nil"/>
              <w:left w:val="nil"/>
              <w:bottom w:val="single" w:sz="4" w:space="0" w:color="auto"/>
              <w:right w:val="single" w:sz="4" w:space="0" w:color="auto"/>
            </w:tcBorders>
            <w:shd w:val="clear" w:color="auto" w:fill="auto"/>
            <w:vAlign w:val="center"/>
            <w:hideMark/>
          </w:tcPr>
          <w:p w14:paraId="738E0DBD"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1824,25</w:t>
            </w:r>
          </w:p>
        </w:tc>
        <w:tc>
          <w:tcPr>
            <w:tcW w:w="1221" w:type="dxa"/>
            <w:tcBorders>
              <w:top w:val="nil"/>
              <w:left w:val="nil"/>
              <w:bottom w:val="single" w:sz="4" w:space="0" w:color="auto"/>
              <w:right w:val="single" w:sz="4" w:space="0" w:color="auto"/>
            </w:tcBorders>
            <w:shd w:val="clear" w:color="auto" w:fill="auto"/>
            <w:vAlign w:val="center"/>
            <w:hideMark/>
          </w:tcPr>
          <w:p w14:paraId="2BB1F982"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98,89</w:t>
            </w:r>
          </w:p>
        </w:tc>
        <w:tc>
          <w:tcPr>
            <w:tcW w:w="818" w:type="dxa"/>
            <w:tcBorders>
              <w:top w:val="nil"/>
              <w:left w:val="nil"/>
              <w:bottom w:val="single" w:sz="4" w:space="0" w:color="auto"/>
              <w:right w:val="single" w:sz="4" w:space="0" w:color="auto"/>
            </w:tcBorders>
            <w:shd w:val="clear" w:color="auto" w:fill="auto"/>
            <w:vAlign w:val="center"/>
            <w:hideMark/>
          </w:tcPr>
          <w:p w14:paraId="65BDAECA"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3,87</w:t>
            </w:r>
          </w:p>
        </w:tc>
        <w:tc>
          <w:tcPr>
            <w:tcW w:w="1183" w:type="dxa"/>
            <w:tcBorders>
              <w:top w:val="nil"/>
              <w:left w:val="nil"/>
              <w:bottom w:val="single" w:sz="4" w:space="0" w:color="auto"/>
              <w:right w:val="single" w:sz="4" w:space="0" w:color="auto"/>
            </w:tcBorders>
            <w:shd w:val="clear" w:color="auto" w:fill="auto"/>
            <w:vAlign w:val="center"/>
            <w:hideMark/>
          </w:tcPr>
          <w:p w14:paraId="38E76EEC"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20,50</w:t>
            </w:r>
          </w:p>
        </w:tc>
      </w:tr>
      <w:tr w:rsidR="00E47AA9" w:rsidRPr="00E47AA9" w14:paraId="5229565C"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40406C20" w14:textId="77777777" w:rsidR="004619E7" w:rsidRPr="00E47AA9" w:rsidRDefault="004619E7" w:rsidP="004619E7">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"Успех каждого ребенка"</w:t>
            </w:r>
          </w:p>
        </w:tc>
        <w:tc>
          <w:tcPr>
            <w:tcW w:w="1279" w:type="dxa"/>
            <w:tcBorders>
              <w:top w:val="nil"/>
              <w:left w:val="nil"/>
              <w:bottom w:val="single" w:sz="4" w:space="0" w:color="auto"/>
              <w:right w:val="single" w:sz="4" w:space="0" w:color="auto"/>
            </w:tcBorders>
            <w:shd w:val="clear" w:color="auto" w:fill="auto"/>
            <w:vAlign w:val="center"/>
            <w:hideMark/>
          </w:tcPr>
          <w:p w14:paraId="0280E344"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39,34</w:t>
            </w:r>
          </w:p>
        </w:tc>
        <w:tc>
          <w:tcPr>
            <w:tcW w:w="1337" w:type="dxa"/>
            <w:tcBorders>
              <w:top w:val="nil"/>
              <w:left w:val="nil"/>
              <w:bottom w:val="single" w:sz="4" w:space="0" w:color="auto"/>
              <w:right w:val="single" w:sz="4" w:space="0" w:color="auto"/>
            </w:tcBorders>
            <w:shd w:val="clear" w:color="auto" w:fill="auto"/>
            <w:vAlign w:val="center"/>
            <w:hideMark/>
          </w:tcPr>
          <w:p w14:paraId="259B60CD"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38,87</w:t>
            </w:r>
          </w:p>
        </w:tc>
        <w:tc>
          <w:tcPr>
            <w:tcW w:w="1221" w:type="dxa"/>
            <w:tcBorders>
              <w:top w:val="nil"/>
              <w:left w:val="nil"/>
              <w:bottom w:val="single" w:sz="4" w:space="0" w:color="auto"/>
              <w:right w:val="single" w:sz="4" w:space="0" w:color="auto"/>
            </w:tcBorders>
            <w:shd w:val="clear" w:color="auto" w:fill="auto"/>
            <w:vAlign w:val="center"/>
            <w:hideMark/>
          </w:tcPr>
          <w:p w14:paraId="54DD5BAF"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98,81</w:t>
            </w:r>
          </w:p>
        </w:tc>
        <w:tc>
          <w:tcPr>
            <w:tcW w:w="818" w:type="dxa"/>
            <w:tcBorders>
              <w:top w:val="nil"/>
              <w:left w:val="nil"/>
              <w:bottom w:val="single" w:sz="4" w:space="0" w:color="auto"/>
              <w:right w:val="single" w:sz="4" w:space="0" w:color="auto"/>
            </w:tcBorders>
            <w:shd w:val="clear" w:color="auto" w:fill="auto"/>
            <w:vAlign w:val="center"/>
            <w:hideMark/>
          </w:tcPr>
          <w:p w14:paraId="4B1336CB"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0,08</w:t>
            </w:r>
          </w:p>
        </w:tc>
        <w:tc>
          <w:tcPr>
            <w:tcW w:w="1183" w:type="dxa"/>
            <w:tcBorders>
              <w:top w:val="nil"/>
              <w:left w:val="nil"/>
              <w:bottom w:val="single" w:sz="4" w:space="0" w:color="auto"/>
              <w:right w:val="single" w:sz="4" w:space="0" w:color="auto"/>
            </w:tcBorders>
            <w:shd w:val="clear" w:color="auto" w:fill="auto"/>
            <w:vAlign w:val="center"/>
            <w:hideMark/>
          </w:tcPr>
          <w:p w14:paraId="3B29EB01"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0,47</w:t>
            </w:r>
          </w:p>
        </w:tc>
      </w:tr>
      <w:tr w:rsidR="00E47AA9" w:rsidRPr="00E47AA9" w14:paraId="307C53BF"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16E2EED3" w14:textId="77777777" w:rsidR="004619E7" w:rsidRPr="00E47AA9" w:rsidRDefault="004619E7" w:rsidP="004619E7">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"Цифровая образовательная среда"</w:t>
            </w:r>
          </w:p>
        </w:tc>
        <w:tc>
          <w:tcPr>
            <w:tcW w:w="1279" w:type="dxa"/>
            <w:tcBorders>
              <w:top w:val="nil"/>
              <w:left w:val="nil"/>
              <w:bottom w:val="single" w:sz="4" w:space="0" w:color="auto"/>
              <w:right w:val="single" w:sz="4" w:space="0" w:color="auto"/>
            </w:tcBorders>
            <w:shd w:val="clear" w:color="auto" w:fill="auto"/>
            <w:vAlign w:val="center"/>
            <w:hideMark/>
          </w:tcPr>
          <w:p w14:paraId="1AF0E19B"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156,24</w:t>
            </w:r>
          </w:p>
        </w:tc>
        <w:tc>
          <w:tcPr>
            <w:tcW w:w="1337" w:type="dxa"/>
            <w:tcBorders>
              <w:top w:val="nil"/>
              <w:left w:val="nil"/>
              <w:bottom w:val="single" w:sz="4" w:space="0" w:color="auto"/>
              <w:right w:val="single" w:sz="4" w:space="0" w:color="auto"/>
            </w:tcBorders>
            <w:shd w:val="clear" w:color="auto" w:fill="auto"/>
            <w:vAlign w:val="center"/>
            <w:hideMark/>
          </w:tcPr>
          <w:p w14:paraId="260BBFB1"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156,24</w:t>
            </w:r>
          </w:p>
        </w:tc>
        <w:tc>
          <w:tcPr>
            <w:tcW w:w="1221" w:type="dxa"/>
            <w:tcBorders>
              <w:top w:val="nil"/>
              <w:left w:val="nil"/>
              <w:bottom w:val="single" w:sz="4" w:space="0" w:color="auto"/>
              <w:right w:val="single" w:sz="4" w:space="0" w:color="auto"/>
            </w:tcBorders>
            <w:shd w:val="clear" w:color="auto" w:fill="auto"/>
            <w:vAlign w:val="center"/>
            <w:hideMark/>
          </w:tcPr>
          <w:p w14:paraId="2BC5AE9C"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818" w:type="dxa"/>
            <w:tcBorders>
              <w:top w:val="nil"/>
              <w:left w:val="nil"/>
              <w:bottom w:val="single" w:sz="4" w:space="0" w:color="auto"/>
              <w:right w:val="single" w:sz="4" w:space="0" w:color="auto"/>
            </w:tcBorders>
            <w:shd w:val="clear" w:color="auto" w:fill="auto"/>
            <w:vAlign w:val="center"/>
            <w:hideMark/>
          </w:tcPr>
          <w:p w14:paraId="59C8712F"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0,33</w:t>
            </w:r>
          </w:p>
        </w:tc>
        <w:tc>
          <w:tcPr>
            <w:tcW w:w="1183" w:type="dxa"/>
            <w:tcBorders>
              <w:top w:val="nil"/>
              <w:left w:val="nil"/>
              <w:bottom w:val="single" w:sz="4" w:space="0" w:color="auto"/>
              <w:right w:val="single" w:sz="4" w:space="0" w:color="auto"/>
            </w:tcBorders>
            <w:shd w:val="clear" w:color="auto" w:fill="auto"/>
            <w:vAlign w:val="center"/>
            <w:hideMark/>
          </w:tcPr>
          <w:p w14:paraId="79AB0218"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E47AA9" w:rsidRPr="00E47AA9" w14:paraId="23929D2D"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2CA59823" w14:textId="77777777" w:rsidR="004619E7" w:rsidRPr="00E47AA9" w:rsidRDefault="004619E7" w:rsidP="004619E7">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"Молодые профессионалы (Повышение конкурентоспособности профессионального образования)"</w:t>
            </w:r>
          </w:p>
        </w:tc>
        <w:tc>
          <w:tcPr>
            <w:tcW w:w="1279" w:type="dxa"/>
            <w:tcBorders>
              <w:top w:val="nil"/>
              <w:left w:val="nil"/>
              <w:bottom w:val="single" w:sz="4" w:space="0" w:color="auto"/>
              <w:right w:val="single" w:sz="4" w:space="0" w:color="auto"/>
            </w:tcBorders>
            <w:shd w:val="clear" w:color="auto" w:fill="auto"/>
            <w:vAlign w:val="center"/>
            <w:hideMark/>
          </w:tcPr>
          <w:p w14:paraId="67CA30B5"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253,82</w:t>
            </w:r>
          </w:p>
        </w:tc>
        <w:tc>
          <w:tcPr>
            <w:tcW w:w="1337" w:type="dxa"/>
            <w:tcBorders>
              <w:top w:val="nil"/>
              <w:left w:val="nil"/>
              <w:bottom w:val="single" w:sz="4" w:space="0" w:color="auto"/>
              <w:right w:val="single" w:sz="4" w:space="0" w:color="auto"/>
            </w:tcBorders>
            <w:shd w:val="clear" w:color="auto" w:fill="auto"/>
            <w:vAlign w:val="center"/>
            <w:hideMark/>
          </w:tcPr>
          <w:p w14:paraId="52BB8038"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233,16</w:t>
            </w:r>
          </w:p>
        </w:tc>
        <w:tc>
          <w:tcPr>
            <w:tcW w:w="1221" w:type="dxa"/>
            <w:tcBorders>
              <w:top w:val="nil"/>
              <w:left w:val="nil"/>
              <w:bottom w:val="single" w:sz="4" w:space="0" w:color="auto"/>
              <w:right w:val="single" w:sz="4" w:space="0" w:color="auto"/>
            </w:tcBorders>
            <w:shd w:val="clear" w:color="auto" w:fill="auto"/>
            <w:vAlign w:val="center"/>
            <w:hideMark/>
          </w:tcPr>
          <w:p w14:paraId="7E32D6D5"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91,86</w:t>
            </w:r>
          </w:p>
        </w:tc>
        <w:tc>
          <w:tcPr>
            <w:tcW w:w="818" w:type="dxa"/>
            <w:tcBorders>
              <w:top w:val="nil"/>
              <w:left w:val="nil"/>
              <w:bottom w:val="single" w:sz="4" w:space="0" w:color="auto"/>
              <w:right w:val="single" w:sz="4" w:space="0" w:color="auto"/>
            </w:tcBorders>
            <w:shd w:val="clear" w:color="auto" w:fill="auto"/>
            <w:vAlign w:val="center"/>
            <w:hideMark/>
          </w:tcPr>
          <w:p w14:paraId="7F689832"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0,50</w:t>
            </w:r>
          </w:p>
        </w:tc>
        <w:tc>
          <w:tcPr>
            <w:tcW w:w="1183" w:type="dxa"/>
            <w:tcBorders>
              <w:top w:val="nil"/>
              <w:left w:val="nil"/>
              <w:bottom w:val="single" w:sz="4" w:space="0" w:color="auto"/>
              <w:right w:val="single" w:sz="4" w:space="0" w:color="auto"/>
            </w:tcBorders>
            <w:shd w:val="clear" w:color="auto" w:fill="auto"/>
            <w:vAlign w:val="center"/>
            <w:hideMark/>
          </w:tcPr>
          <w:p w14:paraId="6AA3A8E1"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20,66</w:t>
            </w:r>
          </w:p>
        </w:tc>
      </w:tr>
      <w:tr w:rsidR="00E47AA9" w:rsidRPr="00E47AA9" w14:paraId="134BDEEF"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4AA48E3B" w14:textId="77777777" w:rsidR="004619E7" w:rsidRPr="00E47AA9" w:rsidRDefault="004619E7" w:rsidP="004619E7">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"Социальная активность"</w:t>
            </w:r>
          </w:p>
        </w:tc>
        <w:tc>
          <w:tcPr>
            <w:tcW w:w="1279" w:type="dxa"/>
            <w:tcBorders>
              <w:top w:val="nil"/>
              <w:left w:val="nil"/>
              <w:bottom w:val="single" w:sz="4" w:space="0" w:color="auto"/>
              <w:right w:val="single" w:sz="4" w:space="0" w:color="auto"/>
            </w:tcBorders>
            <w:shd w:val="clear" w:color="auto" w:fill="auto"/>
            <w:vAlign w:val="center"/>
            <w:hideMark/>
          </w:tcPr>
          <w:p w14:paraId="25F140D5"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303,35</w:t>
            </w:r>
          </w:p>
        </w:tc>
        <w:tc>
          <w:tcPr>
            <w:tcW w:w="1337" w:type="dxa"/>
            <w:tcBorders>
              <w:top w:val="nil"/>
              <w:left w:val="nil"/>
              <w:bottom w:val="single" w:sz="4" w:space="0" w:color="auto"/>
              <w:right w:val="single" w:sz="4" w:space="0" w:color="auto"/>
            </w:tcBorders>
            <w:shd w:val="clear" w:color="auto" w:fill="auto"/>
            <w:vAlign w:val="center"/>
            <w:hideMark/>
          </w:tcPr>
          <w:p w14:paraId="3350E53A"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303,35</w:t>
            </w:r>
          </w:p>
        </w:tc>
        <w:tc>
          <w:tcPr>
            <w:tcW w:w="1221" w:type="dxa"/>
            <w:tcBorders>
              <w:top w:val="nil"/>
              <w:left w:val="nil"/>
              <w:bottom w:val="single" w:sz="4" w:space="0" w:color="auto"/>
              <w:right w:val="single" w:sz="4" w:space="0" w:color="auto"/>
            </w:tcBorders>
            <w:shd w:val="clear" w:color="auto" w:fill="auto"/>
            <w:vAlign w:val="center"/>
            <w:hideMark/>
          </w:tcPr>
          <w:p w14:paraId="41769E3D"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818" w:type="dxa"/>
            <w:tcBorders>
              <w:top w:val="nil"/>
              <w:left w:val="nil"/>
              <w:bottom w:val="single" w:sz="4" w:space="0" w:color="auto"/>
              <w:right w:val="single" w:sz="4" w:space="0" w:color="auto"/>
            </w:tcBorders>
            <w:shd w:val="clear" w:color="auto" w:fill="auto"/>
            <w:vAlign w:val="center"/>
            <w:hideMark/>
          </w:tcPr>
          <w:p w14:paraId="7EA15E87"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0,64</w:t>
            </w:r>
          </w:p>
        </w:tc>
        <w:tc>
          <w:tcPr>
            <w:tcW w:w="1183" w:type="dxa"/>
            <w:tcBorders>
              <w:top w:val="nil"/>
              <w:left w:val="nil"/>
              <w:bottom w:val="single" w:sz="4" w:space="0" w:color="auto"/>
              <w:right w:val="single" w:sz="4" w:space="0" w:color="auto"/>
            </w:tcBorders>
            <w:shd w:val="clear" w:color="auto" w:fill="auto"/>
            <w:vAlign w:val="center"/>
            <w:hideMark/>
          </w:tcPr>
          <w:p w14:paraId="0FB44F1E"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E47AA9" w:rsidRPr="00E47AA9" w14:paraId="288D9157"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60B430AB" w14:textId="77777777" w:rsidR="004619E7" w:rsidRPr="00E47AA9" w:rsidRDefault="004619E7" w:rsidP="004619E7">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"Патриотическое воспитание граждан"</w:t>
            </w:r>
          </w:p>
        </w:tc>
        <w:tc>
          <w:tcPr>
            <w:tcW w:w="1279" w:type="dxa"/>
            <w:tcBorders>
              <w:top w:val="nil"/>
              <w:left w:val="nil"/>
              <w:bottom w:val="single" w:sz="4" w:space="0" w:color="auto"/>
              <w:right w:val="single" w:sz="4" w:space="0" w:color="auto"/>
            </w:tcBorders>
            <w:shd w:val="clear" w:color="auto" w:fill="auto"/>
            <w:vAlign w:val="center"/>
            <w:hideMark/>
          </w:tcPr>
          <w:p w14:paraId="7BBBF2A6"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140,85</w:t>
            </w:r>
          </w:p>
        </w:tc>
        <w:tc>
          <w:tcPr>
            <w:tcW w:w="1337" w:type="dxa"/>
            <w:tcBorders>
              <w:top w:val="nil"/>
              <w:left w:val="nil"/>
              <w:bottom w:val="single" w:sz="4" w:space="0" w:color="auto"/>
              <w:right w:val="single" w:sz="4" w:space="0" w:color="auto"/>
            </w:tcBorders>
            <w:shd w:val="clear" w:color="auto" w:fill="auto"/>
            <w:vAlign w:val="center"/>
            <w:hideMark/>
          </w:tcPr>
          <w:p w14:paraId="7458C509"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139,79</w:t>
            </w:r>
          </w:p>
        </w:tc>
        <w:tc>
          <w:tcPr>
            <w:tcW w:w="1221" w:type="dxa"/>
            <w:tcBorders>
              <w:top w:val="nil"/>
              <w:left w:val="nil"/>
              <w:bottom w:val="single" w:sz="4" w:space="0" w:color="auto"/>
              <w:right w:val="single" w:sz="4" w:space="0" w:color="auto"/>
            </w:tcBorders>
            <w:shd w:val="clear" w:color="auto" w:fill="auto"/>
            <w:vAlign w:val="center"/>
            <w:hideMark/>
          </w:tcPr>
          <w:p w14:paraId="0C8BD87E"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99,25</w:t>
            </w:r>
          </w:p>
        </w:tc>
        <w:tc>
          <w:tcPr>
            <w:tcW w:w="818" w:type="dxa"/>
            <w:tcBorders>
              <w:top w:val="nil"/>
              <w:left w:val="nil"/>
              <w:bottom w:val="single" w:sz="4" w:space="0" w:color="auto"/>
              <w:right w:val="single" w:sz="4" w:space="0" w:color="auto"/>
            </w:tcBorders>
            <w:shd w:val="clear" w:color="auto" w:fill="auto"/>
            <w:vAlign w:val="center"/>
            <w:hideMark/>
          </w:tcPr>
          <w:p w14:paraId="6BFD14BD"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0,30</w:t>
            </w:r>
          </w:p>
        </w:tc>
        <w:tc>
          <w:tcPr>
            <w:tcW w:w="1183" w:type="dxa"/>
            <w:tcBorders>
              <w:top w:val="nil"/>
              <w:left w:val="nil"/>
              <w:bottom w:val="single" w:sz="4" w:space="0" w:color="auto"/>
              <w:right w:val="single" w:sz="4" w:space="0" w:color="auto"/>
            </w:tcBorders>
            <w:shd w:val="clear" w:color="auto" w:fill="auto"/>
            <w:vAlign w:val="center"/>
            <w:hideMark/>
          </w:tcPr>
          <w:p w14:paraId="671194FD"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1,06</w:t>
            </w:r>
          </w:p>
        </w:tc>
      </w:tr>
      <w:tr w:rsidR="00E47AA9" w:rsidRPr="00E47AA9" w14:paraId="02470651"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5A0D91DE" w14:textId="77777777" w:rsidR="004619E7" w:rsidRPr="00E47AA9" w:rsidRDefault="004619E7" w:rsidP="004619E7">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"Развитие системы поддержки молодежи"</w:t>
            </w:r>
          </w:p>
        </w:tc>
        <w:tc>
          <w:tcPr>
            <w:tcW w:w="1279" w:type="dxa"/>
            <w:tcBorders>
              <w:top w:val="nil"/>
              <w:left w:val="nil"/>
              <w:bottom w:val="single" w:sz="4" w:space="0" w:color="auto"/>
              <w:right w:val="single" w:sz="4" w:space="0" w:color="auto"/>
            </w:tcBorders>
            <w:shd w:val="clear" w:color="auto" w:fill="auto"/>
            <w:vAlign w:val="center"/>
            <w:hideMark/>
          </w:tcPr>
          <w:p w14:paraId="55A1D4A1"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w:t>
            </w:r>
          </w:p>
        </w:tc>
        <w:tc>
          <w:tcPr>
            <w:tcW w:w="1337" w:type="dxa"/>
            <w:tcBorders>
              <w:top w:val="nil"/>
              <w:left w:val="nil"/>
              <w:bottom w:val="single" w:sz="4" w:space="0" w:color="auto"/>
              <w:right w:val="single" w:sz="4" w:space="0" w:color="auto"/>
            </w:tcBorders>
            <w:shd w:val="clear" w:color="auto" w:fill="auto"/>
            <w:vAlign w:val="center"/>
            <w:hideMark/>
          </w:tcPr>
          <w:p w14:paraId="3C66FC4E"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w:t>
            </w:r>
          </w:p>
        </w:tc>
        <w:tc>
          <w:tcPr>
            <w:tcW w:w="1221" w:type="dxa"/>
            <w:tcBorders>
              <w:top w:val="nil"/>
              <w:left w:val="nil"/>
              <w:bottom w:val="single" w:sz="4" w:space="0" w:color="auto"/>
              <w:right w:val="single" w:sz="4" w:space="0" w:color="auto"/>
            </w:tcBorders>
            <w:shd w:val="clear" w:color="auto" w:fill="auto"/>
            <w:vAlign w:val="center"/>
            <w:hideMark/>
          </w:tcPr>
          <w:p w14:paraId="55EA11AE"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818" w:type="dxa"/>
            <w:tcBorders>
              <w:top w:val="nil"/>
              <w:left w:val="nil"/>
              <w:bottom w:val="single" w:sz="4" w:space="0" w:color="auto"/>
              <w:right w:val="single" w:sz="4" w:space="0" w:color="auto"/>
            </w:tcBorders>
            <w:shd w:val="clear" w:color="auto" w:fill="auto"/>
            <w:vAlign w:val="center"/>
            <w:hideMark/>
          </w:tcPr>
          <w:p w14:paraId="0FB515C8"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1183" w:type="dxa"/>
            <w:tcBorders>
              <w:top w:val="nil"/>
              <w:left w:val="nil"/>
              <w:bottom w:val="single" w:sz="4" w:space="0" w:color="auto"/>
              <w:right w:val="single" w:sz="4" w:space="0" w:color="auto"/>
            </w:tcBorders>
            <w:shd w:val="clear" w:color="auto" w:fill="auto"/>
            <w:vAlign w:val="center"/>
            <w:hideMark/>
          </w:tcPr>
          <w:p w14:paraId="31115DC4"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E47AA9" w:rsidRPr="00E47AA9" w14:paraId="6BE55B93"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79CA0A4B" w14:textId="77777777" w:rsidR="004619E7" w:rsidRPr="00E47AA9" w:rsidRDefault="004619E7" w:rsidP="004619E7">
            <w:pPr>
              <w:spacing w:after="0" w:line="240" w:lineRule="auto"/>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РП, не входящие в состав НП</w:t>
            </w:r>
          </w:p>
        </w:tc>
        <w:tc>
          <w:tcPr>
            <w:tcW w:w="1279" w:type="dxa"/>
            <w:tcBorders>
              <w:top w:val="nil"/>
              <w:left w:val="nil"/>
              <w:bottom w:val="single" w:sz="4" w:space="0" w:color="auto"/>
              <w:right w:val="single" w:sz="4" w:space="0" w:color="auto"/>
            </w:tcBorders>
            <w:shd w:val="clear" w:color="auto" w:fill="auto"/>
            <w:vAlign w:val="center"/>
            <w:hideMark/>
          </w:tcPr>
          <w:p w14:paraId="56F9DA48"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403,87</w:t>
            </w:r>
          </w:p>
        </w:tc>
        <w:tc>
          <w:tcPr>
            <w:tcW w:w="1337" w:type="dxa"/>
            <w:tcBorders>
              <w:top w:val="nil"/>
              <w:left w:val="nil"/>
              <w:bottom w:val="single" w:sz="4" w:space="0" w:color="auto"/>
              <w:right w:val="single" w:sz="4" w:space="0" w:color="auto"/>
            </w:tcBorders>
            <w:shd w:val="clear" w:color="auto" w:fill="auto"/>
            <w:vAlign w:val="center"/>
            <w:hideMark/>
          </w:tcPr>
          <w:p w14:paraId="4A37D073"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402,62</w:t>
            </w:r>
          </w:p>
        </w:tc>
        <w:tc>
          <w:tcPr>
            <w:tcW w:w="1221" w:type="dxa"/>
            <w:tcBorders>
              <w:top w:val="nil"/>
              <w:left w:val="nil"/>
              <w:bottom w:val="single" w:sz="4" w:space="0" w:color="auto"/>
              <w:right w:val="single" w:sz="4" w:space="0" w:color="auto"/>
            </w:tcBorders>
            <w:shd w:val="clear" w:color="auto" w:fill="auto"/>
            <w:vAlign w:val="center"/>
            <w:hideMark/>
          </w:tcPr>
          <w:p w14:paraId="5A44B2E1"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99,69</w:t>
            </w:r>
          </w:p>
        </w:tc>
        <w:tc>
          <w:tcPr>
            <w:tcW w:w="818" w:type="dxa"/>
            <w:tcBorders>
              <w:top w:val="nil"/>
              <w:left w:val="nil"/>
              <w:bottom w:val="single" w:sz="4" w:space="0" w:color="auto"/>
              <w:right w:val="single" w:sz="4" w:space="0" w:color="auto"/>
            </w:tcBorders>
            <w:shd w:val="clear" w:color="auto" w:fill="auto"/>
            <w:vAlign w:val="center"/>
            <w:hideMark/>
          </w:tcPr>
          <w:p w14:paraId="188F392F"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0,86</w:t>
            </w:r>
          </w:p>
        </w:tc>
        <w:tc>
          <w:tcPr>
            <w:tcW w:w="1183" w:type="dxa"/>
            <w:tcBorders>
              <w:top w:val="nil"/>
              <w:left w:val="nil"/>
              <w:bottom w:val="single" w:sz="4" w:space="0" w:color="auto"/>
              <w:right w:val="single" w:sz="4" w:space="0" w:color="auto"/>
            </w:tcBorders>
            <w:shd w:val="clear" w:color="auto" w:fill="auto"/>
            <w:vAlign w:val="center"/>
            <w:hideMark/>
          </w:tcPr>
          <w:p w14:paraId="49917293"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1,25</w:t>
            </w:r>
          </w:p>
        </w:tc>
      </w:tr>
      <w:tr w:rsidR="00E47AA9" w:rsidRPr="00E47AA9" w14:paraId="6E50BCBA"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58F6FF00" w14:textId="60A41FA8" w:rsidR="004619E7" w:rsidRPr="00E47AA9" w:rsidRDefault="003C5CB1" w:rsidP="004619E7">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w:t>
            </w:r>
            <w:r w:rsidR="004619E7" w:rsidRPr="00E47AA9">
              <w:rPr>
                <w:rFonts w:ascii="Times New Roman" w:eastAsia="Times New Roman" w:hAnsi="Times New Roman" w:cs="Times New Roman"/>
                <w:i/>
                <w:iCs/>
                <w:sz w:val="20"/>
                <w:szCs w:val="20"/>
                <w:lang w:eastAsia="ru-RU"/>
              </w:rPr>
              <w:t xml:space="preserve"> "Модернизация школьных систем образования в Приморском крае"</w:t>
            </w:r>
          </w:p>
        </w:tc>
        <w:tc>
          <w:tcPr>
            <w:tcW w:w="1279" w:type="dxa"/>
            <w:tcBorders>
              <w:top w:val="nil"/>
              <w:left w:val="nil"/>
              <w:bottom w:val="single" w:sz="4" w:space="0" w:color="auto"/>
              <w:right w:val="single" w:sz="4" w:space="0" w:color="auto"/>
            </w:tcBorders>
            <w:shd w:val="clear" w:color="auto" w:fill="auto"/>
            <w:vAlign w:val="center"/>
            <w:hideMark/>
          </w:tcPr>
          <w:p w14:paraId="16A192B9"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403,87</w:t>
            </w:r>
          </w:p>
        </w:tc>
        <w:tc>
          <w:tcPr>
            <w:tcW w:w="1337" w:type="dxa"/>
            <w:tcBorders>
              <w:top w:val="nil"/>
              <w:left w:val="nil"/>
              <w:bottom w:val="single" w:sz="4" w:space="0" w:color="auto"/>
              <w:right w:val="single" w:sz="4" w:space="0" w:color="auto"/>
            </w:tcBorders>
            <w:shd w:val="clear" w:color="auto" w:fill="auto"/>
            <w:vAlign w:val="center"/>
            <w:hideMark/>
          </w:tcPr>
          <w:p w14:paraId="4F867003"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402,62</w:t>
            </w:r>
          </w:p>
        </w:tc>
        <w:tc>
          <w:tcPr>
            <w:tcW w:w="1221" w:type="dxa"/>
            <w:tcBorders>
              <w:top w:val="nil"/>
              <w:left w:val="nil"/>
              <w:bottom w:val="single" w:sz="4" w:space="0" w:color="auto"/>
              <w:right w:val="single" w:sz="4" w:space="0" w:color="auto"/>
            </w:tcBorders>
            <w:shd w:val="clear" w:color="auto" w:fill="auto"/>
            <w:vAlign w:val="center"/>
            <w:hideMark/>
          </w:tcPr>
          <w:p w14:paraId="738414C1"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99,69</w:t>
            </w:r>
          </w:p>
        </w:tc>
        <w:tc>
          <w:tcPr>
            <w:tcW w:w="818" w:type="dxa"/>
            <w:tcBorders>
              <w:top w:val="nil"/>
              <w:left w:val="nil"/>
              <w:bottom w:val="single" w:sz="4" w:space="0" w:color="auto"/>
              <w:right w:val="single" w:sz="4" w:space="0" w:color="auto"/>
            </w:tcBorders>
            <w:shd w:val="clear" w:color="auto" w:fill="auto"/>
            <w:vAlign w:val="center"/>
            <w:hideMark/>
          </w:tcPr>
          <w:p w14:paraId="2D1D1F02"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0,86</w:t>
            </w:r>
          </w:p>
        </w:tc>
        <w:tc>
          <w:tcPr>
            <w:tcW w:w="1183" w:type="dxa"/>
            <w:tcBorders>
              <w:top w:val="nil"/>
              <w:left w:val="nil"/>
              <w:bottom w:val="single" w:sz="4" w:space="0" w:color="auto"/>
              <w:right w:val="single" w:sz="4" w:space="0" w:color="auto"/>
            </w:tcBorders>
            <w:shd w:val="clear" w:color="auto" w:fill="auto"/>
            <w:vAlign w:val="center"/>
            <w:hideMark/>
          </w:tcPr>
          <w:p w14:paraId="513B62F9"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1,25</w:t>
            </w:r>
          </w:p>
        </w:tc>
      </w:tr>
      <w:tr w:rsidR="00E47AA9" w:rsidRPr="00E47AA9" w14:paraId="0ECBC1C0"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2A651658" w14:textId="6A9DE2AD" w:rsidR="004619E7" w:rsidRPr="00E47AA9" w:rsidRDefault="004619E7" w:rsidP="003C5CB1">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w:t>
            </w:r>
            <w:r w:rsidR="003C5CB1" w:rsidRPr="00E47AA9">
              <w:rPr>
                <w:rFonts w:ascii="Times New Roman" w:eastAsia="Times New Roman" w:hAnsi="Times New Roman" w:cs="Times New Roman"/>
                <w:i/>
                <w:iCs/>
                <w:sz w:val="20"/>
                <w:szCs w:val="20"/>
                <w:lang w:eastAsia="ru-RU"/>
              </w:rPr>
              <w:t xml:space="preserve">П </w:t>
            </w:r>
            <w:r w:rsidRPr="00E47AA9">
              <w:rPr>
                <w:rFonts w:ascii="Times New Roman" w:eastAsia="Times New Roman" w:hAnsi="Times New Roman" w:cs="Times New Roman"/>
                <w:i/>
                <w:iCs/>
                <w:sz w:val="20"/>
                <w:szCs w:val="20"/>
                <w:lang w:eastAsia="ru-RU"/>
              </w:rPr>
              <w:t>"</w:t>
            </w:r>
            <w:proofErr w:type="spellStart"/>
            <w:r w:rsidRPr="00E47AA9">
              <w:rPr>
                <w:rFonts w:ascii="Times New Roman" w:eastAsia="Times New Roman" w:hAnsi="Times New Roman" w:cs="Times New Roman"/>
                <w:i/>
                <w:iCs/>
                <w:sz w:val="20"/>
                <w:szCs w:val="20"/>
                <w:lang w:eastAsia="ru-RU"/>
              </w:rPr>
              <w:t>Профессионалитет</w:t>
            </w:r>
            <w:proofErr w:type="spellEnd"/>
            <w:r w:rsidRPr="00E47AA9">
              <w:rPr>
                <w:rFonts w:ascii="Times New Roman" w:eastAsia="Times New Roman" w:hAnsi="Times New Roman" w:cs="Times New Roman"/>
                <w:i/>
                <w:iCs/>
                <w:sz w:val="20"/>
                <w:szCs w:val="20"/>
                <w:lang w:eastAsia="ru-RU"/>
              </w:rPr>
              <w:t>"</w:t>
            </w:r>
          </w:p>
        </w:tc>
        <w:tc>
          <w:tcPr>
            <w:tcW w:w="1279" w:type="dxa"/>
            <w:tcBorders>
              <w:top w:val="nil"/>
              <w:left w:val="nil"/>
              <w:bottom w:val="single" w:sz="4" w:space="0" w:color="auto"/>
              <w:right w:val="single" w:sz="4" w:space="0" w:color="auto"/>
            </w:tcBorders>
            <w:shd w:val="clear" w:color="auto" w:fill="auto"/>
            <w:vAlign w:val="center"/>
            <w:hideMark/>
          </w:tcPr>
          <w:p w14:paraId="031701AB"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1337" w:type="dxa"/>
            <w:tcBorders>
              <w:top w:val="nil"/>
              <w:left w:val="nil"/>
              <w:bottom w:val="single" w:sz="4" w:space="0" w:color="auto"/>
              <w:right w:val="single" w:sz="4" w:space="0" w:color="auto"/>
            </w:tcBorders>
            <w:shd w:val="clear" w:color="auto" w:fill="auto"/>
            <w:vAlign w:val="center"/>
            <w:hideMark/>
          </w:tcPr>
          <w:p w14:paraId="24A7AC7A"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1221" w:type="dxa"/>
            <w:tcBorders>
              <w:top w:val="nil"/>
              <w:left w:val="nil"/>
              <w:bottom w:val="single" w:sz="4" w:space="0" w:color="auto"/>
              <w:right w:val="single" w:sz="4" w:space="0" w:color="auto"/>
            </w:tcBorders>
            <w:shd w:val="clear" w:color="auto" w:fill="auto"/>
            <w:vAlign w:val="center"/>
            <w:hideMark/>
          </w:tcPr>
          <w:p w14:paraId="4F90965E"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818" w:type="dxa"/>
            <w:tcBorders>
              <w:top w:val="nil"/>
              <w:left w:val="nil"/>
              <w:bottom w:val="single" w:sz="4" w:space="0" w:color="auto"/>
              <w:right w:val="single" w:sz="4" w:space="0" w:color="auto"/>
            </w:tcBorders>
            <w:shd w:val="clear" w:color="auto" w:fill="auto"/>
            <w:vAlign w:val="center"/>
            <w:hideMark/>
          </w:tcPr>
          <w:p w14:paraId="78E58104"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1183" w:type="dxa"/>
            <w:tcBorders>
              <w:top w:val="nil"/>
              <w:left w:val="nil"/>
              <w:bottom w:val="single" w:sz="4" w:space="0" w:color="auto"/>
              <w:right w:val="single" w:sz="4" w:space="0" w:color="auto"/>
            </w:tcBorders>
            <w:shd w:val="clear" w:color="auto" w:fill="auto"/>
            <w:vAlign w:val="center"/>
            <w:hideMark/>
          </w:tcPr>
          <w:p w14:paraId="179373BC" w14:textId="77777777" w:rsidR="004619E7" w:rsidRPr="00E47AA9" w:rsidRDefault="004619E7" w:rsidP="004619E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E47AA9" w:rsidRPr="00E47AA9" w14:paraId="102721F8" w14:textId="77777777" w:rsidTr="004619E7">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39D49D0B" w14:textId="77777777" w:rsidR="004619E7" w:rsidRPr="00E47AA9" w:rsidRDefault="004619E7" w:rsidP="004619E7">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комплексы процессных мероприятий</w:t>
            </w:r>
          </w:p>
        </w:tc>
        <w:tc>
          <w:tcPr>
            <w:tcW w:w="1279" w:type="dxa"/>
            <w:tcBorders>
              <w:top w:val="nil"/>
              <w:left w:val="nil"/>
              <w:bottom w:val="single" w:sz="4" w:space="0" w:color="auto"/>
              <w:right w:val="single" w:sz="4" w:space="0" w:color="auto"/>
            </w:tcBorders>
            <w:shd w:val="clear" w:color="auto" w:fill="auto"/>
            <w:vAlign w:val="center"/>
            <w:hideMark/>
          </w:tcPr>
          <w:p w14:paraId="2C9994FA"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44978,22</w:t>
            </w:r>
          </w:p>
        </w:tc>
        <w:tc>
          <w:tcPr>
            <w:tcW w:w="1337" w:type="dxa"/>
            <w:tcBorders>
              <w:top w:val="nil"/>
              <w:left w:val="nil"/>
              <w:bottom w:val="single" w:sz="4" w:space="0" w:color="auto"/>
              <w:right w:val="single" w:sz="4" w:space="0" w:color="auto"/>
            </w:tcBorders>
            <w:shd w:val="clear" w:color="auto" w:fill="auto"/>
            <w:vAlign w:val="center"/>
            <w:hideMark/>
          </w:tcPr>
          <w:p w14:paraId="1AF4F677"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43742,25</w:t>
            </w:r>
          </w:p>
        </w:tc>
        <w:tc>
          <w:tcPr>
            <w:tcW w:w="1221" w:type="dxa"/>
            <w:tcBorders>
              <w:top w:val="nil"/>
              <w:left w:val="nil"/>
              <w:bottom w:val="single" w:sz="4" w:space="0" w:color="auto"/>
              <w:right w:val="single" w:sz="4" w:space="0" w:color="auto"/>
            </w:tcBorders>
            <w:shd w:val="clear" w:color="auto" w:fill="auto"/>
            <w:vAlign w:val="center"/>
            <w:hideMark/>
          </w:tcPr>
          <w:p w14:paraId="429FFD2F"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97,25</w:t>
            </w:r>
          </w:p>
        </w:tc>
        <w:tc>
          <w:tcPr>
            <w:tcW w:w="818" w:type="dxa"/>
            <w:tcBorders>
              <w:top w:val="nil"/>
              <w:left w:val="nil"/>
              <w:bottom w:val="single" w:sz="4" w:space="0" w:color="auto"/>
              <w:right w:val="single" w:sz="4" w:space="0" w:color="auto"/>
            </w:tcBorders>
            <w:shd w:val="clear" w:color="auto" w:fill="auto"/>
            <w:vAlign w:val="center"/>
            <w:hideMark/>
          </w:tcPr>
          <w:p w14:paraId="0EC0D8A2"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92,91</w:t>
            </w:r>
          </w:p>
        </w:tc>
        <w:tc>
          <w:tcPr>
            <w:tcW w:w="1183" w:type="dxa"/>
            <w:tcBorders>
              <w:top w:val="nil"/>
              <w:left w:val="nil"/>
              <w:bottom w:val="single" w:sz="4" w:space="0" w:color="auto"/>
              <w:right w:val="single" w:sz="4" w:space="0" w:color="auto"/>
            </w:tcBorders>
            <w:shd w:val="clear" w:color="auto" w:fill="auto"/>
            <w:vAlign w:val="center"/>
            <w:hideMark/>
          </w:tcPr>
          <w:p w14:paraId="17436930" w14:textId="77777777" w:rsidR="004619E7" w:rsidRPr="00E47AA9" w:rsidRDefault="004619E7" w:rsidP="004619E7">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1235,97</w:t>
            </w:r>
          </w:p>
        </w:tc>
      </w:tr>
    </w:tbl>
    <w:p w14:paraId="2B7B23DB" w14:textId="77777777" w:rsidR="0061015E" w:rsidRPr="00E47AA9" w:rsidRDefault="0061015E" w:rsidP="0061015E">
      <w:pPr>
        <w:autoSpaceDE w:val="0"/>
        <w:autoSpaceDN w:val="0"/>
        <w:adjustRightInd w:val="0"/>
        <w:spacing w:after="0" w:line="240" w:lineRule="auto"/>
        <w:ind w:firstLine="708"/>
        <w:jc w:val="both"/>
        <w:rPr>
          <w:rFonts w:ascii="Times New Roman" w:eastAsia="Calibri" w:hAnsi="Times New Roman" w:cs="Times New Roman"/>
          <w:sz w:val="28"/>
          <w:szCs w:val="28"/>
        </w:rPr>
      </w:pPr>
    </w:p>
    <w:p w14:paraId="32F73636" w14:textId="77777777" w:rsidR="0061015E" w:rsidRPr="00E47AA9" w:rsidRDefault="0061015E" w:rsidP="0061015E">
      <w:pPr>
        <w:autoSpaceDE w:val="0"/>
        <w:autoSpaceDN w:val="0"/>
        <w:adjustRightInd w:val="0"/>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Согласно Сводному годовому докладу:</w:t>
      </w:r>
    </w:p>
    <w:p w14:paraId="50E778E7" w14:textId="77777777" w:rsidR="0061015E" w:rsidRPr="00E47AA9" w:rsidRDefault="0061015E" w:rsidP="0061015E">
      <w:pPr>
        <w:autoSpaceDE w:val="0"/>
        <w:autoSpaceDN w:val="0"/>
        <w:adjustRightInd w:val="0"/>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из 97 мероприятий государственной программы, запланированных к выполнению в 2024 году, выполнены в полном объеме 73 мероприятия, 12 мероприятий выполнены не в полном объеме, 10 мероприятий не выполнены, 2 мероприятия исключены из плана реализации;</w:t>
      </w:r>
    </w:p>
    <w:p w14:paraId="5B16141A" w14:textId="2ECAAEB5" w:rsidR="0061015E" w:rsidRPr="00E47AA9" w:rsidRDefault="0061015E" w:rsidP="0061015E">
      <w:pPr>
        <w:autoSpaceDE w:val="0"/>
        <w:autoSpaceDN w:val="0"/>
        <w:adjustRightInd w:val="0"/>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из 28 показателей государственной программы 18 достигли планового значения, 10 показателей достигнуты не в полном объеме, при этом по 8 </w:t>
      </w:r>
      <w:r w:rsidRPr="00E47AA9">
        <w:rPr>
          <w:rFonts w:ascii="Times New Roman" w:eastAsia="Calibri" w:hAnsi="Times New Roman" w:cs="Times New Roman"/>
          <w:sz w:val="28"/>
          <w:szCs w:val="28"/>
        </w:rPr>
        <w:lastRenderedPageBreak/>
        <w:t>показателям не предоставлены документы, подтверждающие их фактически достигнутые значения;</w:t>
      </w:r>
    </w:p>
    <w:p w14:paraId="790E0FA5" w14:textId="309D222F" w:rsidR="0061015E" w:rsidRPr="00E47AA9" w:rsidRDefault="0061015E" w:rsidP="0061015E">
      <w:pPr>
        <w:autoSpaceDE w:val="0"/>
        <w:autoSpaceDN w:val="0"/>
        <w:adjustRightInd w:val="0"/>
        <w:spacing w:after="0" w:line="240" w:lineRule="auto"/>
        <w:ind w:firstLine="708"/>
        <w:jc w:val="both"/>
        <w:rPr>
          <w:rFonts w:ascii="Times New Roman" w:eastAsia="Calibri" w:hAnsi="Times New Roman" w:cs="Times New Roman"/>
          <w:bCs/>
          <w:sz w:val="28"/>
          <w:szCs w:val="28"/>
          <w:lang w:eastAsia="ru-RU"/>
        </w:rPr>
      </w:pPr>
      <w:r w:rsidRPr="00E47AA9">
        <w:rPr>
          <w:rFonts w:ascii="Times New Roman" w:eastAsia="Calibri" w:hAnsi="Times New Roman" w:cs="Times New Roman"/>
          <w:bCs/>
          <w:sz w:val="28"/>
          <w:szCs w:val="28"/>
          <w:lang w:eastAsia="ru-RU"/>
        </w:rPr>
        <w:t>эффективность реализации государственной программы составила 91,9</w:t>
      </w:r>
      <w:r w:rsidR="00D23916" w:rsidRPr="00E47AA9">
        <w:rPr>
          <w:rFonts w:ascii="Times New Roman" w:eastAsia="Calibri" w:hAnsi="Times New Roman" w:cs="Times New Roman"/>
          <w:bCs/>
          <w:sz w:val="28"/>
          <w:szCs w:val="28"/>
          <w:lang w:eastAsia="ru-RU"/>
        </w:rPr>
        <w:t> </w:t>
      </w:r>
      <w:r w:rsidRPr="00E47AA9">
        <w:rPr>
          <w:rFonts w:ascii="Times New Roman" w:eastAsia="Calibri" w:hAnsi="Times New Roman" w:cs="Times New Roman"/>
          <w:bCs/>
          <w:sz w:val="28"/>
          <w:szCs w:val="28"/>
          <w:lang w:eastAsia="ru-RU"/>
        </w:rPr>
        <w:t>% (выше среднего уровня).</w:t>
      </w:r>
    </w:p>
    <w:p w14:paraId="14ADDE82"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Исполнение расходов ГП за 2024 год в разрезе структурных элементов сложилось следующее.</w:t>
      </w:r>
    </w:p>
    <w:p w14:paraId="6D3DCE42" w14:textId="77777777" w:rsidR="008566E1" w:rsidRPr="00E47AA9" w:rsidRDefault="008566E1" w:rsidP="008566E1">
      <w:pPr>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 xml:space="preserve">Подпрограмма "Развитие системы дошкольного образования" </w:t>
      </w:r>
    </w:p>
    <w:p w14:paraId="771E9A2E" w14:textId="221EDF7A"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Реализация </w:t>
      </w:r>
      <w:r w:rsidRPr="00E47AA9">
        <w:rPr>
          <w:rFonts w:ascii="Times New Roman" w:eastAsia="Times New Roman" w:hAnsi="Times New Roman" w:cs="Times New Roman"/>
          <w:i/>
          <w:sz w:val="28"/>
          <w:szCs w:val="28"/>
          <w:lang w:eastAsia="ru-RU"/>
        </w:rPr>
        <w:t>комплексов процессных мероприятий</w:t>
      </w:r>
      <w:r w:rsidRPr="00E47AA9">
        <w:rPr>
          <w:rFonts w:ascii="Times New Roman" w:eastAsia="Times New Roman" w:hAnsi="Times New Roman" w:cs="Times New Roman"/>
          <w:sz w:val="28"/>
          <w:szCs w:val="28"/>
          <w:lang w:eastAsia="ru-RU"/>
        </w:rPr>
        <w:t xml:space="preserve"> осуществлялась на</w:t>
      </w:r>
      <w:r w:rsidR="00D23916"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уровне 91,68 %, или 9797,04 млн рублей, за счет средств краевого бюджета (план</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10685,99 млн рублей), из них:</w:t>
      </w:r>
    </w:p>
    <w:p w14:paraId="6C0DDF9A" w14:textId="05D09B4D" w:rsidR="008566E1" w:rsidRPr="00E47AA9" w:rsidRDefault="008566E1" w:rsidP="008566E1">
      <w:pPr>
        <w:autoSpaceDE w:val="0"/>
        <w:autoSpaceDN w:val="0"/>
        <w:adjustRightInd w:val="0"/>
        <w:spacing w:after="0" w:line="240" w:lineRule="auto"/>
        <w:ind w:firstLine="709"/>
        <w:jc w:val="both"/>
        <w:rPr>
          <w:rFonts w:ascii="Times New Roman" w:hAnsi="Times New Roman" w:cs="Times New Roman"/>
          <w:bCs/>
          <w:iCs/>
          <w:sz w:val="28"/>
          <w:szCs w:val="28"/>
        </w:rPr>
      </w:pPr>
      <w:r w:rsidRPr="00E47AA9">
        <w:rPr>
          <w:rFonts w:ascii="Times New Roman" w:hAnsi="Times New Roman" w:cs="Times New Roman"/>
          <w:bCs/>
          <w:i/>
          <w:iCs/>
          <w:sz w:val="28"/>
          <w:szCs w:val="28"/>
        </w:rPr>
        <w:t xml:space="preserve">КПМ "Реализация образовательных программ дошкольного образования" </w:t>
      </w:r>
      <w:r w:rsidRPr="00E47AA9">
        <w:rPr>
          <w:rFonts w:ascii="Times New Roman" w:hAnsi="Times New Roman" w:cs="Times New Roman"/>
          <w:bCs/>
          <w:iCs/>
          <w:sz w:val="28"/>
          <w:szCs w:val="28"/>
        </w:rPr>
        <w:t xml:space="preserve">исполнение расходов составило 99,90 %, или 9272,46 млн рублей (план </w:t>
      </w:r>
      <w:r w:rsidR="001D6C53" w:rsidRPr="00E47AA9">
        <w:rPr>
          <w:rFonts w:ascii="Times New Roman" w:hAnsi="Times New Roman" w:cs="Times New Roman"/>
          <w:bCs/>
          <w:iCs/>
          <w:sz w:val="28"/>
          <w:szCs w:val="28"/>
        </w:rPr>
        <w:t xml:space="preserve">– </w:t>
      </w:r>
      <w:r w:rsidRPr="00E47AA9">
        <w:rPr>
          <w:rFonts w:ascii="Times New Roman" w:hAnsi="Times New Roman" w:cs="Times New Roman"/>
          <w:bCs/>
          <w:iCs/>
          <w:sz w:val="28"/>
          <w:szCs w:val="28"/>
        </w:rPr>
        <w:t>9281,97 млн рублей), из которых:</w:t>
      </w:r>
    </w:p>
    <w:p w14:paraId="6B4811C0" w14:textId="6B57BAD0" w:rsidR="008566E1" w:rsidRPr="00E47AA9" w:rsidRDefault="008566E1" w:rsidP="008566E1">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eastAsia="Calibri" w:hAnsi="Times New Roman" w:cs="Times New Roman"/>
          <w:iCs/>
          <w:sz w:val="28"/>
          <w:szCs w:val="28"/>
          <w:lang w:eastAsia="ru-RU"/>
        </w:rPr>
        <w:t xml:space="preserve">в полном объеме 160,99 млн рублей </w:t>
      </w:r>
      <w:r w:rsidR="0034644C" w:rsidRPr="00E47AA9">
        <w:rPr>
          <w:rFonts w:ascii="Times New Roman" w:eastAsia="Calibri" w:hAnsi="Times New Roman" w:cs="Times New Roman"/>
          <w:iCs/>
          <w:sz w:val="28"/>
          <w:szCs w:val="28"/>
          <w:lang w:eastAsia="ru-RU"/>
        </w:rPr>
        <w:t>–</w:t>
      </w:r>
      <w:r w:rsidRPr="00E47AA9">
        <w:rPr>
          <w:rFonts w:ascii="Times New Roman" w:eastAsia="Calibri" w:hAnsi="Times New Roman" w:cs="Times New Roman"/>
          <w:iCs/>
          <w:sz w:val="28"/>
          <w:szCs w:val="28"/>
          <w:lang w:eastAsia="ru-RU"/>
        </w:rPr>
        <w:t xml:space="preserve"> </w:t>
      </w:r>
      <w:r w:rsidRPr="00E47AA9">
        <w:rPr>
          <w:rFonts w:ascii="Times New Roman" w:eastAsia="Times New Roman" w:hAnsi="Times New Roman" w:cs="Times New Roman"/>
          <w:sz w:val="28"/>
          <w:szCs w:val="28"/>
          <w:lang w:eastAsia="ru-RU"/>
        </w:rPr>
        <w:t>субсидии из краевого бюджета 20</w:t>
      </w:r>
      <w:r w:rsidR="00D23916"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частным дошкольным образовательным организациям на возмещение затрат, связанных с предоставлением дошкольного образования</w:t>
      </w:r>
      <w:r w:rsidRPr="00E47AA9">
        <w:rPr>
          <w:rStyle w:val="a8"/>
          <w:rFonts w:ascii="Times New Roman" w:hAnsi="Times New Roman"/>
          <w:sz w:val="28"/>
          <w:szCs w:val="28"/>
          <w:lang w:eastAsia="ru-RU"/>
        </w:rPr>
        <w:footnoteReference w:id="28"/>
      </w:r>
      <w:r w:rsidRPr="00E47AA9">
        <w:rPr>
          <w:rFonts w:ascii="Times New Roman" w:eastAsia="Times New Roman" w:hAnsi="Times New Roman" w:cs="Times New Roman"/>
          <w:sz w:val="28"/>
          <w:szCs w:val="28"/>
          <w:lang w:eastAsia="ru-RU"/>
        </w:rPr>
        <w:t xml:space="preserve">. </w:t>
      </w:r>
      <w:r w:rsidRPr="00E47AA9">
        <w:rPr>
          <w:rFonts w:ascii="Times New Roman" w:hAnsi="Times New Roman" w:cs="Times New Roman"/>
          <w:sz w:val="28"/>
          <w:szCs w:val="28"/>
        </w:rPr>
        <w:t xml:space="preserve">За 2024 год </w:t>
      </w:r>
      <w:r w:rsidRPr="00E47AA9">
        <w:rPr>
          <w:rFonts w:ascii="Times New Roman" w:eastAsia="Calibri" w:hAnsi="Times New Roman" w:cs="Times New Roman"/>
          <w:sz w:val="28"/>
          <w:szCs w:val="28"/>
        </w:rPr>
        <w:t xml:space="preserve">получили дошкольное образование 1389 воспитанников (плановое значение согласно паспорту ГП </w:t>
      </w:r>
      <w:r w:rsidR="0034644C"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1259 </w:t>
      </w:r>
      <w:r w:rsidRPr="00E47AA9">
        <w:rPr>
          <w:rFonts w:ascii="Times New Roman" w:hAnsi="Times New Roman" w:cs="Times New Roman"/>
          <w:sz w:val="28"/>
          <w:szCs w:val="28"/>
        </w:rPr>
        <w:t xml:space="preserve">воспитанников). </w:t>
      </w:r>
      <w:r w:rsidRPr="00E47AA9">
        <w:rPr>
          <w:rFonts w:ascii="Times New Roman" w:eastAsia="Times New Roman" w:hAnsi="Times New Roman" w:cs="Times New Roman"/>
          <w:sz w:val="28"/>
          <w:szCs w:val="28"/>
          <w:lang w:eastAsia="ru-RU"/>
        </w:rPr>
        <w:t>Согласно п</w:t>
      </w:r>
      <w:r w:rsidRPr="00E47AA9">
        <w:rPr>
          <w:rFonts w:ascii="Times New Roman" w:hAnsi="Times New Roman" w:cs="Times New Roman"/>
          <w:sz w:val="28"/>
          <w:szCs w:val="28"/>
        </w:rPr>
        <w:t>лан</w:t>
      </w:r>
      <w:r w:rsidR="0034644C" w:rsidRPr="00E47AA9">
        <w:rPr>
          <w:rFonts w:ascii="Times New Roman" w:hAnsi="Times New Roman" w:cs="Times New Roman"/>
          <w:sz w:val="28"/>
          <w:szCs w:val="28"/>
        </w:rPr>
        <w:t>у</w:t>
      </w:r>
      <w:r w:rsidRPr="00E47AA9">
        <w:rPr>
          <w:rFonts w:ascii="Times New Roman" w:hAnsi="Times New Roman" w:cs="Times New Roman"/>
          <w:sz w:val="28"/>
          <w:szCs w:val="28"/>
        </w:rPr>
        <w:t xml:space="preserve"> мероприятий ("дорожная карта") по содействию развития конкуренции в Приморском крае на 2022 – 2025 годы, утвержденного распоряжением Губернатора Приморского края от 28.12.2021 № 384-рг (далее – "дорожная карта"), ожидаемым результатом от реализации данного мероприятия является увеличение количества негосударственных участников рынка услуг дошкольного образования</w:t>
      </w:r>
      <w:r w:rsidRPr="00E47AA9">
        <w:rPr>
          <w:rStyle w:val="a8"/>
          <w:rFonts w:ascii="Times New Roman" w:hAnsi="Times New Roman"/>
          <w:sz w:val="28"/>
          <w:szCs w:val="28"/>
        </w:rPr>
        <w:footnoteReference w:id="29"/>
      </w:r>
      <w:r w:rsidRPr="00E47AA9">
        <w:rPr>
          <w:rFonts w:ascii="Times New Roman" w:hAnsi="Times New Roman" w:cs="Times New Roman"/>
          <w:sz w:val="28"/>
          <w:szCs w:val="28"/>
        </w:rPr>
        <w:t>. Фактически за 2021</w:t>
      </w:r>
      <w:r w:rsidR="0034644C" w:rsidRPr="00E47AA9">
        <w:rPr>
          <w:rFonts w:ascii="Times New Roman" w:hAnsi="Times New Roman" w:cs="Times New Roman"/>
          <w:sz w:val="28"/>
          <w:szCs w:val="28"/>
        </w:rPr>
        <w:t> – </w:t>
      </w:r>
      <w:r w:rsidRPr="00E47AA9">
        <w:rPr>
          <w:rFonts w:ascii="Times New Roman" w:hAnsi="Times New Roman" w:cs="Times New Roman"/>
          <w:sz w:val="28"/>
          <w:szCs w:val="28"/>
        </w:rPr>
        <w:t xml:space="preserve">2024 годы количество негосударственных участников рынка услуг дошкольного образования – получателей субсидии уменьшилось (2021 год – 21, 2022 год – 20; 2023 год – 19, 2024 </w:t>
      </w:r>
      <w:r w:rsidR="0034644C" w:rsidRPr="00E47AA9">
        <w:rPr>
          <w:rFonts w:ascii="Times New Roman" w:hAnsi="Times New Roman" w:cs="Times New Roman"/>
          <w:sz w:val="28"/>
          <w:szCs w:val="28"/>
        </w:rPr>
        <w:t>–</w:t>
      </w:r>
      <w:r w:rsidRPr="00E47AA9">
        <w:rPr>
          <w:rFonts w:ascii="Times New Roman" w:hAnsi="Times New Roman" w:cs="Times New Roman"/>
          <w:sz w:val="28"/>
          <w:szCs w:val="28"/>
        </w:rPr>
        <w:t xml:space="preserve"> 20);</w:t>
      </w:r>
    </w:p>
    <w:p w14:paraId="46DDE7DD" w14:textId="43F3AC4B" w:rsidR="008566E1" w:rsidRPr="00E47AA9" w:rsidRDefault="008566E1" w:rsidP="008566E1">
      <w:pPr>
        <w:spacing w:after="0" w:line="240" w:lineRule="auto"/>
        <w:ind w:firstLine="709"/>
        <w:jc w:val="both"/>
        <w:rPr>
          <w:rFonts w:ascii="Times New Roman" w:eastAsia="Calibri" w:hAnsi="Times New Roman" w:cs="Times New Roman"/>
          <w:sz w:val="28"/>
          <w:szCs w:val="28"/>
        </w:rPr>
      </w:pPr>
      <w:r w:rsidRPr="00E47AA9">
        <w:rPr>
          <w:rFonts w:ascii="Times New Roman" w:eastAsia="Times New Roman" w:hAnsi="Times New Roman" w:cs="Times New Roman"/>
          <w:iCs/>
          <w:sz w:val="28"/>
          <w:szCs w:val="28"/>
          <w:lang w:eastAsia="ru-RU"/>
        </w:rPr>
        <w:t>на уровне 99,98 %, или 9030,72 млн рублей</w:t>
      </w:r>
      <w:r w:rsidRPr="00E47AA9">
        <w:rPr>
          <w:rFonts w:ascii="Times New Roman" w:eastAsia="Times New Roman" w:hAnsi="Times New Roman" w:cs="Times New Roman"/>
          <w:i/>
          <w:sz w:val="28"/>
          <w:szCs w:val="28"/>
          <w:lang w:eastAsia="ru-RU"/>
        </w:rPr>
        <w:t xml:space="preserve"> </w:t>
      </w:r>
      <w:r w:rsidRPr="00E47AA9">
        <w:rPr>
          <w:rFonts w:ascii="Times New Roman" w:eastAsia="Times New Roman" w:hAnsi="Times New Roman" w:cs="Times New Roman"/>
          <w:snapToGrid w:val="0"/>
          <w:sz w:val="28"/>
          <w:szCs w:val="28"/>
          <w:lang w:eastAsia="ru-RU"/>
        </w:rPr>
        <w:t xml:space="preserve">(план </w:t>
      </w:r>
      <w:r w:rsidR="001D6C53" w:rsidRPr="00E47AA9">
        <w:rPr>
          <w:rFonts w:ascii="Times New Roman" w:eastAsia="Times New Roman" w:hAnsi="Times New Roman" w:cs="Times New Roman"/>
          <w:snapToGrid w:val="0"/>
          <w:sz w:val="28"/>
          <w:szCs w:val="28"/>
          <w:lang w:eastAsia="ru-RU"/>
        </w:rPr>
        <w:t xml:space="preserve">– </w:t>
      </w:r>
      <w:r w:rsidRPr="00E47AA9">
        <w:rPr>
          <w:rFonts w:ascii="Times New Roman" w:eastAsia="Times New Roman" w:hAnsi="Times New Roman" w:cs="Times New Roman"/>
          <w:snapToGrid w:val="0"/>
          <w:sz w:val="28"/>
          <w:szCs w:val="28"/>
          <w:lang w:eastAsia="ru-RU"/>
        </w:rPr>
        <w:t>9032,36 млн рублей) –</w:t>
      </w:r>
      <w:r w:rsidRPr="00E47AA9">
        <w:rPr>
          <w:rFonts w:ascii="Times New Roman" w:eastAsia="Times New Roman" w:hAnsi="Times New Roman" w:cs="Times New Roman"/>
          <w:sz w:val="28"/>
          <w:szCs w:val="28"/>
          <w:lang w:eastAsia="ru-RU"/>
        </w:rPr>
        <w:t xml:space="preserve">субвенции </w:t>
      </w:r>
      <w:r w:rsidRPr="00E47AA9">
        <w:rPr>
          <w:rFonts w:ascii="Times New Roman" w:eastAsia="Times New Roman" w:hAnsi="Times New Roman" w:cs="Times New Roman"/>
          <w:snapToGrid w:val="0"/>
          <w:sz w:val="28"/>
          <w:szCs w:val="28"/>
          <w:lang w:eastAsia="ru-RU"/>
        </w:rPr>
        <w:t xml:space="preserve">муниципальным образованиям Приморского края </w:t>
      </w:r>
      <w:r w:rsidRPr="00E47AA9">
        <w:rPr>
          <w:rFonts w:ascii="Times New Roman" w:eastAsia="Times New Roman" w:hAnsi="Times New Roman" w:cs="Times New Roman"/>
          <w:sz w:val="28"/>
          <w:szCs w:val="28"/>
          <w:lang w:eastAsia="ru-RU"/>
        </w:rPr>
        <w:t>на обеспечение государственных гарантий реализации прав на получение общедоступного и</w:t>
      </w:r>
      <w:r w:rsidR="00D23916"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xml:space="preserve">бесплатного дошкольного образования в муниципальных дошкольных образовательных организациях. </w:t>
      </w:r>
      <w:r w:rsidRPr="00E47AA9">
        <w:rPr>
          <w:rFonts w:ascii="Times New Roman" w:eastAsia="Calibri" w:hAnsi="Times New Roman" w:cs="Times New Roman"/>
          <w:iCs/>
          <w:sz w:val="28"/>
          <w:szCs w:val="28"/>
          <w:lang w:eastAsia="ru-RU"/>
        </w:rPr>
        <w:t>За финансовый год н</w:t>
      </w:r>
      <w:r w:rsidRPr="00E47AA9">
        <w:rPr>
          <w:rFonts w:ascii="Times New Roman" w:eastAsia="Times New Roman" w:hAnsi="Times New Roman" w:cs="Times New Roman"/>
          <w:sz w:val="28"/>
          <w:szCs w:val="28"/>
          <w:lang w:eastAsia="ru-RU"/>
        </w:rPr>
        <w:t xml:space="preserve">е исполнено 1,64 млн рублей </w:t>
      </w:r>
      <w:r w:rsidRPr="00E47AA9">
        <w:rPr>
          <w:rFonts w:ascii="Times New Roman" w:eastAsia="Times New Roman" w:hAnsi="Times New Roman" w:cs="Times New Roman"/>
          <w:sz w:val="28"/>
          <w:szCs w:val="24"/>
          <w:lang w:eastAsia="ru-RU"/>
        </w:rPr>
        <w:t xml:space="preserve">в связи со </w:t>
      </w:r>
      <w:r w:rsidRPr="00E47AA9">
        <w:rPr>
          <w:rFonts w:ascii="Times New Roman" w:hAnsi="Times New Roman" w:cs="Times New Roman"/>
          <w:sz w:val="28"/>
          <w:szCs w:val="28"/>
        </w:rPr>
        <w:t>снижением численности воспитанников в дошкольных образовательных организациях, особенно в сельских и приграничных территориях (</w:t>
      </w:r>
      <w:proofErr w:type="spellStart"/>
      <w:r w:rsidRPr="00E47AA9">
        <w:rPr>
          <w:rFonts w:ascii="Times New Roman" w:hAnsi="Times New Roman" w:cs="Times New Roman"/>
          <w:sz w:val="28"/>
          <w:szCs w:val="28"/>
        </w:rPr>
        <w:t>Анучинский</w:t>
      </w:r>
      <w:proofErr w:type="spellEnd"/>
      <w:r w:rsidRPr="00E47AA9">
        <w:rPr>
          <w:rFonts w:ascii="Times New Roman" w:hAnsi="Times New Roman" w:cs="Times New Roman"/>
          <w:sz w:val="28"/>
          <w:szCs w:val="28"/>
        </w:rPr>
        <w:t xml:space="preserve"> МО – 0,97 млн рублей, Черниговский МО – 0,60 млн рублей).</w:t>
      </w:r>
      <w:r w:rsidRPr="00E47AA9">
        <w:rPr>
          <w:rFonts w:ascii="Times New Roman" w:eastAsia="Times New Roman" w:hAnsi="Times New Roman" w:cs="Times New Roman"/>
          <w:lang w:eastAsia="ru-RU"/>
        </w:rPr>
        <w:t xml:space="preserve"> </w:t>
      </w:r>
      <w:r w:rsidRPr="00E47AA9">
        <w:rPr>
          <w:rFonts w:ascii="Times New Roman" w:eastAsia="Calibri" w:hAnsi="Times New Roman" w:cs="Times New Roman"/>
          <w:sz w:val="28"/>
          <w:szCs w:val="28"/>
        </w:rPr>
        <w:t xml:space="preserve">В соответствии с Указом Президента РФ от 07.05.2012 № 597 "О мероприятиях по реализации государственной социальной политики" целевой показатель средней заработной платы педагогического персонала в дошкольных образовательных учреждениях на </w:t>
      </w:r>
      <w:r w:rsidRPr="00E47AA9">
        <w:rPr>
          <w:rFonts w:ascii="Times New Roman" w:eastAsia="Calibri" w:hAnsi="Times New Roman" w:cs="Times New Roman"/>
          <w:sz w:val="28"/>
          <w:szCs w:val="28"/>
        </w:rPr>
        <w:lastRenderedPageBreak/>
        <w:t>2024 год установлен в размере средней заработная плата в сфере общего образования – 65945,20 рублей, фактический показатель составил 70000 рублей, или 106,15</w:t>
      </w:r>
      <w:r w:rsidR="0034644C"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w:t>
      </w:r>
    </w:p>
    <w:p w14:paraId="4A14DF87" w14:textId="486D14D1" w:rsidR="008566E1" w:rsidRPr="00E47AA9" w:rsidRDefault="008566E1" w:rsidP="008566E1">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spacing w:val="-6"/>
          <w:sz w:val="28"/>
          <w:szCs w:val="28"/>
          <w:lang w:eastAsia="ru-RU"/>
        </w:rPr>
        <w:t xml:space="preserve">на уровне 91,11 %, или 80,74 млн рублей (план </w:t>
      </w:r>
      <w:r w:rsidR="00D23916" w:rsidRPr="00E47AA9">
        <w:rPr>
          <w:rFonts w:ascii="Times New Roman" w:eastAsia="Times New Roman" w:hAnsi="Times New Roman" w:cs="Times New Roman"/>
          <w:spacing w:val="-6"/>
          <w:sz w:val="28"/>
          <w:szCs w:val="28"/>
          <w:lang w:eastAsia="ru-RU"/>
        </w:rPr>
        <w:t xml:space="preserve">– </w:t>
      </w:r>
      <w:r w:rsidRPr="00E47AA9">
        <w:rPr>
          <w:rFonts w:ascii="Times New Roman" w:eastAsia="Times New Roman" w:hAnsi="Times New Roman" w:cs="Times New Roman"/>
          <w:spacing w:val="-6"/>
          <w:sz w:val="28"/>
          <w:szCs w:val="28"/>
          <w:lang w:eastAsia="ru-RU"/>
        </w:rPr>
        <w:t>88,62 млн рублей) направлены субсидии бюджетам трех муниципальных образований Приморского края на софинансирование мероприятий, направленных на возмещение расходов частных дошкольных образовательных организаций, индивидуальных предпринимателей, возникающих при создании условий для осуществления присмотра и ухода за детьми дошкольного возраста.</w:t>
      </w:r>
      <w:r w:rsidRPr="00E47AA9">
        <w:rPr>
          <w:rFonts w:ascii="Times New Roman" w:eastAsia="Calibri" w:hAnsi="Times New Roman" w:cs="Times New Roman"/>
          <w:sz w:val="28"/>
          <w:szCs w:val="28"/>
          <w:lang w:eastAsia="ru-RU"/>
        </w:rPr>
        <w:t xml:space="preserve"> </w:t>
      </w:r>
      <w:r w:rsidRPr="00E47AA9">
        <w:rPr>
          <w:rFonts w:ascii="Times New Roman" w:eastAsia="Times New Roman" w:hAnsi="Times New Roman" w:cs="Times New Roman"/>
          <w:spacing w:val="-6"/>
          <w:sz w:val="28"/>
          <w:szCs w:val="28"/>
          <w:lang w:eastAsia="ru-RU"/>
        </w:rPr>
        <w:t xml:space="preserve">По информации министерства образования Приморского края, за отчетный период </w:t>
      </w:r>
      <w:r w:rsidRPr="00E47AA9">
        <w:rPr>
          <w:rFonts w:ascii="Times New Roman" w:eastAsia="Times New Roman" w:hAnsi="Times New Roman" w:cs="Times New Roman"/>
          <w:sz w:val="28"/>
          <w:szCs w:val="28"/>
          <w:lang w:eastAsia="ru-RU"/>
        </w:rPr>
        <w:t>599 детей из</w:t>
      </w:r>
      <w:r w:rsidR="00D23916"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планируемых (889) дошкольного возраста</w:t>
      </w:r>
      <w:r w:rsidRPr="00E47AA9">
        <w:rPr>
          <w:rStyle w:val="a8"/>
          <w:rFonts w:ascii="Times New Roman" w:hAnsi="Times New Roman"/>
          <w:sz w:val="28"/>
          <w:szCs w:val="28"/>
          <w:lang w:eastAsia="ru-RU"/>
        </w:rPr>
        <w:footnoteReference w:id="30"/>
      </w:r>
      <w:r w:rsidRPr="00E47AA9">
        <w:rPr>
          <w:rFonts w:ascii="Times New Roman" w:eastAsia="Times New Roman" w:hAnsi="Times New Roman" w:cs="Times New Roman"/>
          <w:sz w:val="28"/>
          <w:szCs w:val="28"/>
          <w:lang w:eastAsia="ru-RU"/>
        </w:rPr>
        <w:t>, или 67,38 %</w:t>
      </w:r>
      <w:r w:rsidR="0034644C"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получили услуги в частных дошкольных</w:t>
      </w:r>
      <w:r w:rsidRPr="00E47AA9">
        <w:rPr>
          <w:rFonts w:ascii="Times New Roman" w:eastAsia="Calibri" w:hAnsi="Times New Roman" w:cs="Times New Roman"/>
          <w:sz w:val="28"/>
          <w:szCs w:val="28"/>
        </w:rPr>
        <w:t xml:space="preserve"> учреждениях у индивидуальных предпринимателей </w:t>
      </w:r>
      <w:r w:rsidRPr="00E47AA9">
        <w:rPr>
          <w:rFonts w:ascii="Times New Roman" w:hAnsi="Times New Roman" w:cs="Times New Roman"/>
          <w:sz w:val="28"/>
          <w:szCs w:val="28"/>
        </w:rPr>
        <w:t>во</w:t>
      </w:r>
      <w:r w:rsidR="00D23916" w:rsidRPr="00E47AA9">
        <w:rPr>
          <w:rFonts w:ascii="Times New Roman" w:hAnsi="Times New Roman" w:cs="Times New Roman"/>
          <w:sz w:val="28"/>
          <w:szCs w:val="28"/>
        </w:rPr>
        <w:t> </w:t>
      </w:r>
      <w:r w:rsidRPr="00E47AA9">
        <w:rPr>
          <w:rFonts w:ascii="Times New Roman" w:hAnsi="Times New Roman" w:cs="Times New Roman"/>
          <w:sz w:val="28"/>
          <w:szCs w:val="28"/>
        </w:rPr>
        <w:t>Владивостокском городском округе, Уссурийском городском округе, Артемовском городском округе</w:t>
      </w:r>
      <w:r w:rsidRPr="00E47AA9">
        <w:rPr>
          <w:rFonts w:ascii="Times New Roman" w:eastAsia="Times New Roman" w:hAnsi="Times New Roman" w:cs="Times New Roman"/>
          <w:sz w:val="28"/>
          <w:szCs w:val="28"/>
          <w:lang w:eastAsia="ru-RU"/>
        </w:rPr>
        <w:t xml:space="preserve">. </w:t>
      </w:r>
      <w:proofErr w:type="spellStart"/>
      <w:r w:rsidRPr="00E47AA9">
        <w:rPr>
          <w:rFonts w:ascii="Times New Roman" w:hAnsi="Times New Roman" w:cs="Times New Roman"/>
          <w:sz w:val="28"/>
          <w:szCs w:val="28"/>
        </w:rPr>
        <w:t>Недостижение</w:t>
      </w:r>
      <w:proofErr w:type="spellEnd"/>
      <w:r w:rsidRPr="00E47AA9">
        <w:rPr>
          <w:rFonts w:ascii="Times New Roman" w:hAnsi="Times New Roman" w:cs="Times New Roman"/>
          <w:sz w:val="28"/>
          <w:szCs w:val="28"/>
        </w:rPr>
        <w:t xml:space="preserve"> значений результатов использования субсидии по итогам 2024 года (</w:t>
      </w:r>
      <w:r w:rsidRPr="00E47AA9">
        <w:rPr>
          <w:rFonts w:ascii="Times New Roman" w:eastAsia="Times New Roman" w:hAnsi="Times New Roman" w:cs="Times New Roman"/>
          <w:sz w:val="28"/>
          <w:szCs w:val="28"/>
          <w:lang w:eastAsia="ru-RU"/>
        </w:rPr>
        <w:t xml:space="preserve">67,38 %) </w:t>
      </w:r>
      <w:r w:rsidRPr="00E47AA9">
        <w:rPr>
          <w:rFonts w:ascii="Times New Roman" w:hAnsi="Times New Roman" w:cs="Times New Roman"/>
          <w:sz w:val="28"/>
          <w:szCs w:val="28"/>
        </w:rPr>
        <w:t xml:space="preserve">обусловлено </w:t>
      </w:r>
      <w:r w:rsidR="005146ED" w:rsidRPr="00E47AA9">
        <w:rPr>
          <w:rFonts w:ascii="Times New Roman" w:hAnsi="Times New Roman" w:cs="Times New Roman"/>
          <w:sz w:val="28"/>
          <w:szCs w:val="28"/>
        </w:rPr>
        <w:t xml:space="preserve">достаточным </w:t>
      </w:r>
      <w:r w:rsidRPr="00E47AA9">
        <w:rPr>
          <w:rFonts w:ascii="Times New Roman" w:hAnsi="Times New Roman" w:cs="Times New Roman"/>
          <w:sz w:val="28"/>
          <w:szCs w:val="28"/>
        </w:rPr>
        <w:t>обеспечением детей местами в муниципальных дошкольных образовательных организациях</w:t>
      </w:r>
      <w:r w:rsidR="005146ED" w:rsidRPr="00E47AA9">
        <w:rPr>
          <w:rFonts w:ascii="Times New Roman" w:hAnsi="Times New Roman" w:cs="Times New Roman"/>
          <w:sz w:val="28"/>
          <w:szCs w:val="28"/>
        </w:rPr>
        <w:t>, а также</w:t>
      </w:r>
      <w:r w:rsidRPr="00E47AA9">
        <w:rPr>
          <w:rFonts w:ascii="Times New Roman" w:hAnsi="Times New Roman" w:cs="Times New Roman"/>
          <w:sz w:val="28"/>
          <w:szCs w:val="28"/>
        </w:rPr>
        <w:t xml:space="preserve"> низкой посещаемостью детьми частных дошкольных организаций по причине болезней. Согласно пояснительной записке министерства образования Приморского края к</w:t>
      </w:r>
      <w:r w:rsidR="00F6202A" w:rsidRPr="00E47AA9">
        <w:rPr>
          <w:rFonts w:ascii="Times New Roman" w:hAnsi="Times New Roman" w:cs="Times New Roman"/>
          <w:sz w:val="28"/>
          <w:szCs w:val="28"/>
        </w:rPr>
        <w:t> </w:t>
      </w:r>
      <w:r w:rsidRPr="00E47AA9">
        <w:rPr>
          <w:rFonts w:ascii="Times New Roman" w:hAnsi="Times New Roman" w:cs="Times New Roman"/>
          <w:sz w:val="28"/>
          <w:szCs w:val="28"/>
        </w:rPr>
        <w:t>информации об исполнении ГП "Развитие образования Приморского края", за 2024 год обеспечена 100 % доступность дошкольного образования для детей в возрасте от 2 месяцев до 8 лет и детей в возрасте от 3 до 7 лет;</w:t>
      </w:r>
    </w:p>
    <w:p w14:paraId="1DD01A82" w14:textId="4B8F5D05" w:rsidR="008566E1" w:rsidRPr="00E47AA9" w:rsidRDefault="008566E1" w:rsidP="008566E1">
      <w:pPr>
        <w:autoSpaceDE w:val="0"/>
        <w:autoSpaceDN w:val="0"/>
        <w:adjustRightInd w:val="0"/>
        <w:spacing w:after="0" w:line="240" w:lineRule="auto"/>
        <w:ind w:firstLine="680"/>
        <w:jc w:val="both"/>
        <w:rPr>
          <w:rFonts w:ascii="Times New Roman" w:hAnsi="Times New Roman" w:cs="Times New Roman"/>
          <w:sz w:val="28"/>
          <w:szCs w:val="28"/>
        </w:rPr>
      </w:pPr>
      <w:r w:rsidRPr="00E47AA9">
        <w:rPr>
          <w:rFonts w:ascii="Times New Roman" w:hAnsi="Times New Roman" w:cs="Times New Roman"/>
          <w:i/>
          <w:sz w:val="28"/>
          <w:szCs w:val="28"/>
        </w:rPr>
        <w:t xml:space="preserve">КПМ "Развитие инфраструктуры организаций дошкольного образования" </w:t>
      </w:r>
      <w:r w:rsidRPr="00E47AA9">
        <w:rPr>
          <w:rFonts w:ascii="Times New Roman" w:hAnsi="Times New Roman" w:cs="Times New Roman"/>
          <w:sz w:val="28"/>
          <w:szCs w:val="28"/>
        </w:rPr>
        <w:t>исполнение расходов – 524,58 млн рублей, или 37,36 % (план</w:t>
      </w:r>
      <w:r w:rsidR="00F6202A"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 1404,01 млн рублей). Не исполненный на конец года остаток бюджетных средств составил 879,43 млн рублей. В 2024 году </w:t>
      </w:r>
      <w:r w:rsidRPr="00E47AA9">
        <w:rPr>
          <w:rFonts w:ascii="Times New Roman" w:eastAsia="Calibri" w:hAnsi="Times New Roman" w:cs="Times New Roman"/>
          <w:sz w:val="28"/>
          <w:szCs w:val="28"/>
          <w:lang w:eastAsia="ru-RU"/>
        </w:rPr>
        <w:t>направлены бюджетные средства</w:t>
      </w:r>
      <w:r w:rsidRPr="00E47AA9">
        <w:rPr>
          <w:rFonts w:ascii="Times New Roman" w:hAnsi="Times New Roman" w:cs="Times New Roman"/>
          <w:sz w:val="28"/>
          <w:szCs w:val="28"/>
        </w:rPr>
        <w:t>:</w:t>
      </w:r>
    </w:p>
    <w:p w14:paraId="5395A63F" w14:textId="77777777" w:rsidR="008566E1" w:rsidRPr="00E47AA9" w:rsidRDefault="008566E1" w:rsidP="008566E1">
      <w:pPr>
        <w:spacing w:after="0" w:line="240" w:lineRule="auto"/>
        <w:ind w:right="-94" w:firstLine="709"/>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u w:val="single"/>
          <w:lang w:eastAsia="ru-RU"/>
        </w:rPr>
        <w:t>министерством образования Приморского края</w:t>
      </w:r>
    </w:p>
    <w:p w14:paraId="2F17A17E" w14:textId="77777777" w:rsidR="008566E1" w:rsidRPr="00E47AA9" w:rsidRDefault="008566E1" w:rsidP="008566E1">
      <w:pPr>
        <w:spacing w:after="0" w:line="240" w:lineRule="auto"/>
        <w:ind w:right="-94" w:firstLine="709"/>
        <w:jc w:val="both"/>
        <w:rPr>
          <w:rFonts w:ascii="Times New Roman" w:hAnsi="Times New Roman"/>
          <w:bCs/>
          <w:sz w:val="28"/>
          <w:szCs w:val="28"/>
        </w:rPr>
      </w:pPr>
      <w:r w:rsidRPr="00E47AA9">
        <w:rPr>
          <w:rFonts w:ascii="Times New Roman" w:hAnsi="Times New Roman" w:cs="Times New Roman"/>
          <w:bCs/>
          <w:sz w:val="28"/>
          <w:szCs w:val="28"/>
        </w:rPr>
        <w:t xml:space="preserve">296,73 млн рублей практически в полном объеме </w:t>
      </w:r>
      <w:r w:rsidR="0034644C" w:rsidRPr="00E47AA9">
        <w:rPr>
          <w:rFonts w:ascii="Times New Roman" w:hAnsi="Times New Roman" w:cs="Times New Roman"/>
          <w:bCs/>
          <w:sz w:val="28"/>
          <w:szCs w:val="28"/>
        </w:rPr>
        <w:t>–</w:t>
      </w:r>
      <w:r w:rsidRPr="00E47AA9">
        <w:rPr>
          <w:rFonts w:ascii="Times New Roman" w:hAnsi="Times New Roman" w:cs="Times New Roman"/>
          <w:bCs/>
          <w:sz w:val="28"/>
          <w:szCs w:val="28"/>
        </w:rPr>
        <w:t xml:space="preserve"> на капитальный ремонт зданий и благоустройство территорий муниципальных образовательных организаций, оказывающих услуги дошкольного образования, из них 294,43 млн рублей в</w:t>
      </w:r>
      <w:r w:rsidRPr="00E47AA9">
        <w:rPr>
          <w:rFonts w:ascii="Times New Roman" w:hAnsi="Times New Roman" w:cs="Times New Roman"/>
          <w:sz w:val="28"/>
          <w:szCs w:val="28"/>
        </w:rPr>
        <w:t xml:space="preserve"> 15 </w:t>
      </w:r>
      <w:r w:rsidRPr="00E47AA9">
        <w:rPr>
          <w:rFonts w:ascii="Times New Roman" w:eastAsia="Calibri" w:hAnsi="Times New Roman" w:cs="Times New Roman"/>
          <w:sz w:val="28"/>
          <w:szCs w:val="28"/>
        </w:rPr>
        <w:t>дошкольных образовательных организациях Приморского края</w:t>
      </w:r>
      <w:r w:rsidRPr="00E47AA9">
        <w:rPr>
          <w:rFonts w:ascii="Times New Roman" w:hAnsi="Times New Roman" w:cs="Times New Roman"/>
          <w:sz w:val="28"/>
          <w:szCs w:val="28"/>
        </w:rPr>
        <w:t xml:space="preserve"> за счет средств </w:t>
      </w:r>
      <w:r w:rsidRPr="00E47AA9">
        <w:rPr>
          <w:rFonts w:ascii="Times New Roman" w:hAnsi="Times New Roman"/>
          <w:bCs/>
          <w:sz w:val="28"/>
          <w:szCs w:val="28"/>
        </w:rPr>
        <w:t>специальных казначейских кредитов из федерального бюджета;</w:t>
      </w:r>
    </w:p>
    <w:p w14:paraId="389B3A1D" w14:textId="1C8DED63" w:rsidR="008566E1" w:rsidRPr="00E47AA9" w:rsidRDefault="008566E1" w:rsidP="008566E1">
      <w:pPr>
        <w:spacing w:after="0" w:line="240" w:lineRule="auto"/>
        <w:ind w:right="-94" w:firstLine="709"/>
        <w:jc w:val="both"/>
        <w:rPr>
          <w:rFonts w:ascii="Times New Roman" w:hAnsi="Times New Roman" w:cs="Times New Roman"/>
          <w:bCs/>
          <w:sz w:val="28"/>
          <w:szCs w:val="28"/>
        </w:rPr>
      </w:pPr>
      <w:r w:rsidRPr="00E47AA9">
        <w:rPr>
          <w:rFonts w:ascii="Times New Roman" w:hAnsi="Times New Roman" w:cs="Times New Roman"/>
          <w:bCs/>
          <w:sz w:val="28"/>
          <w:szCs w:val="28"/>
        </w:rPr>
        <w:t>на 0,49 %, или 4,07 млн рублей (план</w:t>
      </w:r>
      <w:r w:rsidR="001D6C53" w:rsidRPr="00E47AA9">
        <w:rPr>
          <w:rFonts w:ascii="Times New Roman" w:hAnsi="Times New Roman" w:cs="Times New Roman"/>
          <w:bCs/>
          <w:sz w:val="28"/>
          <w:szCs w:val="28"/>
        </w:rPr>
        <w:t xml:space="preserve"> –</w:t>
      </w:r>
      <w:r w:rsidRPr="00E47AA9">
        <w:rPr>
          <w:rFonts w:ascii="Times New Roman" w:hAnsi="Times New Roman" w:cs="Times New Roman"/>
          <w:bCs/>
          <w:sz w:val="28"/>
          <w:szCs w:val="28"/>
        </w:rPr>
        <w:t xml:space="preserve"> 827,28 млн рублей) – на реализацию мероприятий, источником финансового обеспечения которых являются специальные казначейские кредиты из федерального бюджета (строительство, реконструкция, приобретение зданий (в том числе проектно-изыскательские работы) муниципальных образовательных организаций, </w:t>
      </w:r>
      <w:r w:rsidRPr="00E47AA9">
        <w:rPr>
          <w:rFonts w:ascii="Times New Roman" w:hAnsi="Times New Roman" w:cs="Times New Roman"/>
          <w:bCs/>
          <w:sz w:val="28"/>
          <w:szCs w:val="28"/>
        </w:rPr>
        <w:lastRenderedPageBreak/>
        <w:t>реализующих основную общеобразовательную программу дошкольного образования). Расходы в соответствии с АИП на 2024 год планировались на:</w:t>
      </w:r>
    </w:p>
    <w:p w14:paraId="36112E1F" w14:textId="77777777" w:rsidR="008566E1" w:rsidRPr="00E47AA9" w:rsidRDefault="008566E1" w:rsidP="008566E1">
      <w:pPr>
        <w:spacing w:after="0" w:line="240" w:lineRule="auto"/>
        <w:ind w:right="-94" w:firstLine="709"/>
        <w:jc w:val="both"/>
        <w:rPr>
          <w:rFonts w:ascii="Times New Roman" w:hAnsi="Times New Roman" w:cs="Times New Roman"/>
          <w:snapToGrid w:val="0"/>
          <w:sz w:val="28"/>
          <w:szCs w:val="28"/>
        </w:rPr>
      </w:pPr>
      <w:r w:rsidRPr="00E47AA9">
        <w:rPr>
          <w:rFonts w:ascii="Times New Roman" w:hAnsi="Times New Roman" w:cs="Times New Roman"/>
          <w:snapToGrid w:val="0"/>
          <w:sz w:val="28"/>
          <w:szCs w:val="28"/>
        </w:rPr>
        <w:t>строительство детского сада на 220 мест в г. Уссурийске, ул. Выгонная, 1а (524,44 млн рублей). За отчетный период расходы освоены в сумме 4,07 млн рублей. В связи с расторжением муниципального контракта неосвоенный остаток – 520,37 млн рублей. Согласно информации министерства, строительство данного объекта перенесено на 2025 год;</w:t>
      </w:r>
    </w:p>
    <w:p w14:paraId="4C232EF5" w14:textId="77777777" w:rsidR="008566E1" w:rsidRPr="00E47AA9" w:rsidRDefault="008566E1" w:rsidP="008566E1">
      <w:pPr>
        <w:spacing w:after="0" w:line="240" w:lineRule="auto"/>
        <w:ind w:right="-94" w:firstLine="709"/>
        <w:jc w:val="both"/>
        <w:rPr>
          <w:rFonts w:ascii="Times New Roman" w:hAnsi="Times New Roman" w:cs="Times New Roman"/>
          <w:bCs/>
          <w:sz w:val="28"/>
          <w:szCs w:val="28"/>
        </w:rPr>
      </w:pPr>
      <w:r w:rsidRPr="00E47AA9">
        <w:rPr>
          <w:rFonts w:ascii="Times New Roman" w:eastAsia="Calibri" w:hAnsi="Times New Roman" w:cs="Times New Roman"/>
          <w:sz w:val="28"/>
          <w:szCs w:val="28"/>
        </w:rPr>
        <w:t>реконструкцию детского сада по ул. Промышленная, 5д (302,84 млн рублей). Расходы в 2024 году не осуществлялись. Мероприятие заменено на проведение капитального ремонта в 12 школах и 3 детских садах Уссурийского городского округа;</w:t>
      </w:r>
    </w:p>
    <w:p w14:paraId="7CCD42B8" w14:textId="77777777" w:rsidR="008566E1" w:rsidRPr="00E47AA9" w:rsidRDefault="008566E1" w:rsidP="008566E1">
      <w:pPr>
        <w:autoSpaceDE w:val="0"/>
        <w:autoSpaceDN w:val="0"/>
        <w:adjustRightInd w:val="0"/>
        <w:spacing w:after="0" w:line="240" w:lineRule="auto"/>
        <w:ind w:firstLine="708"/>
        <w:jc w:val="both"/>
        <w:rPr>
          <w:rFonts w:ascii="Times New Roman" w:hAnsi="Times New Roman" w:cs="Times New Roman"/>
          <w:bCs/>
          <w:sz w:val="28"/>
          <w:szCs w:val="28"/>
          <w:u w:val="single"/>
        </w:rPr>
      </w:pPr>
      <w:r w:rsidRPr="00E47AA9">
        <w:rPr>
          <w:rFonts w:ascii="Times New Roman" w:hAnsi="Times New Roman" w:cs="Times New Roman"/>
          <w:bCs/>
          <w:sz w:val="28"/>
          <w:szCs w:val="28"/>
          <w:u w:val="single"/>
        </w:rPr>
        <w:t>министерством строительства Приморского края</w:t>
      </w:r>
    </w:p>
    <w:p w14:paraId="69858540" w14:textId="153304A2" w:rsidR="008566E1" w:rsidRPr="00E47AA9" w:rsidRDefault="008566E1" w:rsidP="008566E1">
      <w:pPr>
        <w:pStyle w:val="a6"/>
        <w:ind w:firstLine="709"/>
        <w:jc w:val="both"/>
        <w:rPr>
          <w:sz w:val="28"/>
          <w:szCs w:val="28"/>
        </w:rPr>
      </w:pPr>
      <w:r w:rsidRPr="00E47AA9">
        <w:rPr>
          <w:bCs/>
          <w:sz w:val="28"/>
          <w:szCs w:val="28"/>
        </w:rPr>
        <w:t>223,77 млн рублей, или 79,92 % (280,00 млн рублей) – на строительство, реконструкци</w:t>
      </w:r>
      <w:r w:rsidR="00F94206" w:rsidRPr="00E47AA9">
        <w:rPr>
          <w:bCs/>
          <w:sz w:val="28"/>
          <w:szCs w:val="28"/>
        </w:rPr>
        <w:t>ю</w:t>
      </w:r>
      <w:r w:rsidRPr="00E47AA9">
        <w:rPr>
          <w:bCs/>
          <w:sz w:val="28"/>
          <w:szCs w:val="28"/>
        </w:rPr>
        <w:t>, приобретение зданий (в том числе проектно-изыскательские работы) дошкольных образовательных организаций, а именно</w:t>
      </w:r>
      <w:r w:rsidRPr="00E47AA9">
        <w:rPr>
          <w:sz w:val="28"/>
          <w:szCs w:val="28"/>
        </w:rPr>
        <w:t xml:space="preserve"> </w:t>
      </w:r>
      <w:r w:rsidRPr="00E47AA9">
        <w:rPr>
          <w:bCs/>
          <w:sz w:val="28"/>
          <w:szCs w:val="28"/>
        </w:rPr>
        <w:t>на</w:t>
      </w:r>
      <w:r w:rsidR="00684A80" w:rsidRPr="00E47AA9">
        <w:rPr>
          <w:bCs/>
          <w:sz w:val="28"/>
          <w:szCs w:val="28"/>
        </w:rPr>
        <w:t> </w:t>
      </w:r>
      <w:r w:rsidRPr="00E47AA9">
        <w:rPr>
          <w:bCs/>
          <w:sz w:val="28"/>
          <w:szCs w:val="28"/>
        </w:rPr>
        <w:t>с</w:t>
      </w:r>
      <w:r w:rsidRPr="00E47AA9">
        <w:rPr>
          <w:sz w:val="28"/>
          <w:szCs w:val="28"/>
        </w:rPr>
        <w:t>троительство детского сада на 120 мест в микрорайоне "Садовый" в</w:t>
      </w:r>
      <w:r w:rsidR="00684A80" w:rsidRPr="00E47AA9">
        <w:rPr>
          <w:sz w:val="28"/>
          <w:szCs w:val="28"/>
        </w:rPr>
        <w:t> </w:t>
      </w:r>
      <w:r w:rsidRPr="00E47AA9">
        <w:rPr>
          <w:sz w:val="28"/>
          <w:szCs w:val="28"/>
        </w:rPr>
        <w:br/>
        <w:t xml:space="preserve">г. Большой Камень (за счет средств благотворительного пожертвования – </w:t>
      </w:r>
      <w:r w:rsidRPr="00E47AA9">
        <w:rPr>
          <w:bCs/>
          <w:sz w:val="28"/>
          <w:szCs w:val="28"/>
        </w:rPr>
        <w:t>220,00 млн рублей и краевого бюджета – 3,77 млн рублей). Не освоено 56,23 млн рублей</w:t>
      </w:r>
      <w:r w:rsidRPr="00E47AA9">
        <w:rPr>
          <w:sz w:val="28"/>
          <w:szCs w:val="28"/>
        </w:rPr>
        <w:t xml:space="preserve"> в связи с тем, что в ходе строительства детского сада возникла необходимость корректировки проектно-сметной документации, что повлекло увеличение сроков выполнения работ. Согласно АИП срок ввода (приобретения) – 31.12.2024. </w:t>
      </w:r>
    </w:p>
    <w:p w14:paraId="4255E48E" w14:textId="5E82C342" w:rsidR="008566E1" w:rsidRPr="00E47AA9" w:rsidRDefault="008566E1" w:rsidP="008566E1">
      <w:pPr>
        <w:pStyle w:val="a6"/>
        <w:ind w:firstLine="709"/>
        <w:jc w:val="both"/>
        <w:rPr>
          <w:sz w:val="28"/>
          <w:szCs w:val="28"/>
        </w:rPr>
      </w:pPr>
      <w:r w:rsidRPr="00E47AA9">
        <w:rPr>
          <w:sz w:val="28"/>
          <w:szCs w:val="28"/>
        </w:rPr>
        <w:t>Стоит отметить, что объем расходов за счет средств краевого бюджета в</w:t>
      </w:r>
      <w:r w:rsidR="00684A80" w:rsidRPr="00E47AA9">
        <w:rPr>
          <w:sz w:val="28"/>
          <w:szCs w:val="28"/>
        </w:rPr>
        <w:t> </w:t>
      </w:r>
      <w:r w:rsidRPr="00E47AA9">
        <w:rPr>
          <w:sz w:val="28"/>
          <w:szCs w:val="28"/>
        </w:rPr>
        <w:t>период реализации мероприятия в 2024 году 5 раз корректировался соответствующими законами Приморского края, из них: 2 раза в сторону увеличения – на 282,90 млн рублей (с 124,66 млн рублей до 404,66 млн рублей, с 106,75 млн рублей до 109,65 млн рублей), 3 раза в сторону уменьшения на</w:t>
      </w:r>
      <w:r w:rsidR="00684A80" w:rsidRPr="00E47AA9">
        <w:rPr>
          <w:sz w:val="28"/>
          <w:szCs w:val="28"/>
        </w:rPr>
        <w:t> </w:t>
      </w:r>
      <w:r w:rsidRPr="00E47AA9">
        <w:rPr>
          <w:sz w:val="28"/>
          <w:szCs w:val="28"/>
        </w:rPr>
        <w:t>347,56 млн рублей (с 404,66 млн рублей 106,75 млн рублей, с 106,75 млн рублей до 60,0 млн рублей)</w:t>
      </w:r>
      <w:r w:rsidR="00407315" w:rsidRPr="00E47AA9">
        <w:rPr>
          <w:sz w:val="28"/>
          <w:szCs w:val="28"/>
        </w:rPr>
        <w:t>.</w:t>
      </w:r>
    </w:p>
    <w:p w14:paraId="742E0289" w14:textId="77777777" w:rsidR="008566E1" w:rsidRPr="00E47AA9" w:rsidRDefault="008566E1" w:rsidP="008566E1">
      <w:pPr>
        <w:autoSpaceDE w:val="0"/>
        <w:autoSpaceDN w:val="0"/>
        <w:adjustRightInd w:val="0"/>
        <w:spacing w:after="0" w:line="240" w:lineRule="auto"/>
        <w:ind w:firstLine="708"/>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 xml:space="preserve">Подпрограмма "Развитие системы общего образования" </w:t>
      </w:r>
    </w:p>
    <w:p w14:paraId="242431A4" w14:textId="10524E41" w:rsidR="008566E1" w:rsidRPr="00E47AA9" w:rsidRDefault="008566E1" w:rsidP="008566E1">
      <w:pPr>
        <w:spacing w:after="0" w:line="240" w:lineRule="auto"/>
        <w:ind w:firstLine="680"/>
        <w:jc w:val="both"/>
        <w:rPr>
          <w:sz w:val="28"/>
          <w:szCs w:val="28"/>
        </w:rPr>
      </w:pPr>
      <w:r w:rsidRPr="00E47AA9">
        <w:rPr>
          <w:rFonts w:ascii="Times New Roman" w:hAnsi="Times New Roman" w:cs="Times New Roman"/>
          <w:iCs/>
          <w:sz w:val="28"/>
          <w:szCs w:val="28"/>
        </w:rPr>
        <w:t>По</w:t>
      </w:r>
      <w:r w:rsidRPr="00E47AA9">
        <w:rPr>
          <w:rFonts w:ascii="Times New Roman" w:hAnsi="Times New Roman" w:cs="Times New Roman"/>
          <w:i/>
          <w:iCs/>
          <w:sz w:val="28"/>
          <w:szCs w:val="28"/>
        </w:rPr>
        <w:t xml:space="preserve"> региональному проекту "Модернизация школьных систем образования в Приморском крае", не входящему в состав НП, </w:t>
      </w:r>
      <w:r w:rsidRPr="00E47AA9">
        <w:rPr>
          <w:rFonts w:ascii="Times New Roman" w:hAnsi="Times New Roman" w:cs="Times New Roman"/>
          <w:iCs/>
          <w:sz w:val="28"/>
          <w:szCs w:val="28"/>
        </w:rPr>
        <w:t xml:space="preserve">расходы осуществлялись </w:t>
      </w:r>
      <w:r w:rsidRPr="00E47AA9">
        <w:rPr>
          <w:rFonts w:ascii="Times New Roman" w:hAnsi="Times New Roman" w:cs="Times New Roman"/>
          <w:iCs/>
          <w:sz w:val="28"/>
          <w:szCs w:val="28"/>
          <w:u w:val="single"/>
        </w:rPr>
        <w:t>министерством образования Приморского края</w:t>
      </w:r>
      <w:r w:rsidRPr="00E47AA9">
        <w:rPr>
          <w:rFonts w:ascii="Times New Roman" w:hAnsi="Times New Roman" w:cs="Times New Roman"/>
          <w:iCs/>
          <w:sz w:val="28"/>
          <w:szCs w:val="28"/>
        </w:rPr>
        <w:t xml:space="preserve"> в сумме 402,62 млн рублей, или 99,69 % (план </w:t>
      </w:r>
      <w:r w:rsidR="00684A80" w:rsidRPr="00E47AA9">
        <w:rPr>
          <w:rFonts w:ascii="Times New Roman" w:hAnsi="Times New Roman" w:cs="Times New Roman"/>
          <w:iCs/>
          <w:sz w:val="28"/>
          <w:szCs w:val="28"/>
        </w:rPr>
        <w:t xml:space="preserve">– </w:t>
      </w:r>
      <w:r w:rsidRPr="00E47AA9">
        <w:rPr>
          <w:rFonts w:ascii="Times New Roman" w:hAnsi="Times New Roman" w:cs="Times New Roman"/>
          <w:iCs/>
          <w:sz w:val="28"/>
          <w:szCs w:val="28"/>
        </w:rPr>
        <w:t xml:space="preserve">403,87 млн рублей), в том числе за счет средств федерального бюджета – 331,56 млн рублей, или 99,76 % (332,36 млн рублей). Неисполненные бюджетные ассигнования в сумме 1,25 млн рублей обусловлены </w:t>
      </w:r>
      <w:r w:rsidRPr="00E47AA9">
        <w:rPr>
          <w:rFonts w:ascii="Times New Roman" w:hAnsi="Times New Roman" w:cs="Times New Roman"/>
          <w:snapToGrid w:val="0"/>
          <w:sz w:val="28"/>
          <w:szCs w:val="28"/>
        </w:rPr>
        <w:t xml:space="preserve">результатами конкурсных процедур. </w:t>
      </w:r>
      <w:r w:rsidRPr="00E47AA9">
        <w:rPr>
          <w:rFonts w:ascii="Times New Roman" w:eastAsia="Calibri" w:hAnsi="Times New Roman" w:cs="Times New Roman"/>
          <w:sz w:val="28"/>
          <w:szCs w:val="28"/>
        </w:rPr>
        <w:t xml:space="preserve">В 2024 году в рамках реализации РП проведен капитальный ремонт в 10 общеобразовательных организациях. </w:t>
      </w:r>
      <w:r w:rsidRPr="00E47AA9">
        <w:rPr>
          <w:rFonts w:ascii="Times New Roman" w:hAnsi="Times New Roman" w:cs="Times New Roman"/>
          <w:sz w:val="28"/>
          <w:szCs w:val="28"/>
        </w:rPr>
        <w:t xml:space="preserve">По итогам года 6 общеобразовательных организаций завершили мероприятия в срок. В 4 учреждениях образования срок завершения работ по соглашениям </w:t>
      </w:r>
      <w:r w:rsidR="00D5088D" w:rsidRPr="00E47AA9">
        <w:rPr>
          <w:rFonts w:ascii="Times New Roman" w:hAnsi="Times New Roman" w:cs="Times New Roman"/>
          <w:sz w:val="28"/>
          <w:szCs w:val="28"/>
        </w:rPr>
        <w:t>–</w:t>
      </w:r>
      <w:r w:rsidR="00AD364D" w:rsidRPr="00E47AA9">
        <w:rPr>
          <w:rFonts w:ascii="Times New Roman" w:hAnsi="Times New Roman" w:cs="Times New Roman"/>
          <w:sz w:val="28"/>
          <w:szCs w:val="28"/>
        </w:rPr>
        <w:t xml:space="preserve"> 31.12.2025</w:t>
      </w:r>
      <w:r w:rsidRPr="00E47AA9">
        <w:rPr>
          <w:rFonts w:ascii="Times New Roman" w:hAnsi="Times New Roman" w:cs="Times New Roman"/>
          <w:sz w:val="28"/>
          <w:szCs w:val="28"/>
        </w:rPr>
        <w:t>, работы ведутся согласно план</w:t>
      </w:r>
      <w:r w:rsidR="00D5088D" w:rsidRPr="00E47AA9">
        <w:rPr>
          <w:rFonts w:ascii="Times New Roman" w:hAnsi="Times New Roman" w:cs="Times New Roman"/>
          <w:sz w:val="28"/>
          <w:szCs w:val="28"/>
        </w:rPr>
        <w:t>у</w:t>
      </w:r>
      <w:r w:rsidRPr="00E47AA9">
        <w:rPr>
          <w:rFonts w:ascii="Times New Roman" w:hAnsi="Times New Roman" w:cs="Times New Roman"/>
          <w:sz w:val="28"/>
          <w:szCs w:val="28"/>
        </w:rPr>
        <w:t>-графику.</w:t>
      </w:r>
    </w:p>
    <w:p w14:paraId="1B911B66"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На реализацию </w:t>
      </w:r>
      <w:r w:rsidRPr="00E47AA9">
        <w:rPr>
          <w:rFonts w:ascii="Times New Roman" w:eastAsia="Times New Roman" w:hAnsi="Times New Roman" w:cs="Times New Roman"/>
          <w:i/>
          <w:sz w:val="28"/>
          <w:szCs w:val="28"/>
          <w:lang w:eastAsia="ru-RU"/>
        </w:rPr>
        <w:t>комплексов процессных мероприятий</w:t>
      </w:r>
      <w:r w:rsidRPr="00E47AA9">
        <w:rPr>
          <w:rFonts w:ascii="Times New Roman" w:eastAsia="Times New Roman" w:hAnsi="Times New Roman" w:cs="Times New Roman"/>
          <w:sz w:val="28"/>
          <w:szCs w:val="28"/>
          <w:lang w:eastAsia="ru-RU"/>
        </w:rPr>
        <w:t xml:space="preserve"> направлено:</w:t>
      </w:r>
    </w:p>
    <w:p w14:paraId="28D4E216" w14:textId="705D7027" w:rsidR="008566E1" w:rsidRPr="00E47AA9" w:rsidRDefault="008566E1" w:rsidP="008566E1">
      <w:pPr>
        <w:tabs>
          <w:tab w:val="left" w:pos="0"/>
        </w:tabs>
        <w:spacing w:after="0" w:line="240" w:lineRule="auto"/>
        <w:ind w:right="-3"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lastRenderedPageBreak/>
        <w:t>КПМ "Реализация образовательных программ и развитие системы общего образования" –</w:t>
      </w:r>
      <w:r w:rsidRPr="00E47AA9">
        <w:rPr>
          <w:rFonts w:ascii="Times New Roman" w:eastAsia="Times New Roman" w:hAnsi="Times New Roman" w:cs="Times New Roman"/>
          <w:sz w:val="28"/>
          <w:szCs w:val="28"/>
          <w:lang w:eastAsia="ru-RU"/>
        </w:rPr>
        <w:t xml:space="preserve"> 23795,10 млн рублей, или 99,78 % (план</w:t>
      </w:r>
      <w:r w:rsidR="00684A80" w:rsidRPr="00E47AA9">
        <w:rPr>
          <w:rFonts w:ascii="Times New Roman" w:eastAsia="Times New Roman" w:hAnsi="Times New Roman" w:cs="Times New Roman"/>
          <w:sz w:val="28"/>
          <w:szCs w:val="28"/>
          <w:lang w:eastAsia="ru-RU"/>
        </w:rPr>
        <w:t xml:space="preserve"> – </w:t>
      </w:r>
      <w:r w:rsidRPr="00E47AA9">
        <w:rPr>
          <w:rFonts w:ascii="Times New Roman" w:eastAsia="Times New Roman" w:hAnsi="Times New Roman" w:cs="Times New Roman"/>
          <w:sz w:val="28"/>
          <w:szCs w:val="28"/>
          <w:lang w:eastAsia="ru-RU"/>
        </w:rPr>
        <w:t xml:space="preserve">23848,16 млн рублей), из которых: </w:t>
      </w:r>
    </w:p>
    <w:p w14:paraId="09F22B28" w14:textId="77777777" w:rsidR="008566E1" w:rsidRPr="00E47AA9" w:rsidRDefault="008566E1" w:rsidP="008566E1">
      <w:pPr>
        <w:suppressAutoHyphens/>
        <w:spacing w:after="0" w:line="240" w:lineRule="auto"/>
        <w:ind w:firstLine="709"/>
        <w:jc w:val="both"/>
        <w:rPr>
          <w:rFonts w:ascii="Times New Roman" w:eastAsia="Calibri" w:hAnsi="Times New Roman" w:cs="Times New Roman"/>
          <w:sz w:val="28"/>
          <w:szCs w:val="28"/>
          <w:u w:val="single"/>
          <w:lang w:eastAsia="ru-RU"/>
        </w:rPr>
      </w:pPr>
      <w:r w:rsidRPr="00E47AA9">
        <w:rPr>
          <w:rFonts w:ascii="Times New Roman" w:eastAsia="Calibri" w:hAnsi="Times New Roman" w:cs="Times New Roman"/>
          <w:sz w:val="28"/>
          <w:szCs w:val="28"/>
          <w:u w:val="single"/>
          <w:lang w:eastAsia="ru-RU"/>
        </w:rPr>
        <w:t>министерств</w:t>
      </w:r>
      <w:r w:rsidR="00D5088D" w:rsidRPr="00E47AA9">
        <w:rPr>
          <w:rFonts w:ascii="Times New Roman" w:eastAsia="Calibri" w:hAnsi="Times New Roman" w:cs="Times New Roman"/>
          <w:sz w:val="28"/>
          <w:szCs w:val="28"/>
          <w:u w:val="single"/>
          <w:lang w:eastAsia="ru-RU"/>
        </w:rPr>
        <w:t>ом образования Приморского края</w:t>
      </w:r>
    </w:p>
    <w:p w14:paraId="2A6E43BF" w14:textId="3B9ED7C4" w:rsidR="008566E1" w:rsidRPr="00E47AA9" w:rsidRDefault="008566E1" w:rsidP="008566E1">
      <w:pPr>
        <w:autoSpaceDE w:val="0"/>
        <w:autoSpaceDN w:val="0"/>
        <w:adjustRightInd w:val="0"/>
        <w:spacing w:after="0" w:line="240" w:lineRule="auto"/>
        <w:ind w:firstLine="708"/>
        <w:jc w:val="both"/>
        <w:rPr>
          <w:rFonts w:ascii="Times New Roman" w:hAnsi="Times New Roman" w:cs="Times New Roman"/>
        </w:rPr>
      </w:pPr>
      <w:r w:rsidRPr="00E47AA9">
        <w:rPr>
          <w:rFonts w:ascii="Times New Roman" w:eastAsia="Times New Roman" w:hAnsi="Times New Roman" w:cs="Times New Roman"/>
          <w:sz w:val="28"/>
          <w:szCs w:val="28"/>
          <w:lang w:eastAsia="ru-RU"/>
        </w:rPr>
        <w:t>в полном объеме 2397,73 млн рублей – на предоставление общедоступного и бесплатного дошкольного, начального общего, основного общего, среднего (полного) общего образования по основным образовательным программам в краевых государственных образовательных учреждениях для детей-сирот и детей, оставшихся без попечения родителей, в специальных (коррекционных) образовательных учреждениях для обучающихся, воспитанников с ограниченными возможностями здоровья, в</w:t>
      </w:r>
      <w:r w:rsidR="00684A80"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специальных образовательных учреждениях закрытого типа</w:t>
      </w:r>
      <w:r w:rsidRPr="00E47AA9">
        <w:rPr>
          <w:rStyle w:val="a8"/>
          <w:rFonts w:ascii="Times New Roman" w:hAnsi="Times New Roman"/>
          <w:sz w:val="28"/>
          <w:szCs w:val="28"/>
          <w:lang w:eastAsia="ru-RU"/>
        </w:rPr>
        <w:footnoteReference w:id="31"/>
      </w:r>
      <w:r w:rsidRPr="00E47AA9">
        <w:rPr>
          <w:rFonts w:ascii="Times New Roman" w:eastAsia="Times New Roman" w:hAnsi="Times New Roman" w:cs="Times New Roman"/>
          <w:sz w:val="28"/>
          <w:szCs w:val="28"/>
          <w:lang w:eastAsia="ru-RU"/>
        </w:rPr>
        <w:t xml:space="preserve">. </w:t>
      </w:r>
      <w:r w:rsidRPr="00E47AA9">
        <w:rPr>
          <w:rFonts w:ascii="Times New Roman" w:eastAsia="Calibri" w:hAnsi="Times New Roman" w:cs="Times New Roman"/>
          <w:sz w:val="28"/>
          <w:szCs w:val="28"/>
        </w:rPr>
        <w:t>Целевой показатель средней заработной платы педагогического персонала, оказывающего социальные услуги детям-сиротам и детям, оставшимся без попечения родителей, на 2024 год установлен в размере среднемесячного дохода от трудовой деятельности – 67492,80 рублей, фактический показатель составил 77122,80 рублей, или 114,</w:t>
      </w:r>
      <w:r w:rsidR="009A0DC9" w:rsidRPr="00E47AA9">
        <w:rPr>
          <w:rFonts w:ascii="Times New Roman" w:eastAsia="Calibri" w:hAnsi="Times New Roman" w:cs="Times New Roman"/>
          <w:sz w:val="28"/>
          <w:szCs w:val="28"/>
        </w:rPr>
        <w:t>27</w:t>
      </w:r>
      <w:r w:rsidRPr="00E47AA9">
        <w:rPr>
          <w:rFonts w:ascii="Times New Roman" w:eastAsia="Calibri" w:hAnsi="Times New Roman" w:cs="Times New Roman"/>
          <w:sz w:val="28"/>
          <w:szCs w:val="28"/>
        </w:rPr>
        <w:t xml:space="preserve"> %. Согласно </w:t>
      </w:r>
      <w:proofErr w:type="gramStart"/>
      <w:r w:rsidRPr="00E47AA9">
        <w:rPr>
          <w:rFonts w:ascii="Times New Roman" w:eastAsia="Calibri" w:hAnsi="Times New Roman" w:cs="Times New Roman"/>
          <w:sz w:val="28"/>
          <w:szCs w:val="28"/>
        </w:rPr>
        <w:t>отчету министерства</w:t>
      </w:r>
      <w:proofErr w:type="gramEnd"/>
      <w:r w:rsidRPr="00E47AA9">
        <w:rPr>
          <w:rFonts w:ascii="Times New Roman" w:eastAsia="Calibri" w:hAnsi="Times New Roman" w:cs="Times New Roman"/>
          <w:sz w:val="28"/>
          <w:szCs w:val="28"/>
        </w:rPr>
        <w:t xml:space="preserve"> об исполнении ГП </w:t>
      </w:r>
      <w:r w:rsidRPr="00E47AA9">
        <w:rPr>
          <w:rFonts w:ascii="Times New Roman" w:hAnsi="Times New Roman"/>
          <w:sz w:val="28"/>
          <w:szCs w:val="28"/>
        </w:rPr>
        <w:t>услуги оказаны 100 % обучающи</w:t>
      </w:r>
      <w:r w:rsidR="00A24D0B" w:rsidRPr="00E47AA9">
        <w:rPr>
          <w:rFonts w:ascii="Times New Roman" w:hAnsi="Times New Roman"/>
          <w:sz w:val="28"/>
          <w:szCs w:val="28"/>
        </w:rPr>
        <w:t>м</w:t>
      </w:r>
      <w:r w:rsidRPr="00E47AA9">
        <w:rPr>
          <w:rFonts w:ascii="Times New Roman" w:hAnsi="Times New Roman"/>
          <w:sz w:val="28"/>
          <w:szCs w:val="28"/>
        </w:rPr>
        <w:t>ся и воспитанникам (в</w:t>
      </w:r>
      <w:r w:rsidR="00684A80" w:rsidRPr="00E47AA9">
        <w:rPr>
          <w:rFonts w:ascii="Times New Roman" w:hAnsi="Times New Roman"/>
          <w:sz w:val="28"/>
          <w:szCs w:val="28"/>
        </w:rPr>
        <w:t> </w:t>
      </w:r>
      <w:r w:rsidR="00A24D0B" w:rsidRPr="00E47AA9">
        <w:rPr>
          <w:rFonts w:ascii="Times New Roman" w:hAnsi="Times New Roman"/>
          <w:sz w:val="28"/>
          <w:szCs w:val="28"/>
        </w:rPr>
        <w:t>соответствии с показателем ГП –</w:t>
      </w:r>
      <w:r w:rsidRPr="00E47AA9">
        <w:rPr>
          <w:rFonts w:ascii="Times New Roman" w:hAnsi="Times New Roman"/>
          <w:sz w:val="28"/>
          <w:szCs w:val="28"/>
        </w:rPr>
        <w:t xml:space="preserve"> </w:t>
      </w:r>
      <w:r w:rsidRPr="00E47AA9">
        <w:rPr>
          <w:rFonts w:ascii="Times New Roman" w:hAnsi="Times New Roman" w:cs="Times New Roman"/>
          <w:bCs/>
          <w:sz w:val="28"/>
          <w:szCs w:val="28"/>
        </w:rPr>
        <w:t>не менее 3000 обучающимся)</w:t>
      </w:r>
      <w:r w:rsidRPr="00E47AA9">
        <w:rPr>
          <w:rFonts w:ascii="Times New Roman" w:hAnsi="Times New Roman"/>
          <w:sz w:val="28"/>
          <w:szCs w:val="28"/>
        </w:rPr>
        <w:t>;</w:t>
      </w:r>
    </w:p>
    <w:p w14:paraId="6329C24A" w14:textId="14A26F46" w:rsidR="008566E1" w:rsidRPr="00E47AA9" w:rsidRDefault="008566E1" w:rsidP="008566E1">
      <w:pPr>
        <w:spacing w:after="0" w:line="240" w:lineRule="auto"/>
        <w:ind w:firstLine="709"/>
        <w:jc w:val="both"/>
        <w:rPr>
          <w:rFonts w:ascii="Times New Roman" w:eastAsia="Calibri" w:hAnsi="Times New Roman" w:cs="Times New Roman"/>
          <w:sz w:val="28"/>
          <w:szCs w:val="24"/>
          <w:lang w:eastAsia="ru-RU"/>
        </w:rPr>
      </w:pPr>
      <w:r w:rsidRPr="00E47AA9">
        <w:rPr>
          <w:rFonts w:ascii="Times New Roman" w:eastAsia="Times New Roman" w:hAnsi="Times New Roman" w:cs="Times New Roman"/>
          <w:sz w:val="28"/>
          <w:szCs w:val="28"/>
          <w:lang w:eastAsia="ru-RU"/>
        </w:rPr>
        <w:t xml:space="preserve">на 99,99 %, или 17634,73 млн рублей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17636,50 млн рублей), – субвенции на обеспечение государственных гарантий реализации прав на получение общедоступного и бесплатного дошкольного, начального общего, основного общего, среднего общего, дополнительного образования детей в муниципальных общеобразовательных организациях Приморского края. Остаток неосвоенных средств 1,77 млн рублей образовался в связи </w:t>
      </w:r>
      <w:r w:rsidRPr="00E47AA9">
        <w:rPr>
          <w:rFonts w:ascii="Times New Roman" w:eastAsia="Calibri" w:hAnsi="Times New Roman" w:cs="Times New Roman"/>
          <w:sz w:val="28"/>
          <w:szCs w:val="24"/>
          <w:lang w:eastAsia="ru-RU"/>
        </w:rPr>
        <w:t xml:space="preserve">уменьшением </w:t>
      </w:r>
      <w:r w:rsidRPr="00E47AA9">
        <w:rPr>
          <w:rFonts w:ascii="Times New Roman" w:eastAsia="Times New Roman" w:hAnsi="Times New Roman" w:cs="Times New Roman"/>
          <w:sz w:val="28"/>
          <w:szCs w:val="24"/>
          <w:lang w:eastAsia="ru-RU"/>
        </w:rPr>
        <w:t xml:space="preserve">плановой численности </w:t>
      </w:r>
      <w:r w:rsidRPr="00E47AA9">
        <w:rPr>
          <w:rFonts w:ascii="Times New Roman" w:eastAsia="Calibri" w:hAnsi="Times New Roman" w:cs="Times New Roman"/>
          <w:sz w:val="28"/>
          <w:szCs w:val="24"/>
          <w:lang w:eastAsia="ru-RU"/>
        </w:rPr>
        <w:t xml:space="preserve">детей </w:t>
      </w:r>
      <w:r w:rsidRPr="00E47AA9">
        <w:rPr>
          <w:rFonts w:ascii="Times New Roman" w:hAnsi="Times New Roman" w:cs="Times New Roman"/>
          <w:sz w:val="28"/>
          <w:szCs w:val="28"/>
        </w:rPr>
        <w:t>(</w:t>
      </w:r>
      <w:proofErr w:type="spellStart"/>
      <w:r w:rsidRPr="00E47AA9">
        <w:rPr>
          <w:rFonts w:ascii="Times New Roman" w:hAnsi="Times New Roman" w:cs="Times New Roman"/>
          <w:sz w:val="28"/>
          <w:szCs w:val="28"/>
        </w:rPr>
        <w:t>Анучинский</w:t>
      </w:r>
      <w:proofErr w:type="spellEnd"/>
      <w:r w:rsidRPr="00E47AA9">
        <w:rPr>
          <w:rFonts w:ascii="Times New Roman" w:hAnsi="Times New Roman" w:cs="Times New Roman"/>
          <w:sz w:val="28"/>
          <w:szCs w:val="28"/>
        </w:rPr>
        <w:t xml:space="preserve"> МО – 0,40 млн рублей, Черниговский МО – 1,37 млн рублей)</w:t>
      </w:r>
      <w:r w:rsidRPr="00E47AA9">
        <w:rPr>
          <w:rFonts w:ascii="Times New Roman" w:eastAsia="Calibri" w:hAnsi="Times New Roman" w:cs="Times New Roman"/>
          <w:sz w:val="28"/>
          <w:szCs w:val="24"/>
          <w:lang w:eastAsia="ru-RU"/>
        </w:rPr>
        <w:t>;</w:t>
      </w:r>
    </w:p>
    <w:p w14:paraId="540F6ACC" w14:textId="539CF3F0" w:rsidR="008566E1" w:rsidRPr="00E47AA9" w:rsidRDefault="008566E1" w:rsidP="008566E1">
      <w:pPr>
        <w:spacing w:after="0" w:line="240" w:lineRule="auto"/>
        <w:ind w:firstLine="709"/>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4"/>
          <w:lang w:eastAsia="ru-RU"/>
        </w:rPr>
        <w:t xml:space="preserve">на 99,78 %, или 262,77 млн рублей (план </w:t>
      </w:r>
      <w:r w:rsidR="001D6C53" w:rsidRPr="00E47AA9">
        <w:rPr>
          <w:rFonts w:ascii="Times New Roman" w:eastAsia="Calibri" w:hAnsi="Times New Roman" w:cs="Times New Roman"/>
          <w:sz w:val="28"/>
          <w:szCs w:val="24"/>
          <w:lang w:eastAsia="ru-RU"/>
        </w:rPr>
        <w:t xml:space="preserve">– </w:t>
      </w:r>
      <w:r w:rsidRPr="00E47AA9">
        <w:rPr>
          <w:rFonts w:ascii="Times New Roman" w:eastAsia="Calibri" w:hAnsi="Times New Roman" w:cs="Times New Roman"/>
          <w:sz w:val="28"/>
          <w:szCs w:val="24"/>
          <w:lang w:eastAsia="ru-RU"/>
        </w:rPr>
        <w:t xml:space="preserve">263,36 млн рублей), </w:t>
      </w:r>
      <w:r w:rsidR="00A24D0B" w:rsidRPr="00E47AA9">
        <w:rPr>
          <w:rFonts w:ascii="Times New Roman" w:eastAsia="Calibri" w:hAnsi="Times New Roman" w:cs="Times New Roman"/>
          <w:sz w:val="28"/>
          <w:szCs w:val="24"/>
          <w:lang w:eastAsia="ru-RU"/>
        </w:rPr>
        <w:t>–</w:t>
      </w:r>
      <w:r w:rsidRPr="00E47AA9">
        <w:rPr>
          <w:rFonts w:ascii="Times New Roman" w:eastAsia="Calibri" w:hAnsi="Times New Roman" w:cs="Times New Roman"/>
          <w:sz w:val="28"/>
          <w:szCs w:val="24"/>
          <w:lang w:eastAsia="ru-RU"/>
        </w:rPr>
        <w:t xml:space="preserve"> субсидии из краевого бюджета 15 частным общеобразовательным организациям на возмещение затрат, связанных с предоставлением дошкольного, начального общего, основного общего, среднего общего, </w:t>
      </w:r>
      <w:r w:rsidRPr="00E47AA9">
        <w:rPr>
          <w:rFonts w:ascii="Times New Roman" w:eastAsia="Calibri" w:hAnsi="Times New Roman" w:cs="Times New Roman"/>
          <w:sz w:val="28"/>
          <w:szCs w:val="28"/>
          <w:lang w:eastAsia="ru-RU"/>
        </w:rPr>
        <w:t xml:space="preserve">дополнительного образования </w:t>
      </w:r>
      <w:r w:rsidRPr="00E47AA9">
        <w:rPr>
          <w:rFonts w:ascii="Times New Roman" w:hAnsi="Times New Roman" w:cs="Times New Roman"/>
          <w:sz w:val="28"/>
          <w:szCs w:val="28"/>
          <w:lang w:eastAsia="zh-CN"/>
        </w:rPr>
        <w:t>для 6407 обучающихся</w:t>
      </w:r>
      <w:r w:rsidRPr="00E47AA9">
        <w:rPr>
          <w:rFonts w:ascii="Times New Roman" w:eastAsia="Calibri" w:hAnsi="Times New Roman" w:cs="Times New Roman"/>
          <w:sz w:val="28"/>
          <w:szCs w:val="28"/>
          <w:lang w:eastAsia="ru-RU"/>
        </w:rPr>
        <w:t xml:space="preserve">; </w:t>
      </w:r>
    </w:p>
    <w:p w14:paraId="6E80ECBF" w14:textId="0C3B242F" w:rsidR="008566E1" w:rsidRPr="00E47AA9" w:rsidRDefault="008566E1" w:rsidP="008566E1">
      <w:pPr>
        <w:widowControl w:val="0"/>
        <w:spacing w:after="0" w:line="240" w:lineRule="auto"/>
        <w:ind w:firstLine="709"/>
        <w:contextualSpacing/>
        <w:jc w:val="both"/>
        <w:rPr>
          <w:rFonts w:ascii="Times New Roman" w:eastAsia="Calibri"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на 99,33 %, или 1608,72 млн рублей (план </w:t>
      </w:r>
      <w:r w:rsidR="001D6C53"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1619,56 млн рублей), за счет средств федерального бюджета</w:t>
      </w:r>
      <w:r w:rsidRPr="00E47AA9">
        <w:rPr>
          <w:rFonts w:ascii="Times New Roman" w:hAnsi="Times New Roman" w:cs="Times New Roman"/>
          <w:sz w:val="28"/>
          <w:szCs w:val="28"/>
        </w:rPr>
        <w:t xml:space="preserve"> на е</w:t>
      </w:r>
      <w:r w:rsidRPr="00E47AA9">
        <w:rPr>
          <w:rFonts w:ascii="Times New Roman" w:eastAsia="Times New Roman" w:hAnsi="Times New Roman" w:cs="Times New Roman"/>
          <w:sz w:val="28"/>
          <w:szCs w:val="28"/>
          <w:lang w:eastAsia="ru-RU"/>
        </w:rPr>
        <w:t xml:space="preserve">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 </w:t>
      </w:r>
      <w:r w:rsidRPr="00E47AA9">
        <w:rPr>
          <w:rFonts w:ascii="Times New Roman" w:eastAsia="Calibri" w:hAnsi="Times New Roman" w:cs="Times New Roman"/>
          <w:sz w:val="28"/>
          <w:szCs w:val="24"/>
          <w:lang w:eastAsia="ru-RU"/>
        </w:rPr>
        <w:t xml:space="preserve">Отклонение планового показателя от фактического в сумме 10,84 млн рублей связано с уменьшением </w:t>
      </w:r>
      <w:r w:rsidRPr="00E47AA9">
        <w:rPr>
          <w:rFonts w:ascii="Times New Roman" w:eastAsia="Times New Roman" w:hAnsi="Times New Roman" w:cs="Times New Roman"/>
          <w:sz w:val="28"/>
          <w:szCs w:val="24"/>
          <w:lang w:eastAsia="ru-RU"/>
        </w:rPr>
        <w:lastRenderedPageBreak/>
        <w:t>плановой численности получателей</w:t>
      </w:r>
      <w:r w:rsidRPr="00E47AA9">
        <w:rPr>
          <w:rFonts w:ascii="Times New Roman" w:eastAsia="Calibri" w:hAnsi="Times New Roman" w:cs="Times New Roman"/>
          <w:sz w:val="28"/>
          <w:szCs w:val="28"/>
          <w:lang w:eastAsia="ru-RU"/>
        </w:rPr>
        <w:t>;</w:t>
      </w:r>
    </w:p>
    <w:p w14:paraId="63075704" w14:textId="02E955D8"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на 97,94 %, или 1,90 млн рублей (план</w:t>
      </w:r>
      <w:r w:rsidR="001D6C53"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 1,94 млн рублей) </w:t>
      </w:r>
      <w:r w:rsidR="00A24D0B" w:rsidRPr="00E47AA9">
        <w:rPr>
          <w:rFonts w:ascii="Times New Roman" w:hAnsi="Times New Roman" w:cs="Times New Roman"/>
          <w:sz w:val="28"/>
          <w:szCs w:val="28"/>
        </w:rPr>
        <w:t>–</w:t>
      </w:r>
      <w:r w:rsidRPr="00E47AA9">
        <w:rPr>
          <w:rFonts w:ascii="Times New Roman" w:hAnsi="Times New Roman" w:cs="Times New Roman"/>
          <w:sz w:val="28"/>
          <w:szCs w:val="28"/>
        </w:rPr>
        <w:t xml:space="preserve"> на предоставление мер социальной поддержки 16 педагогам, набравшим 100 баллов на едином государственном экзамене по профильному предмету. В сентябре 2024 внесены изменения в Порядок</w:t>
      </w:r>
      <w:r w:rsidRPr="00E47AA9">
        <w:rPr>
          <w:rStyle w:val="a8"/>
          <w:rFonts w:ascii="Times New Roman" w:hAnsi="Times New Roman"/>
          <w:sz w:val="28"/>
          <w:szCs w:val="28"/>
        </w:rPr>
        <w:footnoteReference w:id="32"/>
      </w:r>
      <w:r w:rsidRPr="00E47AA9">
        <w:rPr>
          <w:rFonts w:ascii="Times New Roman" w:hAnsi="Times New Roman" w:cs="Times New Roman"/>
          <w:sz w:val="28"/>
          <w:szCs w:val="28"/>
        </w:rPr>
        <w:t xml:space="preserve"> в части выплаты ежемесячно в течение года 10 тысяч рублей педагогическим работникам, прошедшим добровольное тестирование в форме единого государственного экзамена по преподаваемым предметам за каждый предмет, по которому набрано 100 баллов. </w:t>
      </w:r>
    </w:p>
    <w:p w14:paraId="2BA22991" w14:textId="7810FC42" w:rsidR="008566E1" w:rsidRPr="00E47AA9" w:rsidRDefault="008566E1" w:rsidP="008566E1">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sz w:val="28"/>
          <w:szCs w:val="28"/>
          <w:lang w:eastAsia="ru-RU"/>
        </w:rPr>
        <w:t xml:space="preserve">Министерством образования Приморского края по оценке 2024 года достигнут целевой показатель, установленный в приложениях к Плану мероприятий ("дорожной карте") по доведению средней заработной платы педагогических работников </w:t>
      </w:r>
      <w:r w:rsidRPr="00E47AA9">
        <w:rPr>
          <w:rFonts w:ascii="Times New Roman" w:eastAsia="Times New Roman" w:hAnsi="Times New Roman" w:cs="Times New Roman"/>
          <w:sz w:val="28"/>
          <w:szCs w:val="28"/>
          <w:lang w:eastAsia="ru-RU"/>
        </w:rPr>
        <w:t>образовательных учреждений общего образования до уровня среднемесячного дохода от трудовой деятельности (установленный на 2024 год – 67492,80 рублей, фактический – 75184,10 рублей, или 111,40 %). При этом плановое значение показателя "</w:t>
      </w:r>
      <w:r w:rsidRPr="00E47AA9">
        <w:rPr>
          <w:rFonts w:ascii="Times New Roman" w:hAnsi="Times New Roman" w:cs="Times New Roman"/>
          <w:sz w:val="28"/>
          <w:szCs w:val="28"/>
        </w:rPr>
        <w:t>Отношение средней заработной платы учителей к среднемесячной начисленной заработной плате наемных работников в организациях, у</w:t>
      </w:r>
      <w:r w:rsidR="007B79AB" w:rsidRPr="00E47AA9">
        <w:rPr>
          <w:rFonts w:ascii="Times New Roman" w:hAnsi="Times New Roman" w:cs="Times New Roman"/>
          <w:sz w:val="28"/>
          <w:szCs w:val="28"/>
        </w:rPr>
        <w:t> </w:t>
      </w:r>
      <w:r w:rsidRPr="00E47AA9">
        <w:rPr>
          <w:rFonts w:ascii="Times New Roman" w:hAnsi="Times New Roman" w:cs="Times New Roman"/>
          <w:sz w:val="28"/>
          <w:szCs w:val="28"/>
        </w:rPr>
        <w:t>индивидуальных предпринимателей и физических лиц в Приморском крае"</w:t>
      </w:r>
      <w:r w:rsidR="007B79AB" w:rsidRPr="00E47AA9">
        <w:rPr>
          <w:rFonts w:ascii="Times New Roman" w:hAnsi="Times New Roman" w:cs="Times New Roman"/>
          <w:sz w:val="28"/>
          <w:szCs w:val="28"/>
        </w:rPr>
        <w:t> </w:t>
      </w:r>
      <w:r w:rsidRPr="00E47AA9">
        <w:rPr>
          <w:rFonts w:ascii="Times New Roman" w:hAnsi="Times New Roman" w:cs="Times New Roman"/>
          <w:sz w:val="28"/>
          <w:szCs w:val="28"/>
        </w:rPr>
        <w:t xml:space="preserve">– 136,0 % не достигнуто и составило 81,9 % </w:t>
      </w:r>
      <w:r w:rsidRPr="00E47AA9">
        <w:rPr>
          <w:rFonts w:ascii="Times New Roman" w:hAnsi="Times New Roman"/>
          <w:sz w:val="28"/>
          <w:szCs w:val="28"/>
        </w:rPr>
        <w:t>в связи с сохранением в отдельных муниципальных образования</w:t>
      </w:r>
      <w:r w:rsidR="00845A54" w:rsidRPr="00E47AA9">
        <w:rPr>
          <w:rFonts w:ascii="Times New Roman" w:hAnsi="Times New Roman"/>
          <w:sz w:val="28"/>
          <w:szCs w:val="28"/>
        </w:rPr>
        <w:t>х</w:t>
      </w:r>
      <w:r w:rsidRPr="00E47AA9">
        <w:rPr>
          <w:rFonts w:ascii="Times New Roman" w:hAnsi="Times New Roman"/>
          <w:sz w:val="28"/>
          <w:szCs w:val="28"/>
        </w:rPr>
        <w:t xml:space="preserve"> Приморского края низкого уровня средней заработной платы педагогических работников</w:t>
      </w:r>
      <w:r w:rsidRPr="00E47AA9">
        <w:rPr>
          <w:rFonts w:ascii="Times New Roman" w:eastAsia="Times New Roman" w:hAnsi="Times New Roman" w:cs="Times New Roman"/>
          <w:sz w:val="28"/>
          <w:szCs w:val="28"/>
          <w:lang w:eastAsia="ru-RU"/>
        </w:rPr>
        <w:t>;</w:t>
      </w:r>
    </w:p>
    <w:p w14:paraId="072175D9" w14:textId="2998FDBD" w:rsidR="008566E1" w:rsidRPr="00E47AA9" w:rsidRDefault="008566E1" w:rsidP="008566E1">
      <w:pPr>
        <w:widowControl w:val="0"/>
        <w:autoSpaceDE w:val="0"/>
        <w:autoSpaceDN w:val="0"/>
        <w:adjustRightInd w:val="0"/>
        <w:spacing w:after="0" w:line="240" w:lineRule="auto"/>
        <w:ind w:right="-3" w:firstLine="709"/>
        <w:jc w:val="both"/>
        <w:rPr>
          <w:rFonts w:ascii="Times New Roman" w:eastAsia="Times New Roman" w:hAnsi="Times New Roman" w:cs="Times New Roman"/>
          <w:sz w:val="28"/>
          <w:szCs w:val="24"/>
          <w:lang w:eastAsia="ru-RU"/>
        </w:rPr>
      </w:pPr>
      <w:r w:rsidRPr="00E47AA9">
        <w:rPr>
          <w:rFonts w:ascii="Times New Roman" w:eastAsia="Times New Roman" w:hAnsi="Times New Roman" w:cs="Times New Roman"/>
          <w:sz w:val="28"/>
          <w:szCs w:val="28"/>
          <w:lang w:eastAsia="ru-RU"/>
        </w:rPr>
        <w:t>на 97,82 %, или 1755,66 млн рублей (1794,81 млн рублей), в том числе за счет федеральных средств – 1092,10 млн рублей, или 97,50 % (1120,12 млн рублей), краевых средств – 663,56 млн рублей, или 90,05 % (674,69 млн рублей) на организацию бесплатного питания обучающихся в</w:t>
      </w:r>
      <w:r w:rsidR="007B79AB"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государственных и муниципальных образовательных организациях. В</w:t>
      </w:r>
      <w:r w:rsidRPr="00E47AA9">
        <w:rPr>
          <w:rFonts w:ascii="Times New Roman" w:hAnsi="Times New Roman" w:cs="Times New Roman"/>
          <w:sz w:val="28"/>
          <w:szCs w:val="28"/>
        </w:rPr>
        <w:t xml:space="preserve"> связи со снижением посещения детьми образовательных организаций </w:t>
      </w:r>
      <w:r w:rsidRPr="00E47AA9">
        <w:rPr>
          <w:rFonts w:ascii="Times New Roman" w:eastAsia="Times New Roman" w:hAnsi="Times New Roman" w:cs="Times New Roman"/>
          <w:sz w:val="28"/>
          <w:szCs w:val="28"/>
          <w:lang w:eastAsia="ru-RU"/>
        </w:rPr>
        <w:t>не исполнено 39,15 млн рублей (по министерству образования Приморского края)</w:t>
      </w:r>
      <w:r w:rsidRPr="00E47AA9">
        <w:rPr>
          <w:rFonts w:ascii="Times New Roman" w:eastAsia="Times New Roman" w:hAnsi="Times New Roman" w:cs="Times New Roman"/>
          <w:sz w:val="28"/>
          <w:szCs w:val="24"/>
          <w:lang w:eastAsia="ru-RU"/>
        </w:rPr>
        <w:t>;</w:t>
      </w:r>
    </w:p>
    <w:p w14:paraId="29B2B4F7" w14:textId="20701D98" w:rsidR="008566E1" w:rsidRPr="00E47AA9" w:rsidRDefault="008566E1" w:rsidP="008566E1">
      <w:pPr>
        <w:widowControl w:val="0"/>
        <w:autoSpaceDE w:val="0"/>
        <w:autoSpaceDN w:val="0"/>
        <w:adjustRightInd w:val="0"/>
        <w:spacing w:after="0" w:line="240" w:lineRule="auto"/>
        <w:ind w:right="-3"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4"/>
          <w:lang w:eastAsia="ru-RU"/>
        </w:rPr>
        <w:t xml:space="preserve">на 98,56 %, или 15,08 млн рублей (план </w:t>
      </w:r>
      <w:r w:rsidR="001D6C53" w:rsidRPr="00E47AA9">
        <w:rPr>
          <w:rFonts w:ascii="Times New Roman" w:eastAsia="Times New Roman" w:hAnsi="Times New Roman" w:cs="Times New Roman"/>
          <w:sz w:val="28"/>
          <w:szCs w:val="24"/>
          <w:lang w:eastAsia="ru-RU"/>
        </w:rPr>
        <w:t xml:space="preserve">– </w:t>
      </w:r>
      <w:r w:rsidRPr="00E47AA9">
        <w:rPr>
          <w:rFonts w:ascii="Times New Roman" w:eastAsia="Times New Roman" w:hAnsi="Times New Roman" w:cs="Times New Roman"/>
          <w:sz w:val="28"/>
          <w:szCs w:val="24"/>
          <w:lang w:eastAsia="ru-RU"/>
        </w:rPr>
        <w:t>15,30 млн рублей) – на</w:t>
      </w:r>
      <w:r w:rsidR="007B79AB" w:rsidRPr="00E47AA9">
        <w:rPr>
          <w:rFonts w:ascii="Times New Roman" w:eastAsia="Times New Roman" w:hAnsi="Times New Roman" w:cs="Times New Roman"/>
          <w:sz w:val="28"/>
          <w:szCs w:val="24"/>
          <w:lang w:eastAsia="ru-RU"/>
        </w:rPr>
        <w:t> </w:t>
      </w:r>
      <w:r w:rsidRPr="00E47AA9">
        <w:rPr>
          <w:rFonts w:ascii="Times New Roman" w:eastAsia="Times New Roman" w:hAnsi="Times New Roman" w:cs="Times New Roman"/>
          <w:sz w:val="28"/>
          <w:szCs w:val="24"/>
          <w:lang w:eastAsia="ru-RU"/>
        </w:rPr>
        <w:t>проведение мероприятий по обеспечению выплат ежемесячного денежного вознаграждения советникам директоров по воспитанию и взаимодействию с</w:t>
      </w:r>
      <w:r w:rsidR="007B79AB" w:rsidRPr="00E47AA9">
        <w:rPr>
          <w:rFonts w:ascii="Times New Roman" w:eastAsia="Times New Roman" w:hAnsi="Times New Roman" w:cs="Times New Roman"/>
          <w:sz w:val="28"/>
          <w:szCs w:val="24"/>
          <w:lang w:eastAsia="ru-RU"/>
        </w:rPr>
        <w:t> </w:t>
      </w:r>
      <w:r w:rsidRPr="00E47AA9">
        <w:rPr>
          <w:rFonts w:ascii="Times New Roman" w:eastAsia="Times New Roman" w:hAnsi="Times New Roman" w:cs="Times New Roman"/>
          <w:sz w:val="28"/>
          <w:szCs w:val="24"/>
          <w:lang w:eastAsia="ru-RU"/>
        </w:rPr>
        <w:t>детскими общественными объединениями государственных общеобразовательных организаций и профессиональных образовательных организаций Приморского края, муниципальных общеобразовательных организаций. Д</w:t>
      </w:r>
      <w:r w:rsidRPr="00E47AA9">
        <w:rPr>
          <w:rFonts w:ascii="Times New Roman" w:eastAsia="Times New Roman" w:hAnsi="Times New Roman" w:cs="Times New Roman"/>
          <w:sz w:val="28"/>
          <w:szCs w:val="28"/>
        </w:rPr>
        <w:t xml:space="preserve">ля работы и взаимодействия с детскими общественными объединениями, развития детских и молодежных движений в 75 % школ введено 417 должностей "советника директора по воспитанию", которые решают широкий спектр задач, направленных на развитие личности подростков и формирования духовных и нравственных ценностей. </w:t>
      </w:r>
    </w:p>
    <w:p w14:paraId="47D524DF" w14:textId="02FA0CD9" w:rsidR="008566E1" w:rsidRPr="00E47AA9" w:rsidRDefault="008566E1" w:rsidP="008566E1">
      <w:pPr>
        <w:widowControl w:val="0"/>
        <w:autoSpaceDE w:val="0"/>
        <w:autoSpaceDN w:val="0"/>
        <w:adjustRightInd w:val="0"/>
        <w:spacing w:after="0" w:line="240" w:lineRule="auto"/>
        <w:ind w:firstLine="709"/>
        <w:jc w:val="both"/>
        <w:rPr>
          <w:rFonts w:ascii="Times New Roman" w:hAnsi="Times New Roman"/>
          <w:sz w:val="28"/>
          <w:szCs w:val="28"/>
        </w:rPr>
      </w:pPr>
      <w:r w:rsidRPr="00E47AA9">
        <w:rPr>
          <w:rFonts w:ascii="Times New Roman" w:hAnsi="Times New Roman"/>
          <w:i/>
          <w:sz w:val="28"/>
          <w:szCs w:val="28"/>
        </w:rPr>
        <w:t xml:space="preserve">КПМ "Выявление и поддержка одаренных детей и молодежи" </w:t>
      </w:r>
      <w:r w:rsidRPr="00E47AA9">
        <w:rPr>
          <w:rFonts w:ascii="Times New Roman" w:hAnsi="Times New Roman"/>
          <w:sz w:val="28"/>
          <w:szCs w:val="28"/>
        </w:rPr>
        <w:lastRenderedPageBreak/>
        <w:t>в</w:t>
      </w:r>
      <w:r w:rsidR="007B79AB" w:rsidRPr="00E47AA9">
        <w:rPr>
          <w:rFonts w:ascii="Times New Roman" w:hAnsi="Times New Roman"/>
          <w:sz w:val="28"/>
          <w:szCs w:val="28"/>
        </w:rPr>
        <w:t> </w:t>
      </w:r>
      <w:r w:rsidRPr="00E47AA9">
        <w:rPr>
          <w:rFonts w:ascii="Times New Roman" w:hAnsi="Times New Roman"/>
          <w:sz w:val="28"/>
          <w:szCs w:val="28"/>
        </w:rPr>
        <w:t>запланированном объеме 132,46 млн рублей, в том числе:</w:t>
      </w:r>
    </w:p>
    <w:p w14:paraId="56F4613E" w14:textId="77777777" w:rsidR="008566E1" w:rsidRPr="00E47AA9" w:rsidRDefault="008566E1" w:rsidP="008566E1">
      <w:pPr>
        <w:spacing w:after="0" w:line="240" w:lineRule="auto"/>
        <w:ind w:firstLine="709"/>
        <w:jc w:val="both"/>
        <w:rPr>
          <w:sz w:val="28"/>
          <w:szCs w:val="28"/>
        </w:rPr>
      </w:pPr>
      <w:r w:rsidRPr="00E47AA9">
        <w:rPr>
          <w:rFonts w:ascii="Times New Roman" w:hAnsi="Times New Roman" w:cs="Times New Roman"/>
          <w:sz w:val="28"/>
          <w:szCs w:val="28"/>
        </w:rPr>
        <w:t>стипендии Губернатора Приморского края для 160 одаренных детей – 5,76 млн рублей;</w:t>
      </w:r>
    </w:p>
    <w:p w14:paraId="78436661" w14:textId="77777777" w:rsidR="008566E1" w:rsidRPr="00E47AA9" w:rsidRDefault="008566E1" w:rsidP="008566E1">
      <w:pPr>
        <w:spacing w:after="0" w:line="240" w:lineRule="auto"/>
        <w:ind w:firstLine="709"/>
        <w:jc w:val="both"/>
        <w:rPr>
          <w:sz w:val="28"/>
          <w:szCs w:val="28"/>
        </w:rPr>
      </w:pPr>
      <w:r w:rsidRPr="00E47AA9">
        <w:rPr>
          <w:rFonts w:ascii="Times New Roman" w:hAnsi="Times New Roman" w:cs="Times New Roman"/>
          <w:sz w:val="28"/>
          <w:szCs w:val="28"/>
        </w:rPr>
        <w:t xml:space="preserve">стипендии Губернатора Приморского края 600 студентам 11 государственных образовательных организаций высшего образования – 23,65 млн рублей. </w:t>
      </w:r>
      <w:r w:rsidRPr="00E47AA9">
        <w:rPr>
          <w:rFonts w:ascii="Times New Roman" w:hAnsi="Times New Roman" w:cs="Times New Roman"/>
          <w:bCs/>
          <w:sz w:val="28"/>
          <w:szCs w:val="28"/>
        </w:rPr>
        <w:t>Ежемесячная выплата стипендиату очной формы обучения государственных образовательных организаций высшего образования составила 5555,00 рублей;</w:t>
      </w:r>
    </w:p>
    <w:p w14:paraId="4CBB95CB" w14:textId="1821D410" w:rsidR="008566E1" w:rsidRPr="00E47AA9" w:rsidRDefault="008566E1" w:rsidP="008566E1">
      <w:pPr>
        <w:widowControl w:val="0"/>
        <w:autoSpaceDE w:val="0"/>
        <w:autoSpaceDN w:val="0"/>
        <w:adjustRightInd w:val="0"/>
        <w:spacing w:after="0" w:line="240" w:lineRule="auto"/>
        <w:ind w:right="-3" w:firstLine="709"/>
        <w:jc w:val="both"/>
        <w:rPr>
          <w:rFonts w:ascii="Times New Roman" w:hAnsi="Times New Roman" w:cs="Times New Roman"/>
          <w:sz w:val="28"/>
          <w:szCs w:val="28"/>
        </w:rPr>
      </w:pPr>
      <w:r w:rsidRPr="00E47AA9">
        <w:rPr>
          <w:rFonts w:ascii="Times New Roman" w:hAnsi="Times New Roman" w:cs="Times New Roman"/>
          <w:sz w:val="28"/>
          <w:szCs w:val="28"/>
        </w:rPr>
        <w:t>мероприятия по выявлению, обучению, поддержке и развитию одаренных детей, участию детей края в региональных, всероссийских и</w:t>
      </w:r>
      <w:r w:rsidR="007B79AB" w:rsidRPr="00E47AA9">
        <w:rPr>
          <w:rFonts w:ascii="Times New Roman" w:hAnsi="Times New Roman" w:cs="Times New Roman"/>
          <w:sz w:val="28"/>
          <w:szCs w:val="28"/>
        </w:rPr>
        <w:t> </w:t>
      </w:r>
      <w:r w:rsidRPr="00E47AA9">
        <w:rPr>
          <w:rFonts w:ascii="Times New Roman" w:hAnsi="Times New Roman" w:cs="Times New Roman"/>
          <w:sz w:val="28"/>
          <w:szCs w:val="28"/>
        </w:rPr>
        <w:t>международных конкурсах, олимпиадах, образовательных сменах – 103,05 млн рублей;</w:t>
      </w:r>
    </w:p>
    <w:p w14:paraId="536E5EA4" w14:textId="77777777" w:rsidR="008566E1" w:rsidRPr="00E47AA9" w:rsidRDefault="008566E1" w:rsidP="008566E1">
      <w:pPr>
        <w:autoSpaceDE w:val="0"/>
        <w:autoSpaceDN w:val="0"/>
        <w:adjustRightInd w:val="0"/>
        <w:spacing w:after="0" w:line="240" w:lineRule="auto"/>
        <w:ind w:firstLine="709"/>
        <w:jc w:val="both"/>
        <w:rPr>
          <w:rFonts w:ascii="PT Astra Serif" w:hAnsi="PT Astra Serif" w:cs="PT Astra Serif"/>
          <w:bCs/>
          <w:sz w:val="28"/>
          <w:szCs w:val="28"/>
        </w:rPr>
      </w:pPr>
      <w:r w:rsidRPr="00E47AA9">
        <w:rPr>
          <w:rFonts w:ascii="Times New Roman" w:eastAsia="Times New Roman" w:hAnsi="Times New Roman" w:cs="Times New Roman"/>
          <w:i/>
          <w:sz w:val="28"/>
          <w:szCs w:val="28"/>
          <w:lang w:eastAsia="ru-RU"/>
        </w:rPr>
        <w:t>КПМ "Государственное обеспечение детей-сирот и детей, оставшихся без попечения родителей"</w:t>
      </w:r>
      <w:r w:rsidRPr="00E47AA9">
        <w:rPr>
          <w:rStyle w:val="a8"/>
          <w:rFonts w:ascii="PT Astra Serif" w:hAnsi="PT Astra Serif"/>
          <w:bCs/>
          <w:sz w:val="28"/>
          <w:szCs w:val="28"/>
        </w:rPr>
        <w:footnoteReference w:id="33"/>
      </w:r>
      <w:r w:rsidRPr="00E47AA9">
        <w:rPr>
          <w:rFonts w:ascii="Times New Roman" w:eastAsia="Times New Roman" w:hAnsi="Times New Roman" w:cs="Times New Roman"/>
          <w:i/>
          <w:sz w:val="28"/>
          <w:szCs w:val="28"/>
          <w:lang w:eastAsia="ru-RU"/>
        </w:rPr>
        <w:t xml:space="preserve"> – </w:t>
      </w:r>
      <w:r w:rsidRPr="00E47AA9">
        <w:rPr>
          <w:rFonts w:ascii="Times New Roman" w:eastAsia="Times New Roman" w:hAnsi="Times New Roman" w:cs="Times New Roman"/>
          <w:sz w:val="28"/>
          <w:szCs w:val="28"/>
          <w:lang w:eastAsia="ru-RU"/>
        </w:rPr>
        <w:t xml:space="preserve">9,60 млн рублей, или </w:t>
      </w:r>
      <w:r w:rsidRPr="00E47AA9">
        <w:rPr>
          <w:rFonts w:ascii="Times New Roman" w:eastAsia="Times New Roman" w:hAnsi="Times New Roman" w:cs="Times New Roman"/>
          <w:iCs/>
          <w:sz w:val="28"/>
          <w:szCs w:val="28"/>
          <w:lang w:eastAsia="ru-RU"/>
        </w:rPr>
        <w:t xml:space="preserve">99,79 %, </w:t>
      </w:r>
      <w:r w:rsidRPr="00E47AA9">
        <w:rPr>
          <w:rFonts w:ascii="Times New Roman" w:eastAsia="Times New Roman" w:hAnsi="Times New Roman" w:cs="Times New Roman"/>
          <w:sz w:val="28"/>
          <w:szCs w:val="28"/>
          <w:lang w:eastAsia="ru-RU"/>
        </w:rPr>
        <w:t>(9,62 млн рублей</w:t>
      </w:r>
      <w:r w:rsidRPr="00E47AA9">
        <w:rPr>
          <w:rFonts w:ascii="Times New Roman" w:eastAsia="Times New Roman" w:hAnsi="Times New Roman" w:cs="Times New Roman"/>
          <w:iCs/>
          <w:sz w:val="28"/>
          <w:szCs w:val="28"/>
          <w:lang w:eastAsia="ru-RU"/>
        </w:rPr>
        <w:t xml:space="preserve">). </w:t>
      </w:r>
      <w:r w:rsidRPr="00E47AA9">
        <w:rPr>
          <w:rFonts w:cs="PT Astra Serif"/>
          <w:bCs/>
          <w:sz w:val="28"/>
          <w:szCs w:val="28"/>
        </w:rPr>
        <w:t>В</w:t>
      </w:r>
      <w:r w:rsidRPr="00E47AA9">
        <w:rPr>
          <w:rFonts w:ascii="PT Astra Serif" w:hAnsi="PT Astra Serif" w:cs="PT Astra Serif"/>
          <w:bCs/>
          <w:sz w:val="28"/>
          <w:szCs w:val="28"/>
        </w:rPr>
        <w:t xml:space="preserve"> 2024 году</w:t>
      </w:r>
      <w:r w:rsidRPr="00E47AA9">
        <w:rPr>
          <w:rFonts w:ascii="Times New Roman" w:eastAsia="Times New Roman" w:hAnsi="Times New Roman" w:cs="Times New Roman"/>
          <w:iCs/>
          <w:sz w:val="28"/>
          <w:szCs w:val="28"/>
          <w:lang w:eastAsia="ru-RU"/>
        </w:rPr>
        <w:t xml:space="preserve"> з</w:t>
      </w:r>
      <w:r w:rsidRPr="00E47AA9">
        <w:rPr>
          <w:rFonts w:ascii="PT Astra Serif" w:hAnsi="PT Astra Serif" w:cs="PT Astra Serif"/>
          <w:bCs/>
          <w:sz w:val="28"/>
          <w:szCs w:val="28"/>
        </w:rPr>
        <w:t>авершена процедура ликвидации краевого государственного казенного учреждения "Центр содействия семейному устройству детей-сирот и детей, оставшихся без попечения родителей, пгт Преображение";</w:t>
      </w:r>
    </w:p>
    <w:p w14:paraId="4C31A7DF" w14:textId="192CC1AE" w:rsidR="008566E1" w:rsidRPr="00E47AA9" w:rsidRDefault="008566E1" w:rsidP="008566E1">
      <w:pPr>
        <w:autoSpaceDE w:val="0"/>
        <w:autoSpaceDN w:val="0"/>
        <w:adjustRightInd w:val="0"/>
        <w:spacing w:after="0" w:line="240" w:lineRule="auto"/>
        <w:ind w:firstLine="709"/>
        <w:jc w:val="both"/>
        <w:rPr>
          <w:rFonts w:ascii="Times New Roman" w:eastAsia="Calibri" w:hAnsi="Times New Roman" w:cs="Times New Roman"/>
          <w:bCs/>
          <w:iCs/>
          <w:sz w:val="28"/>
          <w:szCs w:val="28"/>
          <w:lang w:eastAsia="ru-RU"/>
        </w:rPr>
      </w:pPr>
      <w:r w:rsidRPr="00E47AA9">
        <w:rPr>
          <w:rFonts w:ascii="Times New Roman" w:hAnsi="Times New Roman" w:cs="Times New Roman"/>
          <w:i/>
          <w:iCs/>
          <w:sz w:val="28"/>
          <w:szCs w:val="28"/>
        </w:rPr>
        <w:t>КПМ "Развитие инфраструктуры общеобразовательных организаций"</w:t>
      </w:r>
      <w:r w:rsidR="00721F91" w:rsidRPr="00E47AA9">
        <w:rPr>
          <w:rFonts w:ascii="Times New Roman" w:hAnsi="Times New Roman" w:cs="Times New Roman"/>
          <w:i/>
          <w:iCs/>
          <w:sz w:val="28"/>
          <w:szCs w:val="28"/>
        </w:rPr>
        <w:t> </w:t>
      </w:r>
      <w:r w:rsidRPr="00E47AA9">
        <w:rPr>
          <w:rFonts w:ascii="Times New Roman" w:eastAsia="Calibri" w:hAnsi="Times New Roman" w:cs="Times New Roman"/>
          <w:bCs/>
          <w:iCs/>
          <w:sz w:val="28"/>
          <w:szCs w:val="28"/>
          <w:lang w:eastAsia="ru-RU"/>
        </w:rPr>
        <w:t xml:space="preserve">– 1717,25 млн рублей, или 90,23 % (план </w:t>
      </w:r>
      <w:r w:rsidR="007B79AB" w:rsidRPr="00E47AA9">
        <w:rPr>
          <w:rFonts w:ascii="Times New Roman" w:eastAsia="Calibri" w:hAnsi="Times New Roman" w:cs="Times New Roman"/>
          <w:bCs/>
          <w:iCs/>
          <w:sz w:val="28"/>
          <w:szCs w:val="28"/>
          <w:lang w:eastAsia="ru-RU"/>
        </w:rPr>
        <w:t xml:space="preserve">– </w:t>
      </w:r>
      <w:r w:rsidRPr="00E47AA9">
        <w:rPr>
          <w:rFonts w:ascii="Times New Roman" w:eastAsia="Calibri" w:hAnsi="Times New Roman" w:cs="Times New Roman"/>
          <w:bCs/>
          <w:iCs/>
          <w:sz w:val="28"/>
          <w:szCs w:val="28"/>
          <w:lang w:eastAsia="ru-RU"/>
        </w:rPr>
        <w:t>1903,12 млн рублей), из</w:t>
      </w:r>
      <w:r w:rsidR="007B79AB" w:rsidRPr="00E47AA9">
        <w:rPr>
          <w:rFonts w:ascii="Times New Roman" w:eastAsia="Calibri" w:hAnsi="Times New Roman" w:cs="Times New Roman"/>
          <w:bCs/>
          <w:iCs/>
          <w:sz w:val="28"/>
          <w:szCs w:val="28"/>
          <w:lang w:eastAsia="ru-RU"/>
        </w:rPr>
        <w:t> </w:t>
      </w:r>
      <w:r w:rsidRPr="00E47AA9">
        <w:rPr>
          <w:rFonts w:ascii="Times New Roman" w:eastAsia="Calibri" w:hAnsi="Times New Roman" w:cs="Times New Roman"/>
          <w:bCs/>
          <w:iCs/>
          <w:sz w:val="28"/>
          <w:szCs w:val="28"/>
          <w:lang w:eastAsia="ru-RU"/>
        </w:rPr>
        <w:t>них:</w:t>
      </w:r>
    </w:p>
    <w:p w14:paraId="2801FE3D" w14:textId="77777777" w:rsidR="008566E1" w:rsidRPr="00E47AA9" w:rsidRDefault="008566E1" w:rsidP="008566E1">
      <w:pPr>
        <w:widowControl w:val="0"/>
        <w:spacing w:after="0" w:line="240" w:lineRule="auto"/>
        <w:ind w:firstLine="709"/>
        <w:contextualSpacing/>
        <w:jc w:val="both"/>
        <w:rPr>
          <w:rFonts w:ascii="Times New Roman" w:eastAsia="Times New Roman" w:hAnsi="Times New Roman" w:cs="Times New Roman"/>
          <w:sz w:val="28"/>
          <w:szCs w:val="24"/>
          <w:lang w:eastAsia="ru-RU"/>
        </w:rPr>
      </w:pPr>
      <w:r w:rsidRPr="00E47AA9">
        <w:rPr>
          <w:rFonts w:ascii="Times New Roman" w:eastAsia="Times New Roman" w:hAnsi="Times New Roman" w:cs="Times New Roman"/>
          <w:sz w:val="28"/>
          <w:szCs w:val="24"/>
          <w:lang w:eastAsia="ru-RU"/>
        </w:rPr>
        <w:t xml:space="preserve">в полном объеме исполнены расходы министерством образования Приморского края: </w:t>
      </w:r>
    </w:p>
    <w:p w14:paraId="6F833709" w14:textId="600D96CD" w:rsidR="008566E1" w:rsidRPr="00E47AA9" w:rsidRDefault="008566E1" w:rsidP="008566E1">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sz w:val="28"/>
          <w:szCs w:val="24"/>
          <w:lang w:eastAsia="ru-RU"/>
        </w:rPr>
        <w:t xml:space="preserve">4,90 млн рублей – на </w:t>
      </w:r>
      <w:r w:rsidRPr="00E47AA9">
        <w:rPr>
          <w:rFonts w:ascii="Times New Roman" w:hAnsi="Times New Roman" w:cs="Times New Roman"/>
          <w:sz w:val="28"/>
          <w:szCs w:val="28"/>
        </w:rPr>
        <w:t>реконструкцию теплового узла и наружной теплотрассы КГОБУ "Коррекционная школа-интернат III - IV видов" по</w:t>
      </w:r>
      <w:r w:rsidR="007B79AB" w:rsidRPr="00E47AA9">
        <w:rPr>
          <w:rFonts w:ascii="Times New Roman" w:hAnsi="Times New Roman" w:cs="Times New Roman"/>
          <w:sz w:val="28"/>
          <w:szCs w:val="28"/>
        </w:rPr>
        <w:t> </w:t>
      </w:r>
      <w:r w:rsidRPr="00E47AA9">
        <w:rPr>
          <w:rFonts w:ascii="Times New Roman" w:hAnsi="Times New Roman" w:cs="Times New Roman"/>
          <w:sz w:val="28"/>
          <w:szCs w:val="28"/>
        </w:rPr>
        <w:t>адресу: Приморский край, г. Артем, ул. Фрунзе, 4;</w:t>
      </w:r>
    </w:p>
    <w:p w14:paraId="17E33C0C" w14:textId="77777777" w:rsidR="008566E1" w:rsidRPr="00E47AA9" w:rsidRDefault="008566E1" w:rsidP="008566E1">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90,15 млн рублей – на предоставление грантов Губернатора Приморского края победителям конкурса "Обновление школьных пространств" и "Лучшие школьные столовые";</w:t>
      </w:r>
    </w:p>
    <w:p w14:paraId="038361DE" w14:textId="77777777" w:rsidR="008566E1" w:rsidRPr="00E47AA9" w:rsidRDefault="008566E1" w:rsidP="008566E1">
      <w:pPr>
        <w:widowControl w:val="0"/>
        <w:spacing w:after="0" w:line="240" w:lineRule="auto"/>
        <w:ind w:firstLine="709"/>
        <w:contextualSpacing/>
        <w:jc w:val="both"/>
        <w:rPr>
          <w:rFonts w:ascii="Times New Roman" w:eastAsia="Times New Roman" w:hAnsi="Times New Roman" w:cs="Times New Roman"/>
          <w:sz w:val="28"/>
          <w:szCs w:val="24"/>
          <w:lang w:eastAsia="ru-RU"/>
        </w:rPr>
      </w:pPr>
      <w:r w:rsidRPr="00E47AA9">
        <w:rPr>
          <w:rFonts w:ascii="Times New Roman" w:eastAsia="Times New Roman" w:hAnsi="Times New Roman" w:cs="Times New Roman"/>
          <w:sz w:val="28"/>
          <w:szCs w:val="24"/>
          <w:lang w:eastAsia="ru-RU"/>
        </w:rPr>
        <w:t xml:space="preserve">369,37 млн рублей – на реализацию мероприятий планов социального развития центров экономического роста субъектов Российской Федерации, входящих в состав Дальневосточного федерального округа, в том числе: </w:t>
      </w:r>
    </w:p>
    <w:p w14:paraId="624E3C64" w14:textId="77777777" w:rsidR="008566E1" w:rsidRPr="00E47AA9" w:rsidRDefault="008566E1" w:rsidP="008566E1">
      <w:pPr>
        <w:widowControl w:val="0"/>
        <w:spacing w:after="0" w:line="240" w:lineRule="auto"/>
        <w:ind w:firstLine="709"/>
        <w:contextualSpacing/>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4"/>
          <w:lang w:eastAsia="ru-RU"/>
        </w:rPr>
        <w:t>на приобретение и установку модульных спортивных залов: МБОУ образовательный центр "Антарес" Партизанского ГО (40,82 млн рублей), МБОУ "СОШ № 6 г. Уссурийска" (40,82 млн рублей), МБОУ "СОШ с. </w:t>
      </w:r>
      <w:proofErr w:type="spellStart"/>
      <w:r w:rsidRPr="00E47AA9">
        <w:rPr>
          <w:rFonts w:ascii="Times New Roman" w:eastAsia="Times New Roman" w:hAnsi="Times New Roman" w:cs="Times New Roman"/>
          <w:sz w:val="28"/>
          <w:szCs w:val="24"/>
          <w:lang w:eastAsia="ru-RU"/>
        </w:rPr>
        <w:t>Веденка</w:t>
      </w:r>
      <w:proofErr w:type="spellEnd"/>
      <w:r w:rsidRPr="00E47AA9">
        <w:rPr>
          <w:rFonts w:ascii="Times New Roman" w:eastAsia="Times New Roman" w:hAnsi="Times New Roman" w:cs="Times New Roman"/>
          <w:sz w:val="28"/>
          <w:szCs w:val="24"/>
          <w:lang w:eastAsia="ru-RU"/>
        </w:rPr>
        <w:t>" Дальнереченского МР (40,82 млн рублей)</w:t>
      </w:r>
      <w:r w:rsidRPr="00E47AA9">
        <w:rPr>
          <w:rFonts w:ascii="Times New Roman" w:eastAsia="Times New Roman" w:hAnsi="Times New Roman" w:cs="Times New Roman"/>
          <w:sz w:val="28"/>
          <w:szCs w:val="28"/>
          <w:lang w:eastAsia="ru-RU"/>
        </w:rPr>
        <w:t>;</w:t>
      </w:r>
    </w:p>
    <w:p w14:paraId="6E6FB1C0" w14:textId="77777777" w:rsidR="008566E1" w:rsidRPr="00E47AA9" w:rsidRDefault="008566E1" w:rsidP="008566E1">
      <w:pPr>
        <w:widowControl w:val="0"/>
        <w:spacing w:after="0" w:line="240" w:lineRule="auto"/>
        <w:ind w:firstLine="709"/>
        <w:contextualSpacing/>
        <w:jc w:val="both"/>
        <w:rPr>
          <w:rFonts w:ascii="Times New Roman" w:eastAsia="Times New Roman" w:hAnsi="Times New Roman" w:cs="Times New Roman"/>
          <w:sz w:val="28"/>
          <w:szCs w:val="24"/>
          <w:lang w:eastAsia="ru-RU"/>
        </w:rPr>
      </w:pPr>
      <w:r w:rsidRPr="00E47AA9">
        <w:rPr>
          <w:rFonts w:ascii="Times New Roman" w:eastAsia="Times New Roman" w:hAnsi="Times New Roman" w:cs="Times New Roman"/>
          <w:sz w:val="28"/>
          <w:szCs w:val="28"/>
        </w:rPr>
        <w:t>на проектирование объекта</w:t>
      </w:r>
      <w:r w:rsidRPr="00E47AA9">
        <w:rPr>
          <w:rFonts w:ascii="Times New Roman" w:eastAsia="Times New Roman" w:hAnsi="Times New Roman" w:cs="Times New Roman"/>
          <w:sz w:val="28"/>
          <w:szCs w:val="24"/>
          <w:lang w:eastAsia="ru-RU"/>
        </w:rPr>
        <w:t xml:space="preserve"> "Школа на 1125 мест в районе ул. Русская, 73д в г. Владивостоке" (246,91 млн рублей);</w:t>
      </w:r>
    </w:p>
    <w:p w14:paraId="4E030265" w14:textId="77777777" w:rsidR="008566E1" w:rsidRPr="00E47AA9" w:rsidRDefault="008566E1" w:rsidP="008566E1">
      <w:pPr>
        <w:widowControl w:val="0"/>
        <w:spacing w:after="0" w:line="240" w:lineRule="auto"/>
        <w:ind w:firstLine="709"/>
        <w:contextualSpacing/>
        <w:jc w:val="both"/>
        <w:rPr>
          <w:rFonts w:ascii="Times New Roman" w:eastAsia="Times New Roman" w:hAnsi="Times New Roman" w:cs="Times New Roman"/>
          <w:sz w:val="28"/>
          <w:szCs w:val="24"/>
          <w:lang w:eastAsia="ru-RU"/>
        </w:rPr>
      </w:pPr>
      <w:r w:rsidRPr="00E47AA9">
        <w:rPr>
          <w:rFonts w:ascii="Times New Roman" w:eastAsia="Times New Roman" w:hAnsi="Times New Roman" w:cs="Times New Roman"/>
          <w:sz w:val="28"/>
          <w:szCs w:val="24"/>
          <w:lang w:eastAsia="ru-RU"/>
        </w:rPr>
        <w:t>на 97,71 %, или 604,52 млн рублей (618,70 млн рублей)</w:t>
      </w:r>
      <w:r w:rsidR="00721F91" w:rsidRPr="00E47AA9">
        <w:rPr>
          <w:rFonts w:ascii="Times New Roman" w:eastAsia="Times New Roman" w:hAnsi="Times New Roman" w:cs="Times New Roman"/>
          <w:sz w:val="28"/>
          <w:szCs w:val="24"/>
          <w:lang w:eastAsia="ru-RU"/>
        </w:rPr>
        <w:t>,</w:t>
      </w:r>
      <w:r w:rsidRPr="00E47AA9">
        <w:rPr>
          <w:rFonts w:ascii="Times New Roman" w:eastAsia="Times New Roman" w:hAnsi="Times New Roman" w:cs="Times New Roman"/>
          <w:sz w:val="28"/>
          <w:szCs w:val="24"/>
          <w:lang w:eastAsia="ru-RU"/>
        </w:rPr>
        <w:t xml:space="preserve"> на реализацию мероприятий, источником финансового обеспечения которых являются специальные казначейские кредиты из федерального бюджета </w:t>
      </w:r>
      <w:r w:rsidRPr="00E47AA9">
        <w:rPr>
          <w:rFonts w:ascii="Times New Roman" w:hAnsi="Times New Roman" w:cs="Times New Roman"/>
          <w:snapToGrid w:val="0"/>
          <w:sz w:val="28"/>
          <w:szCs w:val="28"/>
        </w:rPr>
        <w:t xml:space="preserve">по факту представления муниципальными образованиями Приморского края </w:t>
      </w:r>
      <w:r w:rsidRPr="00E47AA9">
        <w:rPr>
          <w:rFonts w:ascii="Times New Roman" w:hAnsi="Times New Roman" w:cs="Times New Roman"/>
          <w:snapToGrid w:val="0"/>
          <w:sz w:val="28"/>
          <w:szCs w:val="28"/>
        </w:rPr>
        <w:lastRenderedPageBreak/>
        <w:t>подтверждающих документов</w:t>
      </w:r>
      <w:r w:rsidRPr="00E47AA9">
        <w:rPr>
          <w:rFonts w:ascii="Times New Roman" w:eastAsia="Times New Roman" w:hAnsi="Times New Roman" w:cs="Times New Roman"/>
          <w:sz w:val="28"/>
          <w:szCs w:val="24"/>
          <w:lang w:eastAsia="ru-RU"/>
        </w:rPr>
        <w:t xml:space="preserve">, в том числе: </w:t>
      </w:r>
    </w:p>
    <w:p w14:paraId="647FA90B" w14:textId="4F0CF2B5" w:rsidR="008566E1" w:rsidRPr="00E47AA9" w:rsidRDefault="008566E1" w:rsidP="008566E1">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 xml:space="preserve">на </w:t>
      </w:r>
      <w:r w:rsidRPr="00E47AA9">
        <w:rPr>
          <w:rFonts w:ascii="Times New Roman" w:hAnsi="Times New Roman" w:cs="Times New Roman"/>
          <w:sz w:val="28"/>
          <w:szCs w:val="28"/>
        </w:rPr>
        <w:t xml:space="preserve">капитальный ремонт зданий муниципальных общеобразовательных учреждений </w:t>
      </w:r>
      <w:r w:rsidR="0046737C" w:rsidRPr="00E47AA9">
        <w:rPr>
          <w:rFonts w:ascii="Times New Roman" w:eastAsia="Calibri" w:hAnsi="Times New Roman" w:cs="Times New Roman"/>
          <w:sz w:val="28"/>
          <w:szCs w:val="28"/>
          <w:lang w:eastAsia="ru-RU"/>
        </w:rPr>
        <w:t xml:space="preserve">на 98,83 %, или 509,38 млн рублей (514,90 млн рублей), </w:t>
      </w:r>
      <w:r w:rsidRPr="00E47AA9">
        <w:rPr>
          <w:rFonts w:ascii="Times New Roman" w:hAnsi="Times New Roman" w:cs="Times New Roman"/>
          <w:sz w:val="28"/>
          <w:szCs w:val="28"/>
        </w:rPr>
        <w:t>по</w:t>
      </w:r>
      <w:r w:rsidR="007B79AB" w:rsidRPr="00E47AA9">
        <w:rPr>
          <w:rFonts w:ascii="Times New Roman" w:hAnsi="Times New Roman" w:cs="Times New Roman"/>
          <w:sz w:val="28"/>
          <w:szCs w:val="28"/>
        </w:rPr>
        <w:t> </w:t>
      </w:r>
      <w:r w:rsidRPr="00E47AA9">
        <w:rPr>
          <w:rFonts w:ascii="Times New Roman" w:hAnsi="Times New Roman" w:cs="Times New Roman"/>
          <w:sz w:val="28"/>
          <w:szCs w:val="28"/>
        </w:rPr>
        <w:t>объекту "</w:t>
      </w:r>
      <w:r w:rsidRPr="00E47AA9">
        <w:rPr>
          <w:rFonts w:ascii="Times New Roman" w:eastAsia="Times New Roman" w:hAnsi="Times New Roman" w:cs="Times New Roman"/>
          <w:sz w:val="28"/>
          <w:szCs w:val="28"/>
        </w:rPr>
        <w:t>МБОУ СОШ № 4, г. Уссурийск" возникла экономия по контракту</w:t>
      </w:r>
      <w:r w:rsidRPr="00E47AA9">
        <w:rPr>
          <w:rFonts w:ascii="Times New Roman" w:eastAsia="Calibri" w:hAnsi="Times New Roman" w:cs="Times New Roman"/>
          <w:sz w:val="28"/>
          <w:szCs w:val="28"/>
          <w:lang w:eastAsia="ru-RU"/>
        </w:rPr>
        <w:t>;</w:t>
      </w:r>
    </w:p>
    <w:p w14:paraId="1084E85C" w14:textId="77777777" w:rsidR="008566E1" w:rsidRPr="00E47AA9" w:rsidRDefault="008566E1" w:rsidP="008566E1">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 xml:space="preserve">на </w:t>
      </w:r>
      <w:r w:rsidRPr="00E47AA9">
        <w:rPr>
          <w:rFonts w:ascii="Times New Roman" w:eastAsia="Times New Roman" w:hAnsi="Times New Roman" w:cs="Times New Roman"/>
          <w:sz w:val="28"/>
          <w:szCs w:val="28"/>
        </w:rPr>
        <w:t>проектирование школы на 1100 мест в районе Зеленый угол г.</w:t>
      </w:r>
      <w:r w:rsidR="00721F91"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 xml:space="preserve">Владивосток, ул. </w:t>
      </w:r>
      <w:proofErr w:type="spellStart"/>
      <w:r w:rsidRPr="00E47AA9">
        <w:rPr>
          <w:rFonts w:ascii="Times New Roman" w:eastAsia="Times New Roman" w:hAnsi="Times New Roman" w:cs="Times New Roman"/>
          <w:sz w:val="28"/>
          <w:szCs w:val="28"/>
        </w:rPr>
        <w:t>Нейбута</w:t>
      </w:r>
      <w:proofErr w:type="spellEnd"/>
      <w:r w:rsidRPr="00E47AA9">
        <w:rPr>
          <w:rFonts w:ascii="Times New Roman" w:eastAsia="Times New Roman" w:hAnsi="Times New Roman" w:cs="Times New Roman"/>
          <w:sz w:val="28"/>
          <w:szCs w:val="28"/>
        </w:rPr>
        <w:t>, 141</w:t>
      </w:r>
      <w:r w:rsidR="0046737C" w:rsidRPr="00E47AA9">
        <w:rPr>
          <w:rFonts w:ascii="Times New Roman" w:eastAsia="Times New Roman" w:hAnsi="Times New Roman" w:cs="Times New Roman"/>
          <w:sz w:val="28"/>
          <w:szCs w:val="28"/>
        </w:rPr>
        <w:t xml:space="preserve">, </w:t>
      </w:r>
      <w:r w:rsidR="0046737C" w:rsidRPr="00E47AA9">
        <w:rPr>
          <w:rFonts w:ascii="Times New Roman" w:eastAsia="Calibri" w:hAnsi="Times New Roman" w:cs="Times New Roman"/>
          <w:sz w:val="28"/>
          <w:szCs w:val="28"/>
          <w:lang w:eastAsia="ru-RU"/>
        </w:rPr>
        <w:t>на 91,00 %, или 87,54 млн рублей (96,21 млн рублей).</w:t>
      </w:r>
      <w:r w:rsidRPr="00E47AA9">
        <w:rPr>
          <w:rFonts w:ascii="Times New Roman" w:eastAsia="Times New Roman" w:hAnsi="Times New Roman" w:cs="Times New Roman"/>
          <w:sz w:val="28"/>
          <w:szCs w:val="28"/>
        </w:rPr>
        <w:t xml:space="preserve"> Не освоено 8,67 млн рублей </w:t>
      </w:r>
      <w:r w:rsidRPr="00E47AA9">
        <w:rPr>
          <w:rFonts w:ascii="Times New Roman" w:hAnsi="Times New Roman" w:cs="Times New Roman"/>
          <w:sz w:val="28"/>
          <w:szCs w:val="28"/>
        </w:rPr>
        <w:t>в связи с отсутствием контракта на разработку проектно-сметной документации. (контракт с ООО "НПО "СИСТЕМА" расторгнут 20.12.2024 и подрядчик включен в реестр недобросовестных поставщиков)</w:t>
      </w:r>
      <w:r w:rsidRPr="00E47AA9">
        <w:rPr>
          <w:rFonts w:ascii="Times New Roman" w:eastAsia="Calibri" w:hAnsi="Times New Roman" w:cs="Times New Roman"/>
          <w:sz w:val="28"/>
          <w:szCs w:val="28"/>
          <w:lang w:eastAsia="ru-RU"/>
        </w:rPr>
        <w:t>;</w:t>
      </w:r>
    </w:p>
    <w:p w14:paraId="55D2D156" w14:textId="77777777" w:rsidR="008566E1" w:rsidRPr="00E47AA9" w:rsidRDefault="008566E1" w:rsidP="008566E1">
      <w:pPr>
        <w:autoSpaceDE w:val="0"/>
        <w:autoSpaceDN w:val="0"/>
        <w:adjustRightInd w:val="0"/>
        <w:spacing w:after="0" w:line="240" w:lineRule="auto"/>
        <w:ind w:firstLine="709"/>
        <w:jc w:val="both"/>
        <w:rPr>
          <w:rFonts w:ascii="Times New Roman" w:hAnsi="Times New Roman" w:cs="Times New Roman"/>
          <w:snapToGrid w:val="0"/>
          <w:sz w:val="28"/>
          <w:szCs w:val="28"/>
        </w:rPr>
      </w:pPr>
      <w:r w:rsidRPr="00E47AA9">
        <w:rPr>
          <w:rFonts w:ascii="Times New Roman" w:eastAsia="Calibri" w:hAnsi="Times New Roman" w:cs="Times New Roman"/>
          <w:sz w:val="28"/>
          <w:szCs w:val="28"/>
          <w:lang w:eastAsia="ru-RU"/>
        </w:rPr>
        <w:t xml:space="preserve">на 52,01 %, или 50,52 млн рублей (97,14 млн рублей) на </w:t>
      </w:r>
      <w:r w:rsidRPr="00E47AA9">
        <w:rPr>
          <w:rFonts w:ascii="Times New Roman" w:hAnsi="Times New Roman" w:cs="Times New Roman"/>
          <w:snapToGrid w:val="0"/>
          <w:sz w:val="28"/>
          <w:szCs w:val="28"/>
        </w:rPr>
        <w:t xml:space="preserve">строительство реконструкцию и приобретение зданий муниципальных общеобразовательных организаций (объекты АИП), в том числе: </w:t>
      </w:r>
    </w:p>
    <w:p w14:paraId="13B5A7C3" w14:textId="07DCE1A1" w:rsidR="008566E1" w:rsidRPr="00E47AA9" w:rsidRDefault="008566E1" w:rsidP="008566E1">
      <w:pPr>
        <w:autoSpaceDE w:val="0"/>
        <w:autoSpaceDN w:val="0"/>
        <w:adjustRightInd w:val="0"/>
        <w:spacing w:after="0" w:line="240" w:lineRule="auto"/>
        <w:ind w:firstLine="709"/>
        <w:jc w:val="both"/>
        <w:rPr>
          <w:rFonts w:ascii="Times New Roman" w:hAnsi="Times New Roman" w:cs="Times New Roman"/>
          <w:snapToGrid w:val="0"/>
          <w:sz w:val="28"/>
          <w:szCs w:val="28"/>
        </w:rPr>
      </w:pPr>
      <w:r w:rsidRPr="00E47AA9">
        <w:rPr>
          <w:rFonts w:ascii="Times New Roman" w:hAnsi="Times New Roman" w:cs="Times New Roman"/>
          <w:sz w:val="28"/>
          <w:szCs w:val="28"/>
        </w:rPr>
        <w:t>министерством образования Приморского края – 18,02 млн рублей в</w:t>
      </w:r>
      <w:r w:rsidR="007B79AB" w:rsidRPr="00E47AA9">
        <w:rPr>
          <w:rFonts w:ascii="Times New Roman" w:hAnsi="Times New Roman" w:cs="Times New Roman"/>
          <w:sz w:val="28"/>
          <w:szCs w:val="28"/>
        </w:rPr>
        <w:t> </w:t>
      </w:r>
      <w:r w:rsidRPr="00E47AA9">
        <w:rPr>
          <w:rFonts w:ascii="Times New Roman" w:hAnsi="Times New Roman" w:cs="Times New Roman"/>
          <w:sz w:val="28"/>
          <w:szCs w:val="28"/>
        </w:rPr>
        <w:t>полном объеме</w:t>
      </w:r>
      <w:r w:rsidRPr="00E47AA9">
        <w:rPr>
          <w:rFonts w:ascii="Times New Roman" w:hAnsi="Times New Roman" w:cs="Times New Roman"/>
          <w:snapToGrid w:val="0"/>
          <w:sz w:val="28"/>
          <w:szCs w:val="28"/>
        </w:rPr>
        <w:t xml:space="preserve"> </w:t>
      </w:r>
      <w:r w:rsidRPr="00E47AA9">
        <w:rPr>
          <w:rFonts w:ascii="Times New Roman" w:hAnsi="Times New Roman" w:cs="Times New Roman"/>
          <w:sz w:val="28"/>
          <w:szCs w:val="28"/>
        </w:rPr>
        <w:t>на з</w:t>
      </w:r>
      <w:r w:rsidRPr="00E47AA9">
        <w:rPr>
          <w:rFonts w:ascii="Times New Roman" w:eastAsia="Calibri" w:hAnsi="Times New Roman" w:cs="Times New Roman"/>
          <w:sz w:val="28"/>
          <w:szCs w:val="28"/>
        </w:rPr>
        <w:t>авершение строительства общеобразовательной школы на 440 учащихся в с. Рощино Красноармейского муниципального района</w:t>
      </w:r>
      <w:r w:rsidRPr="00E47AA9">
        <w:rPr>
          <w:rFonts w:ascii="Times New Roman" w:hAnsi="Times New Roman" w:cs="Times New Roman"/>
          <w:snapToGrid w:val="0"/>
          <w:sz w:val="28"/>
          <w:szCs w:val="28"/>
        </w:rPr>
        <w:t>;</w:t>
      </w:r>
    </w:p>
    <w:p w14:paraId="3AF19D4F" w14:textId="6D377054" w:rsidR="008566E1" w:rsidRPr="00E47AA9" w:rsidRDefault="008566E1" w:rsidP="008566E1">
      <w:pPr>
        <w:autoSpaceDE w:val="0"/>
        <w:autoSpaceDN w:val="0"/>
        <w:adjustRightInd w:val="0"/>
        <w:spacing w:after="0" w:line="240" w:lineRule="auto"/>
        <w:ind w:firstLine="708"/>
        <w:jc w:val="both"/>
        <w:rPr>
          <w:rFonts w:ascii="Times New Roman" w:hAnsi="Times New Roman" w:cs="Times New Roman"/>
          <w:i/>
          <w:sz w:val="28"/>
          <w:szCs w:val="28"/>
        </w:rPr>
      </w:pPr>
      <w:r w:rsidRPr="00E47AA9">
        <w:rPr>
          <w:rFonts w:ascii="Times New Roman" w:hAnsi="Times New Roman" w:cs="Times New Roman"/>
          <w:snapToGrid w:val="0"/>
          <w:sz w:val="28"/>
          <w:szCs w:val="28"/>
        </w:rPr>
        <w:t xml:space="preserve">министерством строительства Приморского края </w:t>
      </w:r>
      <w:r w:rsidR="002571E7" w:rsidRPr="00E47AA9">
        <w:rPr>
          <w:rFonts w:ascii="Times New Roman" w:hAnsi="Times New Roman" w:cs="Times New Roman"/>
          <w:snapToGrid w:val="0"/>
          <w:sz w:val="28"/>
          <w:szCs w:val="28"/>
        </w:rPr>
        <w:t>–</w:t>
      </w:r>
      <w:r w:rsidRPr="00E47AA9">
        <w:rPr>
          <w:rFonts w:ascii="Times New Roman" w:hAnsi="Times New Roman" w:cs="Times New Roman"/>
          <w:sz w:val="28"/>
          <w:szCs w:val="28"/>
        </w:rPr>
        <w:t xml:space="preserve"> 32,50 млн рублей</w:t>
      </w:r>
      <w:r w:rsidRPr="00E47AA9">
        <w:rPr>
          <w:rFonts w:ascii="Times New Roman" w:hAnsi="Times New Roman" w:cs="Times New Roman"/>
          <w:snapToGrid w:val="0"/>
          <w:sz w:val="28"/>
          <w:szCs w:val="28"/>
        </w:rPr>
        <w:t>, или 41,08 % (79,12 млн рублей), в том числе по объектам: "</w:t>
      </w:r>
      <w:r w:rsidRPr="00E47AA9">
        <w:rPr>
          <w:rFonts w:ascii="Times New Roman" w:hAnsi="Times New Roman" w:cs="Times New Roman"/>
          <w:sz w:val="28"/>
          <w:szCs w:val="28"/>
        </w:rPr>
        <w:t>Строительство (реконструкция) школы МОБУ СОШ № 7 с. Пожарское, в том числе проектно-изыскательские работы" – 19,01 млн рублей, или 38,02 % (50,00 млн рублей), "Реконструкция муниципального бюджетного общеобразовательного учреждения "Воздвиженская общеобразовательная школа № 1" – 13,49 млн рублей в полном объеме. Н</w:t>
      </w:r>
      <w:r w:rsidRPr="00E47AA9">
        <w:rPr>
          <w:rFonts w:ascii="Times New Roman" w:hAnsi="Times New Roman" w:cs="Times New Roman"/>
          <w:snapToGrid w:val="0"/>
          <w:sz w:val="28"/>
          <w:szCs w:val="28"/>
        </w:rPr>
        <w:t xml:space="preserve">е исполнено 46,62 млн рублей, из них в полном объеме </w:t>
      </w:r>
      <w:r w:rsidRPr="00E47AA9">
        <w:rPr>
          <w:rFonts w:ascii="Times New Roman" w:hAnsi="Times New Roman" w:cs="Times New Roman"/>
          <w:sz w:val="28"/>
          <w:szCs w:val="28"/>
        </w:rPr>
        <w:t xml:space="preserve">по объектам: "Средняя общеобразовательная школа на 75 учащихся и группой дошкольного образования на 20 мест в с. </w:t>
      </w:r>
      <w:proofErr w:type="spellStart"/>
      <w:r w:rsidRPr="00E47AA9">
        <w:rPr>
          <w:rFonts w:ascii="Times New Roman" w:hAnsi="Times New Roman" w:cs="Times New Roman"/>
          <w:sz w:val="28"/>
          <w:szCs w:val="28"/>
        </w:rPr>
        <w:t>Киевка</w:t>
      </w:r>
      <w:proofErr w:type="spellEnd"/>
      <w:r w:rsidRPr="00E47AA9">
        <w:rPr>
          <w:rFonts w:ascii="Times New Roman" w:hAnsi="Times New Roman" w:cs="Times New Roman"/>
          <w:sz w:val="28"/>
          <w:szCs w:val="28"/>
        </w:rPr>
        <w:t xml:space="preserve"> </w:t>
      </w:r>
      <w:proofErr w:type="spellStart"/>
      <w:r w:rsidRPr="00E47AA9">
        <w:rPr>
          <w:rFonts w:ascii="Times New Roman" w:hAnsi="Times New Roman" w:cs="Times New Roman"/>
          <w:sz w:val="28"/>
          <w:szCs w:val="28"/>
        </w:rPr>
        <w:t>Лазовского</w:t>
      </w:r>
      <w:proofErr w:type="spellEnd"/>
      <w:r w:rsidRPr="00E47AA9">
        <w:rPr>
          <w:rFonts w:ascii="Times New Roman" w:hAnsi="Times New Roman" w:cs="Times New Roman"/>
          <w:sz w:val="28"/>
          <w:szCs w:val="28"/>
        </w:rPr>
        <w:t xml:space="preserve"> МО" при реализации проектно-изыскательских работ возник вопрос по использованию земель, находящихся в собственности Минобороны России (14,64 млн рублей); "Средняя общеобразовательная школа № 1 имени А.А. </w:t>
      </w:r>
      <w:proofErr w:type="spellStart"/>
      <w:r w:rsidRPr="00E47AA9">
        <w:rPr>
          <w:rFonts w:ascii="Times New Roman" w:hAnsi="Times New Roman" w:cs="Times New Roman"/>
          <w:sz w:val="28"/>
          <w:szCs w:val="28"/>
        </w:rPr>
        <w:t>Курбаева</w:t>
      </w:r>
      <w:proofErr w:type="spellEnd"/>
      <w:r w:rsidRPr="00E47AA9">
        <w:rPr>
          <w:rFonts w:ascii="Times New Roman" w:hAnsi="Times New Roman" w:cs="Times New Roman"/>
          <w:sz w:val="28"/>
          <w:szCs w:val="28"/>
        </w:rPr>
        <w:t xml:space="preserve"> с. Вольно-</w:t>
      </w:r>
      <w:proofErr w:type="spellStart"/>
      <w:r w:rsidRPr="00E47AA9">
        <w:rPr>
          <w:rFonts w:ascii="Times New Roman" w:hAnsi="Times New Roman" w:cs="Times New Roman"/>
          <w:sz w:val="28"/>
          <w:szCs w:val="28"/>
        </w:rPr>
        <w:t>Надеждинское</w:t>
      </w:r>
      <w:proofErr w:type="spellEnd"/>
      <w:r w:rsidRPr="00E47AA9">
        <w:rPr>
          <w:rFonts w:ascii="Times New Roman" w:hAnsi="Times New Roman" w:cs="Times New Roman"/>
          <w:sz w:val="28"/>
          <w:szCs w:val="28"/>
        </w:rPr>
        <w:t xml:space="preserve"> </w:t>
      </w:r>
      <w:proofErr w:type="spellStart"/>
      <w:r w:rsidRPr="00E47AA9">
        <w:rPr>
          <w:rFonts w:ascii="Times New Roman" w:hAnsi="Times New Roman" w:cs="Times New Roman"/>
          <w:sz w:val="28"/>
          <w:szCs w:val="28"/>
        </w:rPr>
        <w:t>Надеждинского</w:t>
      </w:r>
      <w:proofErr w:type="spellEnd"/>
      <w:r w:rsidRPr="00E47AA9">
        <w:rPr>
          <w:rFonts w:ascii="Times New Roman" w:hAnsi="Times New Roman" w:cs="Times New Roman"/>
          <w:sz w:val="28"/>
          <w:szCs w:val="28"/>
        </w:rPr>
        <w:t xml:space="preserve"> района" – 1,0 млн рублей</w:t>
      </w:r>
      <w:r w:rsidR="003E1D83" w:rsidRPr="00E47AA9">
        <w:rPr>
          <w:rFonts w:ascii="Times New Roman" w:hAnsi="Times New Roman" w:cs="Times New Roman"/>
          <w:sz w:val="28"/>
          <w:szCs w:val="28"/>
        </w:rPr>
        <w:t>.</w:t>
      </w:r>
      <w:r w:rsidR="003E1D83" w:rsidRPr="00E47AA9">
        <w:t xml:space="preserve"> </w:t>
      </w:r>
      <w:r w:rsidR="003E1D83" w:rsidRPr="00E47AA9">
        <w:rPr>
          <w:rFonts w:ascii="Times New Roman" w:hAnsi="Times New Roman" w:cs="Times New Roman"/>
          <w:i/>
          <w:sz w:val="28"/>
          <w:szCs w:val="28"/>
        </w:rPr>
        <w:t xml:space="preserve">Справочно: </w:t>
      </w:r>
      <w:r w:rsidR="005C7814" w:rsidRPr="00E47AA9">
        <w:rPr>
          <w:rFonts w:ascii="Times New Roman" w:hAnsi="Times New Roman" w:cs="Times New Roman"/>
          <w:i/>
          <w:sz w:val="28"/>
          <w:szCs w:val="28"/>
        </w:rPr>
        <w:t>в</w:t>
      </w:r>
      <w:r w:rsidR="003E1D83" w:rsidRPr="00E47AA9">
        <w:rPr>
          <w:rFonts w:ascii="Times New Roman" w:hAnsi="Times New Roman" w:cs="Times New Roman"/>
          <w:i/>
          <w:sz w:val="28"/>
          <w:szCs w:val="28"/>
        </w:rPr>
        <w:t xml:space="preserve"> октябре 2024 года шестыми изменениями в Закон № 495-КЗ в связи с переносом расходов на 2025 год исключены расходы на объекты "Строительство школы № 1 на 1275 мест в жилом районе </w:t>
      </w:r>
      <w:proofErr w:type="spellStart"/>
      <w:r w:rsidR="003E1D83" w:rsidRPr="00E47AA9">
        <w:rPr>
          <w:rFonts w:ascii="Times New Roman" w:hAnsi="Times New Roman" w:cs="Times New Roman"/>
          <w:i/>
          <w:sz w:val="28"/>
          <w:szCs w:val="28"/>
        </w:rPr>
        <w:t>Патрокл</w:t>
      </w:r>
      <w:proofErr w:type="spellEnd"/>
      <w:r w:rsidR="003E1D83" w:rsidRPr="00E47AA9">
        <w:rPr>
          <w:rFonts w:ascii="Times New Roman" w:hAnsi="Times New Roman" w:cs="Times New Roman"/>
          <w:i/>
          <w:sz w:val="28"/>
          <w:szCs w:val="28"/>
        </w:rPr>
        <w:t xml:space="preserve"> г.</w:t>
      </w:r>
      <w:r w:rsidR="005C7814" w:rsidRPr="00E47AA9">
        <w:rPr>
          <w:rFonts w:ascii="Times New Roman" w:hAnsi="Times New Roman" w:cs="Times New Roman"/>
          <w:i/>
          <w:sz w:val="28"/>
          <w:szCs w:val="28"/>
        </w:rPr>
        <w:t> </w:t>
      </w:r>
      <w:r w:rsidR="003E1D83" w:rsidRPr="00E47AA9">
        <w:rPr>
          <w:rFonts w:ascii="Times New Roman" w:hAnsi="Times New Roman" w:cs="Times New Roman"/>
          <w:i/>
          <w:sz w:val="28"/>
          <w:szCs w:val="28"/>
        </w:rPr>
        <w:t>Владивостока (271,52 млн рублей), "Реконструкция муниципального бюджетного общеобразовательного учреждения "Воздвиженская общеобразовательная школа № 1" (420,00 млн рублей);</w:t>
      </w:r>
    </w:p>
    <w:p w14:paraId="622CC5C0" w14:textId="0D8218FE" w:rsidR="008566E1" w:rsidRPr="00E47AA9" w:rsidRDefault="008566E1" w:rsidP="008566E1">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на 76,18 %, или 398,81 млн рублей (план – 523,53 млн рублей)</w:t>
      </w:r>
      <w:r w:rsidR="002571E7" w:rsidRPr="00E47AA9">
        <w:rPr>
          <w:rFonts w:ascii="Times New Roman" w:hAnsi="Times New Roman" w:cs="Times New Roman"/>
          <w:sz w:val="28"/>
          <w:szCs w:val="28"/>
        </w:rPr>
        <w:t>,</w:t>
      </w:r>
      <w:r w:rsidRPr="00E47AA9">
        <w:rPr>
          <w:rFonts w:ascii="Times New Roman" w:hAnsi="Times New Roman" w:cs="Times New Roman"/>
          <w:sz w:val="28"/>
          <w:szCs w:val="28"/>
        </w:rPr>
        <w:t xml:space="preserve"> </w:t>
      </w:r>
      <w:r w:rsidR="002571E7" w:rsidRPr="00E47AA9">
        <w:rPr>
          <w:rFonts w:ascii="Times New Roman" w:hAnsi="Times New Roman" w:cs="Times New Roman"/>
          <w:sz w:val="28"/>
          <w:szCs w:val="28"/>
        </w:rPr>
        <w:t>–</w:t>
      </w:r>
      <w:r w:rsidRPr="00E47AA9">
        <w:rPr>
          <w:rFonts w:ascii="Times New Roman" w:hAnsi="Times New Roman" w:cs="Times New Roman"/>
          <w:sz w:val="28"/>
          <w:szCs w:val="28"/>
        </w:rPr>
        <w:t xml:space="preserve"> на</w:t>
      </w:r>
      <w:r w:rsidR="007B79AB" w:rsidRPr="00E47AA9">
        <w:rPr>
          <w:rFonts w:ascii="Times New Roman" w:hAnsi="Times New Roman" w:cs="Times New Roman"/>
          <w:sz w:val="28"/>
          <w:szCs w:val="28"/>
        </w:rPr>
        <w:t> </w:t>
      </w:r>
      <w:r w:rsidRPr="00E47AA9">
        <w:rPr>
          <w:rFonts w:ascii="Times New Roman" w:hAnsi="Times New Roman" w:cs="Times New Roman"/>
          <w:sz w:val="28"/>
          <w:szCs w:val="28"/>
        </w:rPr>
        <w:t>капитальный ремонт зданий муниципальных общеобразовательных учреждений, в том числе:</w:t>
      </w:r>
    </w:p>
    <w:p w14:paraId="6AAB3FB9" w14:textId="128C1BE5" w:rsidR="008566E1" w:rsidRPr="00E47AA9" w:rsidRDefault="008566E1" w:rsidP="008566E1">
      <w:pPr>
        <w:autoSpaceDE w:val="0"/>
        <w:autoSpaceDN w:val="0"/>
        <w:adjustRightInd w:val="0"/>
        <w:spacing w:after="0" w:line="240" w:lineRule="auto"/>
        <w:ind w:firstLine="708"/>
        <w:jc w:val="both"/>
        <w:rPr>
          <w:rFonts w:ascii="Times New Roman" w:hAnsi="Times New Roman" w:cs="Times New Roman"/>
          <w:snapToGrid w:val="0"/>
          <w:sz w:val="28"/>
          <w:szCs w:val="28"/>
        </w:rPr>
      </w:pPr>
      <w:r w:rsidRPr="00E47AA9">
        <w:rPr>
          <w:rFonts w:ascii="Times New Roman" w:hAnsi="Times New Roman" w:cs="Times New Roman"/>
          <w:sz w:val="28"/>
          <w:szCs w:val="28"/>
        </w:rPr>
        <w:t xml:space="preserve">министерством образования Приморского края – 398,81 млн рублей, или 96,91 % (411,53 млн рублей) </w:t>
      </w:r>
      <w:r w:rsidRPr="00E47AA9">
        <w:rPr>
          <w:rFonts w:ascii="Times New Roman" w:hAnsi="Times New Roman" w:cs="Times New Roman"/>
          <w:snapToGrid w:val="0"/>
          <w:sz w:val="28"/>
          <w:szCs w:val="28"/>
        </w:rPr>
        <w:t xml:space="preserve">по факту представления муниципальными образованиями Приморского края подтверждающих документов). Не исполнено 12,72 млн рублей </w:t>
      </w:r>
      <w:r w:rsidRPr="00E47AA9">
        <w:rPr>
          <w:rFonts w:ascii="Times New Roman" w:eastAsia="Times New Roman" w:hAnsi="Times New Roman" w:cs="Times New Roman"/>
          <w:sz w:val="28"/>
          <w:szCs w:val="28"/>
        </w:rPr>
        <w:t xml:space="preserve">(Владивостокским ГО и Пожарским МО – соответственно 3,6 млн рублей и 2,9 млн рублей, в связи с экономией </w:t>
      </w:r>
      <w:r w:rsidRPr="00E47AA9">
        <w:rPr>
          <w:rFonts w:ascii="Times New Roman" w:eastAsia="Times New Roman" w:hAnsi="Times New Roman" w:cs="Times New Roman"/>
          <w:sz w:val="28"/>
          <w:szCs w:val="28"/>
        </w:rPr>
        <w:lastRenderedPageBreak/>
        <w:t>в</w:t>
      </w:r>
      <w:r w:rsidR="007B79AB"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 xml:space="preserve">результате проведения конкурсных процедур, Уссурийским ГО </w:t>
      </w:r>
      <w:r w:rsidR="002571E7"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6,2 млн рублей в связи с расторжением контракта в ноябре 2024 года);</w:t>
      </w:r>
    </w:p>
    <w:p w14:paraId="46B88867" w14:textId="77777777" w:rsidR="008566E1" w:rsidRPr="00E47AA9" w:rsidRDefault="008566E1" w:rsidP="008566E1">
      <w:pPr>
        <w:autoSpaceDE w:val="0"/>
        <w:autoSpaceDN w:val="0"/>
        <w:adjustRightInd w:val="0"/>
        <w:spacing w:after="0" w:line="240" w:lineRule="auto"/>
        <w:ind w:firstLine="708"/>
        <w:jc w:val="both"/>
        <w:rPr>
          <w:rFonts w:ascii="Times New Roman" w:hAnsi="Times New Roman" w:cs="Times New Roman"/>
          <w:snapToGrid w:val="0"/>
          <w:sz w:val="28"/>
          <w:szCs w:val="28"/>
        </w:rPr>
      </w:pPr>
      <w:r w:rsidRPr="00E47AA9">
        <w:rPr>
          <w:rFonts w:ascii="Times New Roman" w:hAnsi="Times New Roman" w:cs="Times New Roman"/>
          <w:snapToGrid w:val="0"/>
          <w:sz w:val="28"/>
          <w:szCs w:val="28"/>
        </w:rPr>
        <w:t>министерством строительства Приморского края</w:t>
      </w:r>
      <w:r w:rsidRPr="00E47AA9">
        <w:rPr>
          <w:rFonts w:ascii="Times New Roman" w:hAnsi="Times New Roman" w:cs="Times New Roman"/>
          <w:sz w:val="28"/>
          <w:szCs w:val="28"/>
        </w:rPr>
        <w:t xml:space="preserve"> расходы не исполнялись (112,00 млн рублей) в связи с тем, что администрацией </w:t>
      </w:r>
      <w:proofErr w:type="spellStart"/>
      <w:r w:rsidRPr="00E47AA9">
        <w:rPr>
          <w:rFonts w:ascii="Times New Roman" w:hAnsi="Times New Roman" w:cs="Times New Roman"/>
          <w:sz w:val="28"/>
          <w:szCs w:val="28"/>
        </w:rPr>
        <w:t>Надеждинского</w:t>
      </w:r>
      <w:proofErr w:type="spellEnd"/>
      <w:r w:rsidRPr="00E47AA9">
        <w:rPr>
          <w:rFonts w:ascii="Times New Roman" w:hAnsi="Times New Roman" w:cs="Times New Roman"/>
          <w:sz w:val="28"/>
          <w:szCs w:val="28"/>
        </w:rPr>
        <w:t xml:space="preserve"> МР принято решение о необходимости реконструкции вместо капитального ремонта здания средней общеобразовательной школы № 1 имени А.А. </w:t>
      </w:r>
      <w:proofErr w:type="spellStart"/>
      <w:r w:rsidRPr="00E47AA9">
        <w:rPr>
          <w:rFonts w:ascii="Times New Roman" w:hAnsi="Times New Roman" w:cs="Times New Roman"/>
          <w:sz w:val="28"/>
          <w:szCs w:val="28"/>
        </w:rPr>
        <w:t>Курбаева</w:t>
      </w:r>
      <w:proofErr w:type="spellEnd"/>
      <w:r w:rsidRPr="00E47AA9">
        <w:rPr>
          <w:rFonts w:ascii="Times New Roman" w:hAnsi="Times New Roman" w:cs="Times New Roman"/>
          <w:sz w:val="28"/>
          <w:szCs w:val="28"/>
        </w:rPr>
        <w:t xml:space="preserve"> в с. Вольно-</w:t>
      </w:r>
      <w:proofErr w:type="spellStart"/>
      <w:r w:rsidRPr="00E47AA9">
        <w:rPr>
          <w:rFonts w:ascii="Times New Roman" w:hAnsi="Times New Roman" w:cs="Times New Roman"/>
          <w:sz w:val="28"/>
          <w:szCs w:val="28"/>
        </w:rPr>
        <w:t>Надеждинское</w:t>
      </w:r>
      <w:proofErr w:type="spellEnd"/>
      <w:r w:rsidRPr="00E47AA9">
        <w:rPr>
          <w:rFonts w:ascii="Times New Roman" w:hAnsi="Times New Roman" w:cs="Times New Roman"/>
          <w:sz w:val="28"/>
          <w:szCs w:val="28"/>
        </w:rPr>
        <w:t xml:space="preserve"> </w:t>
      </w:r>
      <w:proofErr w:type="spellStart"/>
      <w:r w:rsidRPr="00E47AA9">
        <w:rPr>
          <w:rFonts w:ascii="Times New Roman" w:hAnsi="Times New Roman" w:cs="Times New Roman"/>
          <w:sz w:val="28"/>
          <w:szCs w:val="28"/>
        </w:rPr>
        <w:t>Надеждинского</w:t>
      </w:r>
      <w:proofErr w:type="spellEnd"/>
      <w:r w:rsidRPr="00E47AA9">
        <w:rPr>
          <w:rFonts w:ascii="Times New Roman" w:hAnsi="Times New Roman" w:cs="Times New Roman"/>
          <w:sz w:val="28"/>
          <w:szCs w:val="28"/>
        </w:rPr>
        <w:t xml:space="preserve"> района.</w:t>
      </w:r>
    </w:p>
    <w:p w14:paraId="3055BC59" w14:textId="77777777" w:rsidR="008566E1" w:rsidRPr="00E47AA9" w:rsidRDefault="008566E1" w:rsidP="008566E1">
      <w:pPr>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 xml:space="preserve">Подпрограмма "Развитие дополнительного образования детей и реализация мероприятий молодежной политики" </w:t>
      </w:r>
    </w:p>
    <w:p w14:paraId="64276F82" w14:textId="77777777" w:rsidR="008566E1" w:rsidRPr="00E47AA9" w:rsidRDefault="008566E1" w:rsidP="008566E1">
      <w:pPr>
        <w:tabs>
          <w:tab w:val="left" w:pos="0"/>
        </w:tabs>
        <w:spacing w:after="0" w:line="240" w:lineRule="auto"/>
        <w:ind w:right="-3" w:firstLine="709"/>
        <w:jc w:val="both"/>
        <w:rPr>
          <w:rFonts w:ascii="Times New Roman" w:eastAsia="Times New Roman" w:hAnsi="Times New Roman" w:cs="Times New Roman"/>
          <w:sz w:val="28"/>
          <w:szCs w:val="28"/>
          <w:lang w:eastAsia="ru-RU"/>
        </w:rPr>
      </w:pPr>
      <w:r w:rsidRPr="00E47AA9">
        <w:rPr>
          <w:rFonts w:ascii="Times New Roman" w:hAnsi="Times New Roman" w:cs="Times New Roman"/>
          <w:sz w:val="28"/>
          <w:szCs w:val="28"/>
        </w:rPr>
        <w:t>По</w:t>
      </w:r>
      <w:r w:rsidRPr="00E47AA9">
        <w:rPr>
          <w:rFonts w:ascii="Times New Roman" w:hAnsi="Times New Roman" w:cs="Times New Roman"/>
          <w:i/>
          <w:sz w:val="28"/>
          <w:szCs w:val="28"/>
        </w:rPr>
        <w:t xml:space="preserve"> КПМ "Реализация дополнительных общеобразовательных программ и обеспечение условий их предоставления" </w:t>
      </w:r>
      <w:r w:rsidRPr="00E47AA9">
        <w:rPr>
          <w:rFonts w:ascii="Times New Roman" w:hAnsi="Times New Roman" w:cs="Times New Roman"/>
          <w:sz w:val="28"/>
          <w:szCs w:val="28"/>
        </w:rPr>
        <w:t>исполнение составило</w:t>
      </w:r>
      <w:r w:rsidRPr="00E47AA9">
        <w:rPr>
          <w:rFonts w:ascii="Times New Roman" w:hAnsi="Times New Roman" w:cs="Times New Roman"/>
          <w:i/>
          <w:sz w:val="28"/>
          <w:szCs w:val="28"/>
        </w:rPr>
        <w:t xml:space="preserve"> </w:t>
      </w:r>
      <w:r w:rsidRPr="00E47AA9">
        <w:rPr>
          <w:rFonts w:ascii="Times New Roman" w:eastAsia="Times New Roman" w:hAnsi="Times New Roman" w:cs="Times New Roman"/>
          <w:sz w:val="28"/>
          <w:szCs w:val="28"/>
          <w:lang w:eastAsia="ru-RU"/>
        </w:rPr>
        <w:t xml:space="preserve">339,91 млн рублей, или в полном объеме плановых назначений, из них: </w:t>
      </w:r>
    </w:p>
    <w:p w14:paraId="57EDAB83" w14:textId="2A812349"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sz w:val="28"/>
          <w:szCs w:val="28"/>
          <w:lang w:val="x-none" w:eastAsia="ru-RU"/>
        </w:rPr>
        <w:t>предоставление дополнительного образования детям и организации мероприятий краевыми государственными учреждениями</w:t>
      </w:r>
      <w:r w:rsidRPr="00E47AA9">
        <w:rPr>
          <w:rFonts w:ascii="Times New Roman" w:eastAsia="Calibri" w:hAnsi="Times New Roman" w:cs="Times New Roman"/>
          <w:sz w:val="28"/>
          <w:szCs w:val="28"/>
          <w:lang w:eastAsia="ru-RU"/>
        </w:rPr>
        <w:t xml:space="preserve"> – </w:t>
      </w:r>
      <w:r w:rsidRPr="00E47AA9">
        <w:rPr>
          <w:rFonts w:ascii="Times New Roman" w:eastAsia="Times New Roman" w:hAnsi="Times New Roman" w:cs="Times New Roman"/>
          <w:sz w:val="28"/>
          <w:szCs w:val="28"/>
          <w:lang w:eastAsia="ru-RU"/>
        </w:rPr>
        <w:t xml:space="preserve">274,94 млн рублей. </w:t>
      </w:r>
      <w:r w:rsidRPr="00E47AA9">
        <w:rPr>
          <w:rFonts w:ascii="Times New Roman" w:eastAsia="Calibri" w:hAnsi="Times New Roman" w:cs="Times New Roman"/>
          <w:sz w:val="28"/>
          <w:szCs w:val="28"/>
          <w:lang w:eastAsia="ru-RU"/>
        </w:rPr>
        <w:t xml:space="preserve">Средства направлены на обеспечение государственного задания КГАУ ДО "Региональный модельный центр Приморского края" (далее </w:t>
      </w:r>
      <w:r w:rsidR="007B79AB" w:rsidRPr="00E47AA9">
        <w:rPr>
          <w:rFonts w:ascii="Times New Roman" w:eastAsia="Calibri" w:hAnsi="Times New Roman" w:cs="Times New Roman"/>
          <w:sz w:val="28"/>
          <w:szCs w:val="28"/>
          <w:lang w:eastAsia="ru-RU"/>
        </w:rPr>
        <w:t>–</w:t>
      </w:r>
      <w:r w:rsidRPr="00E47AA9">
        <w:rPr>
          <w:rFonts w:ascii="Times New Roman" w:eastAsia="Calibri" w:hAnsi="Times New Roman" w:cs="Times New Roman"/>
          <w:sz w:val="28"/>
          <w:szCs w:val="28"/>
          <w:lang w:eastAsia="ru-RU"/>
        </w:rPr>
        <w:t xml:space="preserve"> </w:t>
      </w:r>
      <w:r w:rsidRPr="00E47AA9">
        <w:rPr>
          <w:rFonts w:ascii="Times New Roman" w:hAnsi="Times New Roman" w:cs="Times New Roman"/>
          <w:sz w:val="28"/>
          <w:szCs w:val="28"/>
        </w:rPr>
        <w:t>КГАУ ДО "РМЦ")</w:t>
      </w:r>
      <w:r w:rsidRPr="00E47AA9">
        <w:rPr>
          <w:rFonts w:ascii="Times New Roman" w:eastAsia="Calibri" w:hAnsi="Times New Roman" w:cs="Times New Roman"/>
          <w:sz w:val="28"/>
          <w:szCs w:val="28"/>
          <w:lang w:eastAsia="ru-RU"/>
        </w:rPr>
        <w:t xml:space="preserve">, которое </w:t>
      </w:r>
      <w:r w:rsidRPr="00E47AA9">
        <w:rPr>
          <w:rFonts w:ascii="Times New Roman" w:eastAsia="Times New Roman" w:hAnsi="Times New Roman" w:cs="Times New Roman"/>
          <w:sz w:val="28"/>
          <w:szCs w:val="24"/>
          <w:lang w:eastAsia="ru-RU"/>
        </w:rPr>
        <w:t>оказывает услугу по четырем направленностям: техническая, художественная, туристско-краеведческая, социально-педагогическая</w:t>
      </w:r>
      <w:r w:rsidRPr="00E47AA9">
        <w:rPr>
          <w:rFonts w:ascii="Times New Roman" w:eastAsia="Times New Roman" w:hAnsi="Times New Roman" w:cs="Times New Roman"/>
          <w:sz w:val="28"/>
          <w:szCs w:val="28"/>
          <w:lang w:eastAsia="ru-RU"/>
        </w:rPr>
        <w:t>. Показатель "</w:t>
      </w:r>
      <w:r w:rsidRPr="00E47AA9">
        <w:rPr>
          <w:rFonts w:ascii="Times New Roman" w:hAnsi="Times New Roman" w:cs="Times New Roman"/>
          <w:sz w:val="28"/>
          <w:szCs w:val="28"/>
        </w:rPr>
        <w:t>Доля детей в возрасте от 5 до 18 лет, охваченных дополнительным образованием" составил 85,3 % при плановом значении в</w:t>
      </w:r>
      <w:r w:rsidR="007B79AB" w:rsidRPr="00E47AA9">
        <w:rPr>
          <w:rFonts w:ascii="Times New Roman" w:hAnsi="Times New Roman" w:cs="Times New Roman"/>
          <w:sz w:val="28"/>
          <w:szCs w:val="28"/>
        </w:rPr>
        <w:t> </w:t>
      </w:r>
      <w:r w:rsidRPr="00E47AA9">
        <w:rPr>
          <w:rFonts w:ascii="Times New Roman" w:hAnsi="Times New Roman" w:cs="Times New Roman"/>
          <w:sz w:val="28"/>
          <w:szCs w:val="28"/>
        </w:rPr>
        <w:t>79,3 % (уровень достижения составил 107,6</w:t>
      </w:r>
      <w:r w:rsidR="002571E7"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 </w:t>
      </w:r>
      <w:r w:rsidRPr="00E47AA9">
        <w:rPr>
          <w:rFonts w:ascii="Times New Roman" w:eastAsia="Times New Roman" w:hAnsi="Times New Roman" w:cs="Times New Roman"/>
          <w:sz w:val="28"/>
          <w:szCs w:val="28"/>
          <w:lang w:eastAsia="ru-RU"/>
        </w:rPr>
        <w:t>П</w:t>
      </w:r>
      <w:r w:rsidRPr="00E47AA9">
        <w:rPr>
          <w:rFonts w:ascii="Times New Roman" w:eastAsia="Times New Roman" w:hAnsi="Times New Roman" w:cs="Times New Roman"/>
          <w:sz w:val="28"/>
          <w:szCs w:val="24"/>
          <w:lang w:eastAsia="ru-RU"/>
        </w:rPr>
        <w:t xml:space="preserve">араметры заработной платы </w:t>
      </w:r>
      <w:r w:rsidRPr="00E47AA9">
        <w:rPr>
          <w:rFonts w:ascii="Times New Roman" w:eastAsia="Times New Roman" w:hAnsi="Times New Roman" w:cs="Times New Roman"/>
          <w:sz w:val="28"/>
          <w:szCs w:val="28"/>
          <w:lang w:eastAsia="ru-RU"/>
        </w:rPr>
        <w:t>педагогических работников учреждений дополнительного образования</w:t>
      </w:r>
      <w:r w:rsidRPr="00E47AA9">
        <w:rPr>
          <w:rFonts w:ascii="Times New Roman" w:eastAsia="Times New Roman" w:hAnsi="Times New Roman" w:cs="Times New Roman"/>
          <w:sz w:val="28"/>
          <w:szCs w:val="24"/>
          <w:lang w:eastAsia="ru-RU"/>
        </w:rPr>
        <w:t xml:space="preserve"> </w:t>
      </w:r>
      <w:r w:rsidRPr="00E47AA9">
        <w:rPr>
          <w:rFonts w:ascii="Times New Roman" w:eastAsia="Times New Roman" w:hAnsi="Times New Roman" w:cs="Times New Roman"/>
          <w:sz w:val="28"/>
          <w:szCs w:val="28"/>
          <w:lang w:eastAsia="ru-RU"/>
        </w:rPr>
        <w:t>в соответствии с планом мероприятий ("дорожной картой") на 2024 год запланированы на уровне среднемесячной заработной платы учителей по региону (целевой показатель на 2024 год – 67492,80 рублей, фактически сложился в размере 71924,1 рублей, или 106,60 %);</w:t>
      </w:r>
    </w:p>
    <w:p w14:paraId="53D99FE6"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реализацию мероприятий, источником финансового обеспечения которых являются специальные казначейские кредиты из федерального бюджета (капитальный ремонт зданий муниципальных учреждений дополнительного образования) – 37,28 млн рублей;</w:t>
      </w:r>
    </w:p>
    <w:p w14:paraId="5ED81631"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обеспечение образовательных программ учреждений общего и дополнительного образования Приморского края оборудованием для внедрения беспилотных авиационных систем – 25,00 млн рублей;</w:t>
      </w:r>
    </w:p>
    <w:p w14:paraId="22D83543" w14:textId="77777777" w:rsidR="008566E1" w:rsidRPr="00E47AA9" w:rsidRDefault="008566E1" w:rsidP="008566E1">
      <w:pPr>
        <w:spacing w:after="0" w:line="240" w:lineRule="auto"/>
        <w:ind w:firstLine="709"/>
        <w:jc w:val="both"/>
        <w:rPr>
          <w:sz w:val="28"/>
          <w:szCs w:val="28"/>
        </w:rPr>
      </w:pPr>
      <w:r w:rsidRPr="00E47AA9">
        <w:rPr>
          <w:rFonts w:ascii="Times New Roman" w:eastAsia="Times New Roman" w:hAnsi="Times New Roman" w:cs="Times New Roman"/>
          <w:sz w:val="28"/>
          <w:szCs w:val="28"/>
          <w:lang w:eastAsia="ru-RU"/>
        </w:rPr>
        <w:t>на развитие инфраструктуры и мероприятия, направленные на повышение защищенности краевых государственных учреждений, осуществляющих программы дополнительного образования детей – 1,39 млн рублей. В 2024 году расходы направлены на краевую профильную смену "Край Профессионалов" (14</w:t>
      </w:r>
      <w:r w:rsidR="002571E7" w:rsidRPr="00E47AA9">
        <w:rPr>
          <w:rFonts w:ascii="Times New Roman" w:eastAsia="Times New Roman" w:hAnsi="Times New Roman" w:cs="Times New Roman"/>
          <w:sz w:val="28"/>
          <w:szCs w:val="28"/>
          <w:lang w:eastAsia="ru-RU"/>
        </w:rPr>
        <w:t xml:space="preserve"> – </w:t>
      </w:r>
      <w:r w:rsidRPr="00E47AA9">
        <w:rPr>
          <w:rFonts w:ascii="Times New Roman" w:eastAsia="Times New Roman" w:hAnsi="Times New Roman" w:cs="Times New Roman"/>
          <w:sz w:val="28"/>
          <w:szCs w:val="28"/>
          <w:lang w:eastAsia="ru-RU"/>
        </w:rPr>
        <w:t>17 лет);</w:t>
      </w:r>
      <w:r w:rsidRPr="00E47AA9">
        <w:rPr>
          <w:rFonts w:ascii="Times New Roman" w:eastAsia="Calibri" w:hAnsi="Times New Roman" w:cs="Times New Roman"/>
          <w:bCs/>
          <w:sz w:val="28"/>
          <w:szCs w:val="28"/>
        </w:rPr>
        <w:t xml:space="preserve"> </w:t>
      </w:r>
    </w:p>
    <w:p w14:paraId="5B800E8D" w14:textId="77777777" w:rsidR="008566E1" w:rsidRPr="00E47AA9" w:rsidRDefault="008566E1" w:rsidP="008566E1">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 xml:space="preserve">По </w:t>
      </w:r>
      <w:r w:rsidRPr="00E47AA9">
        <w:rPr>
          <w:rFonts w:ascii="Times New Roman" w:hAnsi="Times New Roman" w:cs="Times New Roman"/>
          <w:i/>
          <w:sz w:val="28"/>
          <w:szCs w:val="28"/>
        </w:rPr>
        <w:t>КПМ</w:t>
      </w:r>
      <w:r w:rsidRPr="00E47AA9">
        <w:rPr>
          <w:rFonts w:ascii="Times New Roman" w:hAnsi="Times New Roman" w:cs="Times New Roman"/>
          <w:sz w:val="28"/>
          <w:szCs w:val="28"/>
        </w:rPr>
        <w:t xml:space="preserve"> "</w:t>
      </w:r>
      <w:r w:rsidRPr="00E47AA9">
        <w:rPr>
          <w:rFonts w:ascii="Times New Roman" w:hAnsi="Times New Roman" w:cs="Times New Roman"/>
          <w:i/>
          <w:sz w:val="28"/>
          <w:szCs w:val="28"/>
        </w:rPr>
        <w:t>Социальная поддержка, направленная на повышение доступности услуг, предоставляемых организациями отдыха и оздоровления детей"</w:t>
      </w:r>
      <w:r w:rsidRPr="00E47AA9">
        <w:rPr>
          <w:rFonts w:ascii="Times New Roman" w:hAnsi="Times New Roman" w:cs="Times New Roman"/>
          <w:sz w:val="28"/>
          <w:szCs w:val="28"/>
        </w:rPr>
        <w:t xml:space="preserve"> </w:t>
      </w:r>
      <w:r w:rsidRPr="00E47AA9">
        <w:rPr>
          <w:rFonts w:ascii="Times New Roman" w:eastAsia="Times New Roman" w:hAnsi="Times New Roman" w:cs="Times New Roman"/>
          <w:sz w:val="28"/>
          <w:szCs w:val="28"/>
          <w:lang w:eastAsia="ru-RU"/>
        </w:rPr>
        <w:t>направлено 444,82 млн рублей, или 97,53 % бюджетных назначений (456,10 млн рублей), из них:</w:t>
      </w:r>
    </w:p>
    <w:p w14:paraId="5ABB0E70" w14:textId="77777777" w:rsidR="008566E1" w:rsidRPr="00E47AA9" w:rsidRDefault="008566E1" w:rsidP="008566E1">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 xml:space="preserve">в запланированном объеме: </w:t>
      </w:r>
    </w:p>
    <w:p w14:paraId="5525C903" w14:textId="77777777" w:rsidR="008566E1" w:rsidRPr="00E47AA9" w:rsidRDefault="008566E1" w:rsidP="008566E1">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lastRenderedPageBreak/>
        <w:t xml:space="preserve">18,79 млн рублей на повышение защищенности ГАУ ДПО ПКИРО и КГАУ ДО РМЦ путем установления охранных систем и выполнения иных мероприятий; </w:t>
      </w:r>
    </w:p>
    <w:p w14:paraId="259D4844" w14:textId="77777777" w:rsidR="008566E1" w:rsidRPr="00E47AA9" w:rsidRDefault="008566E1" w:rsidP="008566E1">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 xml:space="preserve">15,78 млн рублей – на реализацию мероприятий, направленных на создание современной инфраструктуры для отдыха детей и их оздоровления путем возведения некапитальных строений, сооружений (быстровозводимых конструкций), а также при проведении капитального ремонта объектов инфраструктуры организаций отдыха детей и их оздоровления; </w:t>
      </w:r>
    </w:p>
    <w:p w14:paraId="1DEA19D1" w14:textId="77777777" w:rsidR="008566E1" w:rsidRPr="00E47AA9" w:rsidRDefault="008566E1" w:rsidP="008566E1">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85,02 млн рублей </w:t>
      </w:r>
      <w:r w:rsidR="002571E7" w:rsidRPr="00E47AA9">
        <w:rPr>
          <w:rFonts w:ascii="Times New Roman" w:hAnsi="Times New Roman" w:cs="Times New Roman"/>
          <w:sz w:val="28"/>
          <w:szCs w:val="28"/>
        </w:rPr>
        <w:t>–</w:t>
      </w:r>
      <w:r w:rsidRPr="00E47AA9">
        <w:rPr>
          <w:rFonts w:ascii="Times New Roman" w:hAnsi="Times New Roman" w:cs="Times New Roman"/>
          <w:sz w:val="28"/>
          <w:szCs w:val="28"/>
        </w:rPr>
        <w:t xml:space="preserve"> на обеспечение деятельности (оказание услуг, выполнение работ) краевых государственных учреждений. В 2024 году организован отдых в ДОЛ "Юнга", в рамках выполнения государственного задания отдохнуло 1013 детей, </w:t>
      </w:r>
      <w:r w:rsidRPr="00E47AA9">
        <w:rPr>
          <w:rFonts w:ascii="Times New Roman" w:hAnsi="Times New Roman"/>
          <w:sz w:val="28"/>
          <w:szCs w:val="28"/>
        </w:rPr>
        <w:t>в том числе 150 детей и подростков, нуждающихся в психолого-педагогическом и ином специальном сопровождении, получили путевки в летние лагеря в 2024 году</w:t>
      </w:r>
      <w:r w:rsidRPr="00E47AA9">
        <w:rPr>
          <w:rFonts w:ascii="Times New Roman" w:hAnsi="Times New Roman" w:cs="Times New Roman"/>
          <w:sz w:val="28"/>
          <w:szCs w:val="28"/>
        </w:rPr>
        <w:t>;</w:t>
      </w:r>
    </w:p>
    <w:p w14:paraId="38ED3AD9" w14:textId="4E6972EC" w:rsidR="008566E1" w:rsidRPr="00E47AA9" w:rsidRDefault="008566E1" w:rsidP="008566E1">
      <w:pPr>
        <w:autoSpaceDE w:val="0"/>
        <w:autoSpaceDN w:val="0"/>
        <w:adjustRightInd w:val="0"/>
        <w:spacing w:after="0" w:line="240" w:lineRule="auto"/>
        <w:ind w:firstLine="708"/>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на 99,02 %, или 278,08 млн рублей (280,82 млн рублей)</w:t>
      </w:r>
      <w:r w:rsidR="002571E7" w:rsidRPr="00E47AA9">
        <w:rPr>
          <w:rFonts w:ascii="Times New Roman" w:eastAsia="Calibri" w:hAnsi="Times New Roman" w:cs="Times New Roman"/>
          <w:sz w:val="28"/>
          <w:szCs w:val="28"/>
          <w:lang w:eastAsia="ru-RU"/>
        </w:rPr>
        <w:t>,</w:t>
      </w:r>
      <w:r w:rsidRPr="00E47AA9">
        <w:rPr>
          <w:rFonts w:ascii="Times New Roman" w:eastAsia="Calibri" w:hAnsi="Times New Roman" w:cs="Times New Roman"/>
          <w:sz w:val="28"/>
          <w:szCs w:val="28"/>
          <w:lang w:eastAsia="ru-RU"/>
        </w:rPr>
        <w:t xml:space="preserve"> </w:t>
      </w:r>
      <w:r w:rsidR="002571E7" w:rsidRPr="00E47AA9">
        <w:rPr>
          <w:rFonts w:ascii="Times New Roman" w:eastAsia="Calibri" w:hAnsi="Times New Roman" w:cs="Times New Roman"/>
          <w:sz w:val="28"/>
          <w:szCs w:val="28"/>
          <w:lang w:eastAsia="ru-RU"/>
        </w:rPr>
        <w:t>–</w:t>
      </w:r>
      <w:r w:rsidRPr="00E47AA9">
        <w:rPr>
          <w:rFonts w:ascii="Times New Roman" w:eastAsia="Calibri" w:hAnsi="Times New Roman" w:cs="Times New Roman"/>
          <w:sz w:val="28"/>
          <w:szCs w:val="28"/>
          <w:lang w:eastAsia="ru-RU"/>
        </w:rPr>
        <w:t xml:space="preserve"> субвенции на организацию и обеспечение оздоровления и отдыха детей Приморского края (за исключением организации отдыха детей в каникулярное время) в</w:t>
      </w:r>
      <w:r w:rsidR="007B79AB" w:rsidRPr="00E47AA9">
        <w:rPr>
          <w:rFonts w:ascii="Times New Roman" w:eastAsia="Calibri" w:hAnsi="Times New Roman" w:cs="Times New Roman"/>
          <w:sz w:val="28"/>
          <w:szCs w:val="28"/>
          <w:lang w:eastAsia="ru-RU"/>
        </w:rPr>
        <w:t> </w:t>
      </w:r>
      <w:r w:rsidRPr="00E47AA9">
        <w:rPr>
          <w:rFonts w:ascii="Times New Roman" w:eastAsia="Calibri" w:hAnsi="Times New Roman" w:cs="Times New Roman"/>
          <w:sz w:val="28"/>
          <w:szCs w:val="28"/>
          <w:lang w:eastAsia="ru-RU"/>
        </w:rPr>
        <w:t>соответствии с заявками муниципальных администраций;</w:t>
      </w:r>
    </w:p>
    <w:p w14:paraId="7FF75B17" w14:textId="19FF2A83" w:rsidR="008566E1" w:rsidRPr="00E47AA9" w:rsidRDefault="008566E1" w:rsidP="008566E1">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на 84,67 %, или 47,15 млн рублей (55,69 млн рублей)</w:t>
      </w:r>
      <w:r w:rsidR="002571E7" w:rsidRPr="00E47AA9">
        <w:rPr>
          <w:rFonts w:ascii="Times New Roman" w:hAnsi="Times New Roman" w:cs="Times New Roman"/>
          <w:sz w:val="28"/>
          <w:szCs w:val="28"/>
        </w:rPr>
        <w:t>,</w:t>
      </w:r>
      <w:r w:rsidRPr="00E47AA9">
        <w:rPr>
          <w:rFonts w:ascii="Times New Roman" w:hAnsi="Times New Roman" w:cs="Times New Roman"/>
          <w:sz w:val="28"/>
          <w:szCs w:val="28"/>
        </w:rPr>
        <w:t xml:space="preserve"> – на капитальный ремонт оздоровительных лагерей, находящихся в собственности муниципальных образований Приморского края. Не исполнено 8,53 млн рублей, что связано с экономией, сложившейся в Уссурийском ГО и</w:t>
      </w:r>
      <w:r w:rsidR="007B79AB" w:rsidRPr="00E47AA9">
        <w:rPr>
          <w:rFonts w:ascii="Times New Roman" w:hAnsi="Times New Roman" w:cs="Times New Roman"/>
          <w:sz w:val="28"/>
          <w:szCs w:val="28"/>
        </w:rPr>
        <w:t> </w:t>
      </w:r>
      <w:r w:rsidRPr="00E47AA9">
        <w:rPr>
          <w:rFonts w:ascii="Times New Roman" w:hAnsi="Times New Roman" w:cs="Times New Roman"/>
          <w:sz w:val="28"/>
          <w:szCs w:val="28"/>
        </w:rPr>
        <w:t>расторжением контракта с подрядной организацией в Находкинском ГО.</w:t>
      </w:r>
    </w:p>
    <w:p w14:paraId="4F6E6D67" w14:textId="334679D5" w:rsidR="008566E1" w:rsidRPr="00E47AA9" w:rsidRDefault="008566E1" w:rsidP="008566E1">
      <w:pPr>
        <w:autoSpaceDE w:val="0"/>
        <w:autoSpaceDN w:val="0"/>
        <w:adjustRightInd w:val="0"/>
        <w:spacing w:after="0" w:line="240" w:lineRule="auto"/>
        <w:ind w:firstLine="708"/>
        <w:jc w:val="both"/>
        <w:rPr>
          <w:rFonts w:ascii="Times New Roman" w:eastAsia="Calibri"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На </w:t>
      </w:r>
      <w:r w:rsidR="00DF277C" w:rsidRPr="00E47AA9">
        <w:rPr>
          <w:rFonts w:ascii="Times New Roman" w:hAnsi="Times New Roman" w:cs="Times New Roman"/>
          <w:i/>
          <w:sz w:val="28"/>
          <w:szCs w:val="28"/>
        </w:rPr>
        <w:t>КПМ</w:t>
      </w:r>
      <w:r w:rsidRPr="00E47AA9">
        <w:rPr>
          <w:rFonts w:ascii="Times New Roman" w:hAnsi="Times New Roman" w:cs="Times New Roman"/>
          <w:i/>
          <w:sz w:val="28"/>
          <w:szCs w:val="28"/>
        </w:rPr>
        <w:t xml:space="preserve"> </w:t>
      </w:r>
      <w:r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i/>
          <w:sz w:val="28"/>
          <w:szCs w:val="28"/>
          <w:lang w:eastAsia="ru-RU"/>
        </w:rPr>
        <w:t>Р</w:t>
      </w:r>
      <w:r w:rsidRPr="00E47AA9">
        <w:rPr>
          <w:rFonts w:ascii="Times New Roman" w:eastAsia="Calibri" w:hAnsi="Times New Roman" w:cs="Times New Roman"/>
          <w:i/>
          <w:sz w:val="28"/>
          <w:szCs w:val="28"/>
          <w:lang w:eastAsia="ru-RU"/>
        </w:rPr>
        <w:t xml:space="preserve">еализация мероприятий, направленных на привлечение детей и молодежи к участию в городских и краевых массовых мероприятиях и повышение качества жизни детей" </w:t>
      </w:r>
      <w:r w:rsidRPr="00E47AA9">
        <w:rPr>
          <w:rFonts w:ascii="Times New Roman" w:eastAsia="Calibri" w:hAnsi="Times New Roman" w:cs="Times New Roman"/>
          <w:sz w:val="28"/>
          <w:szCs w:val="28"/>
          <w:lang w:eastAsia="ru-RU"/>
        </w:rPr>
        <w:t>предусмотрено 611,40 млн рублей, профинансировано 606,55 млн рублей, или 99,21 %, из них:</w:t>
      </w:r>
    </w:p>
    <w:p w14:paraId="5A67DF8F" w14:textId="77777777" w:rsidR="008566E1" w:rsidRPr="00E47AA9" w:rsidRDefault="008566E1" w:rsidP="008566E1">
      <w:pPr>
        <w:autoSpaceDE w:val="0"/>
        <w:autoSpaceDN w:val="0"/>
        <w:adjustRightInd w:val="0"/>
        <w:spacing w:after="0" w:line="240" w:lineRule="auto"/>
        <w:ind w:firstLine="708"/>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в полном объеме:</w:t>
      </w:r>
    </w:p>
    <w:p w14:paraId="5DF8544D" w14:textId="1E84D396" w:rsidR="008566E1" w:rsidRPr="00E47AA9" w:rsidRDefault="008566E1" w:rsidP="008566E1">
      <w:pPr>
        <w:spacing w:after="0" w:line="240" w:lineRule="auto"/>
        <w:ind w:firstLine="709"/>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 xml:space="preserve">134,59 млн рублей </w:t>
      </w:r>
      <w:r w:rsidR="00CA6EDA" w:rsidRPr="00E47AA9">
        <w:rPr>
          <w:rFonts w:ascii="Times New Roman" w:eastAsia="Calibri" w:hAnsi="Times New Roman" w:cs="Times New Roman"/>
          <w:sz w:val="28"/>
          <w:szCs w:val="28"/>
          <w:lang w:eastAsia="ru-RU"/>
        </w:rPr>
        <w:t>–</w:t>
      </w:r>
      <w:r w:rsidRPr="00E47AA9">
        <w:rPr>
          <w:rFonts w:ascii="Times New Roman" w:eastAsia="Calibri" w:hAnsi="Times New Roman" w:cs="Times New Roman"/>
          <w:sz w:val="28"/>
          <w:szCs w:val="28"/>
          <w:lang w:eastAsia="ru-RU"/>
        </w:rPr>
        <w:t xml:space="preserve"> субсидия из краевого бюджета автономной некоммерческой организации "Учебно-методический центр военно-патриотического воспитания молодежи "Авангард" ДОСААФ России Приморского края. </w:t>
      </w:r>
      <w:r w:rsidRPr="00E47AA9">
        <w:rPr>
          <w:rFonts w:ascii="Times New Roman" w:eastAsia="Calibri" w:hAnsi="Times New Roman" w:cs="Times New Roman"/>
          <w:bCs/>
          <w:sz w:val="28"/>
          <w:szCs w:val="28"/>
        </w:rPr>
        <w:t xml:space="preserve">В 2024 году 2011 обучающихся 10 </w:t>
      </w:r>
      <w:r w:rsidR="00CA6EDA" w:rsidRPr="00E47AA9">
        <w:rPr>
          <w:rFonts w:ascii="Times New Roman" w:eastAsia="Calibri" w:hAnsi="Times New Roman" w:cs="Times New Roman"/>
          <w:bCs/>
          <w:sz w:val="28"/>
          <w:szCs w:val="28"/>
        </w:rPr>
        <w:t>–</w:t>
      </w:r>
      <w:r w:rsidRPr="00E47AA9">
        <w:rPr>
          <w:rFonts w:ascii="Times New Roman" w:eastAsia="Calibri" w:hAnsi="Times New Roman" w:cs="Times New Roman"/>
          <w:bCs/>
          <w:sz w:val="28"/>
          <w:szCs w:val="28"/>
        </w:rPr>
        <w:t xml:space="preserve"> 11 классов прошли пятидневные учебные сборы по основам военной службы на базе организации. Численность несовершеннолетних, состоящих на учете в органах и</w:t>
      </w:r>
      <w:r w:rsidR="007B79AB" w:rsidRPr="00E47AA9">
        <w:rPr>
          <w:rFonts w:ascii="Times New Roman" w:eastAsia="Calibri" w:hAnsi="Times New Roman" w:cs="Times New Roman"/>
          <w:bCs/>
          <w:sz w:val="28"/>
          <w:szCs w:val="28"/>
        </w:rPr>
        <w:t> </w:t>
      </w:r>
      <w:r w:rsidRPr="00E47AA9">
        <w:rPr>
          <w:rFonts w:ascii="Times New Roman" w:eastAsia="Calibri" w:hAnsi="Times New Roman" w:cs="Times New Roman"/>
          <w:bCs/>
          <w:sz w:val="28"/>
          <w:szCs w:val="28"/>
        </w:rPr>
        <w:t>учреждениях системы профилактики безнадзорности, и</w:t>
      </w:r>
      <w:r w:rsidR="007B79AB" w:rsidRPr="00E47AA9">
        <w:rPr>
          <w:rFonts w:ascii="Times New Roman" w:eastAsia="Calibri" w:hAnsi="Times New Roman" w:cs="Times New Roman"/>
          <w:bCs/>
          <w:sz w:val="28"/>
          <w:szCs w:val="28"/>
        </w:rPr>
        <w:t> </w:t>
      </w:r>
      <w:r w:rsidRPr="00E47AA9">
        <w:rPr>
          <w:rFonts w:ascii="Times New Roman" w:eastAsia="Calibri" w:hAnsi="Times New Roman" w:cs="Times New Roman"/>
          <w:bCs/>
          <w:sz w:val="28"/>
          <w:szCs w:val="28"/>
        </w:rPr>
        <w:t xml:space="preserve">несовершеннолетних, охваченных отдыхом и оздоровлением в рамках летних смен, составило 91 человек (план </w:t>
      </w:r>
      <w:r w:rsidR="001D6C53" w:rsidRPr="00E47AA9">
        <w:rPr>
          <w:rFonts w:ascii="Times New Roman" w:eastAsia="Calibri" w:hAnsi="Times New Roman" w:cs="Times New Roman"/>
          <w:bCs/>
          <w:sz w:val="28"/>
          <w:szCs w:val="28"/>
        </w:rPr>
        <w:t xml:space="preserve">– </w:t>
      </w:r>
      <w:r w:rsidRPr="00E47AA9">
        <w:rPr>
          <w:rFonts w:ascii="Times New Roman" w:eastAsia="Calibri" w:hAnsi="Times New Roman" w:cs="Times New Roman"/>
          <w:bCs/>
          <w:sz w:val="28"/>
          <w:szCs w:val="28"/>
        </w:rPr>
        <w:t>90)</w:t>
      </w:r>
      <w:r w:rsidRPr="00E47AA9">
        <w:rPr>
          <w:rFonts w:ascii="Times New Roman" w:eastAsia="Calibri" w:hAnsi="Times New Roman" w:cs="Times New Roman"/>
          <w:sz w:val="28"/>
          <w:szCs w:val="28"/>
          <w:lang w:eastAsia="ru-RU"/>
        </w:rPr>
        <w:t>;</w:t>
      </w:r>
    </w:p>
    <w:p w14:paraId="1AC708A2" w14:textId="77777777" w:rsidR="008566E1" w:rsidRPr="00E47AA9" w:rsidRDefault="008566E1" w:rsidP="008566E1">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98,96 %, или 460,75 млн рублей (465,58 млн рублей)</w:t>
      </w:r>
      <w:r w:rsidR="00CA6EDA"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на п</w:t>
      </w:r>
      <w:r w:rsidRPr="00E47AA9">
        <w:rPr>
          <w:rFonts w:ascii="Times New Roman" w:hAnsi="Times New Roman" w:cs="Times New Roman"/>
          <w:sz w:val="28"/>
          <w:szCs w:val="28"/>
        </w:rPr>
        <w:t>редоставление субсидий бюджетным, автономным учреждениям и иным некоммерческим организациям</w:t>
      </w:r>
      <w:r w:rsidRPr="00E47AA9">
        <w:rPr>
          <w:rFonts w:ascii="Times New Roman" w:eastAsia="Times New Roman" w:hAnsi="Times New Roman" w:cs="Times New Roman"/>
          <w:sz w:val="28"/>
          <w:szCs w:val="28"/>
          <w:lang w:eastAsia="ru-RU"/>
        </w:rPr>
        <w:t>, из них: на реализацию мероприятий по культурно-патриотическому воспитанию детей (86,66 млн рублей в полном объеме), на организацию и проведение детских новогодних утренников</w:t>
      </w:r>
      <w:r w:rsidRPr="00E47AA9">
        <w:rPr>
          <w:rStyle w:val="a8"/>
          <w:rFonts w:ascii="Times New Roman" w:hAnsi="Times New Roman"/>
          <w:sz w:val="28"/>
          <w:szCs w:val="28"/>
          <w:lang w:eastAsia="ru-RU"/>
        </w:rPr>
        <w:footnoteReference w:id="34"/>
      </w:r>
      <w:r w:rsidRPr="00E47AA9">
        <w:rPr>
          <w:rFonts w:ascii="Times New Roman" w:eastAsia="Times New Roman" w:hAnsi="Times New Roman" w:cs="Times New Roman"/>
          <w:sz w:val="28"/>
          <w:szCs w:val="28"/>
          <w:lang w:eastAsia="ru-RU"/>
        </w:rPr>
        <w:t xml:space="preserve"> в Приморском крае (69,27 млн рублей в полном объеме), на проведение </w:t>
      </w:r>
      <w:r w:rsidRPr="00E47AA9">
        <w:rPr>
          <w:rFonts w:ascii="Times New Roman" w:eastAsia="Times New Roman" w:hAnsi="Times New Roman" w:cs="Times New Roman"/>
          <w:sz w:val="28"/>
          <w:szCs w:val="28"/>
          <w:lang w:eastAsia="ru-RU"/>
        </w:rPr>
        <w:lastRenderedPageBreak/>
        <w:t xml:space="preserve">капитального ремонта </w:t>
      </w:r>
      <w:r w:rsidRPr="00E47AA9">
        <w:rPr>
          <w:rFonts w:ascii="Times New Roman" w:hAnsi="Times New Roman" w:cs="Times New Roman"/>
          <w:sz w:val="28"/>
          <w:szCs w:val="28"/>
        </w:rPr>
        <w:t xml:space="preserve"> 2 корпусов ГАУ ДПО ПК ИРО </w:t>
      </w:r>
      <w:r w:rsidRPr="00E47AA9">
        <w:rPr>
          <w:rFonts w:ascii="Times New Roman" w:eastAsia="Times New Roman" w:hAnsi="Times New Roman" w:cs="Times New Roman"/>
          <w:sz w:val="28"/>
          <w:szCs w:val="28"/>
          <w:lang w:eastAsia="ru-RU"/>
        </w:rPr>
        <w:t>по адресу: Владивосток, ул. Спиридонова, 9, ул. Станюковича, 28а (304,82 млн рублей, или 98,44 % от плана</w:t>
      </w:r>
      <w:r w:rsidR="00CA6EDA"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 309,65 млн рублей). </w:t>
      </w:r>
    </w:p>
    <w:p w14:paraId="60A2EF97" w14:textId="4604D76B"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Подпрограмма "Развитие среднего профессионального, дополнительного профессионального образования и реализация мер по поддержке организаций в области образования на территории Приморского края</w:t>
      </w:r>
      <w:r w:rsidR="0037364B" w:rsidRPr="00E47AA9">
        <w:t xml:space="preserve"> </w:t>
      </w:r>
      <w:r w:rsidR="0037364B" w:rsidRPr="00E47AA9">
        <w:rPr>
          <w:rFonts w:ascii="Times New Roman" w:eastAsia="Times New Roman" w:hAnsi="Times New Roman" w:cs="Times New Roman"/>
          <w:b/>
          <w:sz w:val="28"/>
          <w:szCs w:val="28"/>
          <w:lang w:eastAsia="ru-RU"/>
        </w:rPr>
        <w:t xml:space="preserve">и реализация мер по поддержке образовательных, научных и иных организаций в области образования, в том числе их обучающихся </w:t>
      </w:r>
      <w:r w:rsidRPr="00E47AA9">
        <w:rPr>
          <w:rFonts w:ascii="Times New Roman" w:eastAsia="Times New Roman" w:hAnsi="Times New Roman" w:cs="Times New Roman"/>
          <w:b/>
          <w:sz w:val="28"/>
          <w:szCs w:val="28"/>
          <w:lang w:eastAsia="ru-RU"/>
        </w:rPr>
        <w:t xml:space="preserve">" </w:t>
      </w:r>
    </w:p>
    <w:p w14:paraId="65CE4B4B"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Показатель "Доля обучающихся образовательных организаций, реализующих программы среднего профессионального образования, прошедших демонстрационный экзамен профильного уровня" достигнут в объеме 78,69 % при плановом значении в 25 %.</w:t>
      </w:r>
    </w:p>
    <w:p w14:paraId="362B7B7A" w14:textId="46104F60" w:rsidR="008566E1" w:rsidRPr="00E47AA9" w:rsidRDefault="00DF277C" w:rsidP="008566E1">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i/>
          <w:sz w:val="28"/>
          <w:szCs w:val="28"/>
        </w:rPr>
        <w:t>КПМ</w:t>
      </w:r>
      <w:r w:rsidR="008566E1" w:rsidRPr="00E47AA9">
        <w:rPr>
          <w:rFonts w:ascii="Times New Roman" w:hAnsi="Times New Roman" w:cs="Times New Roman"/>
          <w:sz w:val="28"/>
          <w:szCs w:val="28"/>
        </w:rPr>
        <w:t xml:space="preserve"> </w:t>
      </w:r>
      <w:r w:rsidR="008566E1" w:rsidRPr="00E47AA9">
        <w:rPr>
          <w:rFonts w:ascii="Times New Roman" w:hAnsi="Times New Roman" w:cs="Times New Roman"/>
          <w:i/>
          <w:sz w:val="28"/>
          <w:szCs w:val="28"/>
        </w:rPr>
        <w:t xml:space="preserve">"Реализация образовательных программ и развитие среднего профессионального образования" </w:t>
      </w:r>
      <w:r w:rsidR="008566E1" w:rsidRPr="00E47AA9">
        <w:rPr>
          <w:rFonts w:ascii="Times New Roman" w:hAnsi="Times New Roman" w:cs="Times New Roman"/>
          <w:sz w:val="28"/>
          <w:szCs w:val="28"/>
        </w:rPr>
        <w:t xml:space="preserve">исполнен в сумме 5310,51 млн рублей, или 98,61 % (план </w:t>
      </w:r>
      <w:r w:rsidR="001D6C53" w:rsidRPr="00E47AA9">
        <w:rPr>
          <w:rFonts w:ascii="Times New Roman" w:hAnsi="Times New Roman" w:cs="Times New Roman"/>
          <w:sz w:val="28"/>
          <w:szCs w:val="28"/>
        </w:rPr>
        <w:t xml:space="preserve">– </w:t>
      </w:r>
      <w:r w:rsidR="008566E1" w:rsidRPr="00E47AA9">
        <w:rPr>
          <w:rFonts w:ascii="Times New Roman" w:hAnsi="Times New Roman" w:cs="Times New Roman"/>
          <w:sz w:val="28"/>
          <w:szCs w:val="28"/>
        </w:rPr>
        <w:t>5385,35 млн рублей), в том числе за счет федеральных средств</w:t>
      </w:r>
      <w:r w:rsidR="001D6C53" w:rsidRPr="00E47AA9">
        <w:rPr>
          <w:rFonts w:ascii="Times New Roman" w:hAnsi="Times New Roman" w:cs="Times New Roman"/>
          <w:sz w:val="28"/>
          <w:szCs w:val="28"/>
        </w:rPr>
        <w:t> </w:t>
      </w:r>
      <w:r w:rsidR="008566E1" w:rsidRPr="00E47AA9">
        <w:rPr>
          <w:rFonts w:ascii="Times New Roman" w:hAnsi="Times New Roman" w:cs="Times New Roman"/>
          <w:sz w:val="28"/>
          <w:szCs w:val="28"/>
        </w:rPr>
        <w:t>– 160,72 млн рублей, или 91,95 % (план</w:t>
      </w:r>
      <w:r w:rsidR="007B79AB" w:rsidRPr="00E47AA9">
        <w:rPr>
          <w:rFonts w:ascii="Times New Roman" w:hAnsi="Times New Roman" w:cs="Times New Roman"/>
          <w:sz w:val="28"/>
          <w:szCs w:val="28"/>
        </w:rPr>
        <w:t> –</w:t>
      </w:r>
      <w:r w:rsidR="008566E1" w:rsidRPr="00E47AA9">
        <w:rPr>
          <w:rFonts w:ascii="Times New Roman" w:hAnsi="Times New Roman" w:cs="Times New Roman"/>
          <w:sz w:val="28"/>
          <w:szCs w:val="28"/>
        </w:rPr>
        <w:t>174,79</w:t>
      </w:r>
      <w:r w:rsidR="00CA6EDA" w:rsidRPr="00E47AA9">
        <w:rPr>
          <w:rFonts w:ascii="Times New Roman" w:hAnsi="Times New Roman" w:cs="Times New Roman"/>
          <w:sz w:val="28"/>
          <w:szCs w:val="28"/>
        </w:rPr>
        <w:t> </w:t>
      </w:r>
      <w:r w:rsidR="008566E1" w:rsidRPr="00E47AA9">
        <w:rPr>
          <w:rFonts w:ascii="Times New Roman" w:hAnsi="Times New Roman" w:cs="Times New Roman"/>
          <w:sz w:val="28"/>
          <w:szCs w:val="28"/>
        </w:rPr>
        <w:t xml:space="preserve">млн рублей), из них направлено: </w:t>
      </w:r>
    </w:p>
    <w:p w14:paraId="3D2CBB22" w14:textId="77777777" w:rsidR="008566E1" w:rsidRPr="00E47AA9" w:rsidRDefault="008566E1" w:rsidP="008566E1">
      <w:pPr>
        <w:spacing w:after="0" w:line="240" w:lineRule="auto"/>
        <w:ind w:firstLine="709"/>
        <w:jc w:val="both"/>
        <w:rPr>
          <w:rFonts w:ascii="Times New Roman" w:eastAsia="Times New Roman" w:hAnsi="Times New Roman" w:cs="Times New Roman"/>
          <w:iCs/>
          <w:sz w:val="28"/>
          <w:szCs w:val="28"/>
          <w:lang w:eastAsia="ru-RU"/>
        </w:rPr>
      </w:pPr>
      <w:r w:rsidRPr="00E47AA9">
        <w:rPr>
          <w:rFonts w:ascii="Times New Roman" w:eastAsia="Times New Roman" w:hAnsi="Times New Roman" w:cs="Times New Roman"/>
          <w:iCs/>
          <w:sz w:val="28"/>
          <w:szCs w:val="28"/>
          <w:u w:val="single"/>
          <w:lang w:eastAsia="ru-RU"/>
        </w:rPr>
        <w:t xml:space="preserve">министерству профессионального образования </w:t>
      </w:r>
      <w:r w:rsidRPr="00E47AA9">
        <w:rPr>
          <w:rFonts w:ascii="Times New Roman" w:eastAsia="Calibri" w:hAnsi="Times New Roman" w:cs="Times New Roman"/>
          <w:sz w:val="28"/>
          <w:szCs w:val="28"/>
          <w:u w:val="single"/>
          <w:lang w:eastAsia="ru-RU"/>
        </w:rPr>
        <w:t>и занятости населения Приморского края</w:t>
      </w:r>
    </w:p>
    <w:p w14:paraId="7813C996" w14:textId="77777777" w:rsidR="008566E1" w:rsidRPr="00E47AA9" w:rsidRDefault="008566E1" w:rsidP="008566E1">
      <w:pPr>
        <w:spacing w:after="0" w:line="240" w:lineRule="auto"/>
        <w:ind w:firstLine="709"/>
        <w:jc w:val="both"/>
        <w:rPr>
          <w:rFonts w:ascii="Times New Roman" w:eastAsia="Times New Roman" w:hAnsi="Times New Roman" w:cs="Times New Roman"/>
          <w:iCs/>
          <w:sz w:val="28"/>
          <w:szCs w:val="28"/>
          <w:lang w:eastAsia="ru-RU"/>
        </w:rPr>
      </w:pPr>
      <w:r w:rsidRPr="00E47AA9">
        <w:rPr>
          <w:rFonts w:ascii="Times New Roman" w:eastAsia="Times New Roman" w:hAnsi="Times New Roman" w:cs="Times New Roman"/>
          <w:iCs/>
          <w:sz w:val="28"/>
          <w:szCs w:val="28"/>
          <w:lang w:eastAsia="ru-RU"/>
        </w:rPr>
        <w:t>в полном объеме:</w:t>
      </w:r>
    </w:p>
    <w:p w14:paraId="2A296F36" w14:textId="61FEDAFB"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sz w:val="28"/>
          <w:szCs w:val="28"/>
          <w:lang w:eastAsia="ru-RU"/>
        </w:rPr>
        <w:t>3717,79 млн рублей</w:t>
      </w:r>
      <w:r w:rsidRPr="00E47AA9">
        <w:rPr>
          <w:rFonts w:ascii="Times New Roman" w:eastAsia="Times New Roman" w:hAnsi="Times New Roman" w:cs="Times New Roman"/>
          <w:iCs/>
          <w:sz w:val="28"/>
          <w:szCs w:val="28"/>
          <w:lang w:eastAsia="ru-RU"/>
        </w:rPr>
        <w:t xml:space="preserve"> – на </w:t>
      </w:r>
      <w:r w:rsidRPr="00E47AA9">
        <w:rPr>
          <w:rFonts w:ascii="Times New Roman" w:eastAsia="Calibri" w:hAnsi="Times New Roman" w:cs="Times New Roman"/>
          <w:iCs/>
          <w:sz w:val="28"/>
          <w:szCs w:val="28"/>
          <w:lang w:eastAsia="ru-RU"/>
        </w:rPr>
        <w:t>предоставление услуг среднего профессионального образования</w:t>
      </w:r>
      <w:r w:rsidRPr="00E47AA9">
        <w:rPr>
          <w:rFonts w:ascii="Times New Roman" w:eastAsia="Calibri" w:hAnsi="Times New Roman" w:cs="Times New Roman"/>
          <w:bCs/>
          <w:sz w:val="28"/>
          <w:szCs w:val="28"/>
          <w:lang w:eastAsia="ru-RU"/>
        </w:rPr>
        <w:t xml:space="preserve">. </w:t>
      </w:r>
      <w:r w:rsidRPr="00E47AA9">
        <w:rPr>
          <w:rFonts w:ascii="Times New Roman" w:eastAsia="Calibri" w:hAnsi="Times New Roman" w:cs="Times New Roman"/>
          <w:sz w:val="28"/>
          <w:szCs w:val="28"/>
          <w:lang w:eastAsia="ru-RU"/>
        </w:rPr>
        <w:t>Выплаты осуществлены в соответствии с</w:t>
      </w:r>
      <w:r w:rsidR="007B79AB" w:rsidRPr="00E47AA9">
        <w:rPr>
          <w:rFonts w:ascii="Times New Roman" w:eastAsia="Calibri" w:hAnsi="Times New Roman" w:cs="Times New Roman"/>
          <w:sz w:val="28"/>
          <w:szCs w:val="28"/>
          <w:lang w:eastAsia="ru-RU"/>
        </w:rPr>
        <w:t> </w:t>
      </w:r>
      <w:r w:rsidRPr="00E47AA9">
        <w:rPr>
          <w:rFonts w:ascii="Times New Roman" w:eastAsia="Calibri" w:hAnsi="Times New Roman" w:cs="Times New Roman"/>
          <w:sz w:val="28"/>
          <w:szCs w:val="28"/>
          <w:lang w:eastAsia="ru-RU"/>
        </w:rPr>
        <w:t xml:space="preserve">планом-графиком и соглашениями на оказание государственных услуг. </w:t>
      </w:r>
      <w:r w:rsidRPr="00E47AA9">
        <w:rPr>
          <w:rFonts w:ascii="Times New Roman" w:eastAsia="Times New Roman" w:hAnsi="Times New Roman" w:cs="Times New Roman"/>
          <w:iCs/>
          <w:sz w:val="28"/>
          <w:szCs w:val="28"/>
          <w:lang w:eastAsia="ru-RU"/>
        </w:rPr>
        <w:t>За 2024 год более 23120 человек обучалось по образовательным программам среднего профессионального образования на базе 29 профессиональных образовательных учреждений Приморского края в соответствии с</w:t>
      </w:r>
      <w:r w:rsidR="007B79AB" w:rsidRPr="00E47AA9">
        <w:rPr>
          <w:rFonts w:ascii="Times New Roman" w:eastAsia="Times New Roman" w:hAnsi="Times New Roman" w:cs="Times New Roman"/>
          <w:iCs/>
          <w:sz w:val="28"/>
          <w:szCs w:val="28"/>
          <w:lang w:eastAsia="ru-RU"/>
        </w:rPr>
        <w:t> </w:t>
      </w:r>
      <w:r w:rsidRPr="00E47AA9">
        <w:rPr>
          <w:rFonts w:ascii="Times New Roman" w:eastAsia="Times New Roman" w:hAnsi="Times New Roman" w:cs="Times New Roman"/>
          <w:iCs/>
          <w:sz w:val="28"/>
          <w:szCs w:val="28"/>
          <w:lang w:eastAsia="ru-RU"/>
        </w:rPr>
        <w:t>утвержденным государственным заданием</w:t>
      </w:r>
      <w:r w:rsidRPr="00E47AA9">
        <w:rPr>
          <w:rFonts w:ascii="Times New Roman" w:eastAsia="Times New Roman" w:hAnsi="Times New Roman" w:cs="Times New Roman"/>
          <w:sz w:val="28"/>
          <w:szCs w:val="28"/>
          <w:lang w:eastAsia="ru-RU"/>
        </w:rPr>
        <w:t>;</w:t>
      </w:r>
    </w:p>
    <w:p w14:paraId="129C3DDE" w14:textId="3CE66580"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157,72 млн рублей – на реализацию мероприятий планов социального развития центров экономического роста (</w:t>
      </w:r>
      <w:r w:rsidRPr="00E47AA9">
        <w:rPr>
          <w:rFonts w:ascii="Times New Roman" w:eastAsia="Times New Roman" w:hAnsi="Times New Roman" w:cs="Times New Roman"/>
          <w:iCs/>
          <w:sz w:val="28"/>
          <w:szCs w:val="28"/>
          <w:lang w:eastAsia="ru-RU"/>
        </w:rPr>
        <w:t>создано 32 мастерских в</w:t>
      </w:r>
      <w:r w:rsidR="007B79AB" w:rsidRPr="00E47AA9">
        <w:rPr>
          <w:rFonts w:ascii="Times New Roman" w:eastAsia="Times New Roman" w:hAnsi="Times New Roman" w:cs="Times New Roman"/>
          <w:iCs/>
          <w:sz w:val="28"/>
          <w:szCs w:val="28"/>
          <w:lang w:eastAsia="ru-RU"/>
        </w:rPr>
        <w:t> </w:t>
      </w:r>
      <w:r w:rsidRPr="00E47AA9">
        <w:rPr>
          <w:rFonts w:ascii="Times New Roman" w:eastAsia="Times New Roman" w:hAnsi="Times New Roman" w:cs="Times New Roman"/>
          <w:iCs/>
          <w:sz w:val="28"/>
          <w:szCs w:val="28"/>
          <w:lang w:eastAsia="ru-RU"/>
        </w:rPr>
        <w:t>профессиональных образовательных организациях для подготовки кадров, востребованных в ключевых отраслях экономики в 2024 году</w:t>
      </w:r>
      <w:r w:rsidRPr="00E47AA9">
        <w:rPr>
          <w:rFonts w:ascii="Times New Roman" w:eastAsia="Times New Roman" w:hAnsi="Times New Roman" w:cs="Times New Roman"/>
          <w:sz w:val="28"/>
          <w:szCs w:val="28"/>
          <w:lang w:eastAsia="ru-RU"/>
        </w:rPr>
        <w:t>);</w:t>
      </w:r>
    </w:p>
    <w:p w14:paraId="0EFE198F"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6,00 млн рублей </w:t>
      </w:r>
      <w:r w:rsidR="0079449F" w:rsidRPr="00E47AA9">
        <w:rPr>
          <w:rFonts w:ascii="Times New Roman" w:hAnsi="Times New Roman" w:cs="Times New Roman"/>
          <w:sz w:val="28"/>
          <w:szCs w:val="28"/>
        </w:rPr>
        <w:t>–</w:t>
      </w:r>
      <w:r w:rsidRPr="00E47AA9">
        <w:rPr>
          <w:rFonts w:ascii="Times New Roman" w:hAnsi="Times New Roman" w:cs="Times New Roman"/>
          <w:sz w:val="28"/>
          <w:szCs w:val="28"/>
        </w:rPr>
        <w:t xml:space="preserve"> гранты победителям краевого конкурса молодежных проектов "Миллион </w:t>
      </w:r>
      <w:proofErr w:type="spellStart"/>
      <w:r w:rsidRPr="00E47AA9">
        <w:rPr>
          <w:rFonts w:ascii="Times New Roman" w:hAnsi="Times New Roman" w:cs="Times New Roman"/>
          <w:sz w:val="28"/>
          <w:szCs w:val="28"/>
        </w:rPr>
        <w:t>СПОсобов</w:t>
      </w:r>
      <w:proofErr w:type="spellEnd"/>
      <w:r w:rsidRPr="00E47AA9">
        <w:rPr>
          <w:rFonts w:ascii="Times New Roman" w:hAnsi="Times New Roman" w:cs="Times New Roman"/>
          <w:sz w:val="28"/>
          <w:szCs w:val="28"/>
        </w:rPr>
        <w:t>";</w:t>
      </w:r>
    </w:p>
    <w:p w14:paraId="4527475C"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пределах от 96,86 % до 92,12 % исполнены расходы:</w:t>
      </w:r>
    </w:p>
    <w:p w14:paraId="0EE9680C" w14:textId="1441BF2F"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на обеспечение государственных гарантий для обучающихся при получении ими общедоступного и бесплатного профессионального образования – 1096,87 млн рублей, или 96,86 % (план </w:t>
      </w:r>
      <w:r w:rsidR="007B79AB"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1132,48млн рублей);</w:t>
      </w:r>
    </w:p>
    <w:p w14:paraId="2B493CBF"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социальное обеспечение детей-сирот и детей, оставшихся без попечения родителей, и лиц из числа детей-сирот, и детей, оставшихся без попечения родителей, обучающихся в краевых государственных учреждениях, 158,29 млн рублей, или 92,12 % (171,84 млн рублей).</w:t>
      </w:r>
      <w:r w:rsidRPr="00E47AA9">
        <w:rPr>
          <w:rFonts w:ascii="Times New Roman" w:hAnsi="Times New Roman" w:cs="Times New Roman"/>
        </w:rPr>
        <w:t xml:space="preserve"> </w:t>
      </w:r>
      <w:r w:rsidRPr="00E47AA9">
        <w:rPr>
          <w:rFonts w:ascii="Times New Roman" w:eastAsia="Times New Roman" w:hAnsi="Times New Roman" w:cs="Times New Roman"/>
          <w:sz w:val="28"/>
          <w:szCs w:val="28"/>
          <w:lang w:eastAsia="ru-RU"/>
        </w:rPr>
        <w:t xml:space="preserve">Экономия средств по социальным выплатам на детей-сирот в сумме 13,55 млн рублей </w:t>
      </w:r>
      <w:r w:rsidRPr="00E47AA9">
        <w:rPr>
          <w:rFonts w:ascii="Times New Roman" w:eastAsia="Times New Roman" w:hAnsi="Times New Roman" w:cs="Times New Roman"/>
          <w:sz w:val="28"/>
          <w:szCs w:val="28"/>
          <w:lang w:eastAsia="ru-RU"/>
        </w:rPr>
        <w:lastRenderedPageBreak/>
        <w:t>возникла в связи с изменением количества получателей средств по данным направлениям расходов;</w:t>
      </w:r>
    </w:p>
    <w:p w14:paraId="33AC418E" w14:textId="734C41DA" w:rsidR="008566E1" w:rsidRPr="00E47AA9" w:rsidRDefault="008566E1" w:rsidP="008566E1">
      <w:pPr>
        <w:spacing w:after="0" w:line="240" w:lineRule="auto"/>
        <w:ind w:firstLine="680"/>
        <w:jc w:val="both"/>
        <w:rPr>
          <w:rFonts w:ascii="Times New Roman" w:eastAsia="Calibri" w:hAnsi="Times New Roman" w:cs="Times New Roman"/>
          <w:sz w:val="28"/>
          <w:szCs w:val="28"/>
          <w:lang w:eastAsia="ru-RU"/>
        </w:rPr>
      </w:pPr>
      <w:r w:rsidRPr="00E47AA9">
        <w:rPr>
          <w:rFonts w:ascii="Times New Roman" w:eastAsia="Calibri" w:hAnsi="Times New Roman" w:cs="Times New Roman"/>
          <w:iCs/>
          <w:sz w:val="28"/>
          <w:szCs w:val="28"/>
          <w:lang w:eastAsia="ru-RU"/>
        </w:rPr>
        <w:t xml:space="preserve">на обеспечение выплат ежемесячного денежного вознаграждения за классное руководство (кураторство) </w:t>
      </w:r>
      <w:r w:rsidRPr="00E47AA9">
        <w:rPr>
          <w:rFonts w:ascii="Times New Roman" w:hAnsi="Times New Roman" w:cs="Times New Roman"/>
          <w:sz w:val="28"/>
          <w:szCs w:val="28"/>
          <w:lang w:eastAsia="zh-CN"/>
        </w:rPr>
        <w:t>1067</w:t>
      </w:r>
      <w:r w:rsidRPr="00E47AA9">
        <w:rPr>
          <w:rFonts w:ascii="Times New Roman" w:eastAsia="Calibri" w:hAnsi="Times New Roman" w:cs="Times New Roman"/>
          <w:iCs/>
          <w:sz w:val="28"/>
          <w:szCs w:val="28"/>
          <w:lang w:eastAsia="ru-RU"/>
        </w:rPr>
        <w:t xml:space="preserve"> педагогическим работникам государственных образовательных организаций Приморского края, реализующим образовательные программы среднего профессионального образования, в том числе программы профессионального обучения для лиц с</w:t>
      </w:r>
      <w:r w:rsidR="007B79AB" w:rsidRPr="00E47AA9">
        <w:rPr>
          <w:rFonts w:ascii="Times New Roman" w:eastAsia="Calibri" w:hAnsi="Times New Roman" w:cs="Times New Roman"/>
          <w:iCs/>
          <w:sz w:val="28"/>
          <w:szCs w:val="28"/>
          <w:lang w:eastAsia="ru-RU"/>
        </w:rPr>
        <w:t> </w:t>
      </w:r>
      <w:r w:rsidRPr="00E47AA9">
        <w:rPr>
          <w:rFonts w:ascii="Times New Roman" w:eastAsia="Calibri" w:hAnsi="Times New Roman" w:cs="Times New Roman"/>
          <w:iCs/>
          <w:sz w:val="28"/>
          <w:szCs w:val="28"/>
          <w:lang w:eastAsia="ru-RU"/>
        </w:rPr>
        <w:t>ограниченными возможностями здоровья – 159,54 млн рублей, или на 91,95</w:t>
      </w:r>
      <w:r w:rsidR="007B79AB" w:rsidRPr="00E47AA9">
        <w:rPr>
          <w:rFonts w:ascii="Times New Roman" w:eastAsia="Calibri" w:hAnsi="Times New Roman" w:cs="Times New Roman"/>
          <w:iCs/>
          <w:sz w:val="28"/>
          <w:szCs w:val="28"/>
          <w:lang w:eastAsia="ru-RU"/>
        </w:rPr>
        <w:t> </w:t>
      </w:r>
      <w:r w:rsidRPr="00E47AA9">
        <w:rPr>
          <w:rFonts w:ascii="Times New Roman" w:eastAsia="Calibri" w:hAnsi="Times New Roman" w:cs="Times New Roman"/>
          <w:iCs/>
          <w:sz w:val="28"/>
          <w:szCs w:val="28"/>
          <w:lang w:eastAsia="ru-RU"/>
        </w:rPr>
        <w:t>% (план</w:t>
      </w:r>
      <w:r w:rsidR="007B79AB" w:rsidRPr="00E47AA9">
        <w:rPr>
          <w:rFonts w:ascii="Times New Roman" w:eastAsia="Calibri" w:hAnsi="Times New Roman" w:cs="Times New Roman"/>
          <w:iCs/>
          <w:sz w:val="28"/>
          <w:szCs w:val="28"/>
          <w:lang w:eastAsia="ru-RU"/>
        </w:rPr>
        <w:t xml:space="preserve"> – </w:t>
      </w:r>
      <w:r w:rsidRPr="00E47AA9">
        <w:rPr>
          <w:rFonts w:ascii="Times New Roman" w:eastAsia="Calibri" w:hAnsi="Times New Roman" w:cs="Times New Roman"/>
          <w:iCs/>
          <w:sz w:val="28"/>
          <w:szCs w:val="28"/>
          <w:lang w:eastAsia="ru-RU"/>
        </w:rPr>
        <w:t>173,51 млн рублей) за счет средств федерального бюджета.</w:t>
      </w:r>
      <w:r w:rsidRPr="00E47AA9">
        <w:rPr>
          <w:rFonts w:ascii="Times New Roman" w:eastAsia="Times New Roman" w:hAnsi="Times New Roman" w:cs="Times New Roman"/>
          <w:sz w:val="28"/>
          <w:szCs w:val="28"/>
          <w:lang w:eastAsia="ru-RU"/>
        </w:rPr>
        <w:t xml:space="preserve"> Средства израсходованы в соответствии с распределенными квотами профессиональным образовательным учреждениям. В 2024 году </w:t>
      </w:r>
      <w:r w:rsidRPr="00E47AA9">
        <w:rPr>
          <w:rFonts w:ascii="Times New Roman" w:eastAsia="Calibri" w:hAnsi="Times New Roman" w:cs="Times New Roman"/>
          <w:iCs/>
          <w:sz w:val="28"/>
          <w:szCs w:val="28"/>
          <w:lang w:eastAsia="ru-RU"/>
        </w:rPr>
        <w:t>обеспечение указанных выплат осуществлялось, кроме министерства профессионального образования и занятости населения Приморского края, также министерством здравоохранения Приморского края в запланированном объеме на сумму 18,36 млн рублей</w:t>
      </w:r>
      <w:r w:rsidRPr="00E47AA9">
        <w:rPr>
          <w:rFonts w:ascii="Times New Roman" w:eastAsia="Times New Roman" w:hAnsi="Times New Roman" w:cs="Times New Roman"/>
          <w:sz w:val="28"/>
          <w:szCs w:val="28"/>
          <w:lang w:eastAsia="ru-RU"/>
        </w:rPr>
        <w:t>, министерством культуры и архивного дела Приморского края – 5,28</w:t>
      </w:r>
      <w:r w:rsidR="0079449F"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млн рублей, или 99,02 % (план </w:t>
      </w:r>
      <w:r w:rsidR="007B79AB"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5,33 млн рублей).</w:t>
      </w:r>
    </w:p>
    <w:p w14:paraId="725BBA14" w14:textId="77777777" w:rsidR="008566E1" w:rsidRPr="00E47AA9" w:rsidRDefault="008566E1" w:rsidP="008566E1">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w:t>
      </w:r>
      <w:r w:rsidRPr="00E47AA9">
        <w:rPr>
          <w:rFonts w:ascii="Times New Roman" w:eastAsia="Times New Roman" w:hAnsi="Times New Roman" w:cs="Times New Roman"/>
          <w:sz w:val="28"/>
          <w:szCs w:val="24"/>
          <w:lang w:eastAsia="ru-RU"/>
        </w:rPr>
        <w:t xml:space="preserve">араметры заработной платы </w:t>
      </w:r>
      <w:r w:rsidRPr="00E47AA9">
        <w:rPr>
          <w:rFonts w:ascii="Times New Roman" w:eastAsia="Times New Roman" w:hAnsi="Times New Roman" w:cs="Times New Roman"/>
          <w:sz w:val="28"/>
          <w:szCs w:val="28"/>
          <w:lang w:eastAsia="ru-RU"/>
        </w:rPr>
        <w:t>преподавателей и мастеров производственного обучения образовательных организаций среднего профессионального образования</w:t>
      </w:r>
      <w:r w:rsidRPr="00E47AA9">
        <w:rPr>
          <w:rFonts w:ascii="Times New Roman" w:eastAsia="Times New Roman" w:hAnsi="Times New Roman" w:cs="Times New Roman"/>
          <w:sz w:val="28"/>
          <w:szCs w:val="24"/>
          <w:lang w:eastAsia="ru-RU"/>
        </w:rPr>
        <w:t xml:space="preserve"> </w:t>
      </w:r>
      <w:r w:rsidRPr="00E47AA9">
        <w:rPr>
          <w:rFonts w:ascii="Times New Roman" w:eastAsia="Times New Roman" w:hAnsi="Times New Roman" w:cs="Times New Roman"/>
          <w:sz w:val="28"/>
          <w:szCs w:val="28"/>
          <w:lang w:eastAsia="ru-RU"/>
        </w:rPr>
        <w:t>в соответствии с планом мероприятий ("дорожной картой") на 2024 год запланированы на уровне</w:t>
      </w:r>
      <w:r w:rsidRPr="00E47AA9">
        <w:rPr>
          <w:rFonts w:ascii="Times New Roman" w:eastAsia="Times New Roman" w:hAnsi="Times New Roman" w:cs="Times New Roman"/>
          <w:b/>
          <w:bCs/>
          <w:kern w:val="36"/>
          <w:sz w:val="28"/>
          <w:szCs w:val="28"/>
          <w:lang w:eastAsia="ru-RU"/>
        </w:rPr>
        <w:t xml:space="preserve"> </w:t>
      </w:r>
      <w:r w:rsidRPr="00E47AA9">
        <w:rPr>
          <w:rFonts w:ascii="Times New Roman" w:eastAsia="Times New Roman" w:hAnsi="Times New Roman" w:cs="Times New Roman"/>
          <w:bCs/>
          <w:kern w:val="36"/>
          <w:sz w:val="28"/>
          <w:szCs w:val="28"/>
          <w:lang w:eastAsia="ru-RU"/>
        </w:rPr>
        <w:t xml:space="preserve">среднемесячного дохода от трудовой деятельности – 67492,80 рублей, </w:t>
      </w:r>
      <w:r w:rsidRPr="00E47AA9">
        <w:rPr>
          <w:rFonts w:ascii="Times New Roman" w:eastAsia="Times New Roman" w:hAnsi="Times New Roman" w:cs="Times New Roman"/>
          <w:sz w:val="28"/>
          <w:szCs w:val="28"/>
          <w:lang w:eastAsia="ru-RU"/>
        </w:rPr>
        <w:t>исполнение – 90782,20 рублей, или 134,5</w:t>
      </w:r>
      <w:r w:rsidRPr="00E47AA9">
        <w:rPr>
          <w:rFonts w:ascii="Times New Roman" w:eastAsia="Times New Roman" w:hAnsi="Times New Roman" w:cs="Times New Roman"/>
          <w:sz w:val="28"/>
          <w:szCs w:val="28"/>
          <w:lang w:val="en-US" w:eastAsia="ru-RU"/>
        </w:rPr>
        <w:t> </w:t>
      </w:r>
      <w:r w:rsidRPr="00E47AA9">
        <w:rPr>
          <w:rFonts w:ascii="Times New Roman" w:eastAsia="Times New Roman" w:hAnsi="Times New Roman" w:cs="Times New Roman"/>
          <w:sz w:val="28"/>
          <w:szCs w:val="28"/>
          <w:lang w:eastAsia="ru-RU"/>
        </w:rPr>
        <w:t xml:space="preserve">%. </w:t>
      </w:r>
    </w:p>
    <w:p w14:paraId="43FE74C5" w14:textId="77777777" w:rsidR="008566E1" w:rsidRPr="00E47AA9" w:rsidRDefault="008566E1" w:rsidP="008566E1">
      <w:pPr>
        <w:widowControl w:val="0"/>
        <w:spacing w:after="0" w:line="240" w:lineRule="auto"/>
        <w:ind w:firstLine="709"/>
        <w:jc w:val="both"/>
        <w:rPr>
          <w:rFonts w:ascii="Times New Roman" w:eastAsia="Calibri" w:hAnsi="Times New Roman" w:cs="Times New Roman"/>
          <w:bCs/>
          <w:sz w:val="28"/>
          <w:szCs w:val="28"/>
          <w:lang w:eastAsia="ru-RU"/>
        </w:rPr>
      </w:pPr>
      <w:r w:rsidRPr="00E47AA9">
        <w:rPr>
          <w:rFonts w:ascii="Times New Roman" w:eastAsia="Calibri" w:hAnsi="Times New Roman" w:cs="Times New Roman"/>
          <w:sz w:val="28"/>
          <w:szCs w:val="28"/>
          <w:lang w:eastAsia="ru-RU"/>
        </w:rPr>
        <w:t>По</w:t>
      </w:r>
      <w:r w:rsidRPr="00E47AA9">
        <w:rPr>
          <w:rFonts w:ascii="Times New Roman" w:eastAsia="Calibri" w:hAnsi="Times New Roman" w:cs="Times New Roman"/>
          <w:i/>
          <w:sz w:val="28"/>
          <w:szCs w:val="28"/>
          <w:lang w:eastAsia="ru-RU"/>
        </w:rPr>
        <w:t xml:space="preserve"> </w:t>
      </w:r>
      <w:r w:rsidRPr="00E47AA9">
        <w:rPr>
          <w:rFonts w:ascii="Times New Roman" w:hAnsi="Times New Roman" w:cs="Times New Roman"/>
          <w:i/>
          <w:sz w:val="28"/>
          <w:szCs w:val="28"/>
        </w:rPr>
        <w:t>КПМ</w:t>
      </w:r>
      <w:r w:rsidRPr="00E47AA9">
        <w:rPr>
          <w:rFonts w:ascii="Times New Roman" w:eastAsia="Calibri" w:hAnsi="Times New Roman" w:cs="Times New Roman"/>
          <w:i/>
          <w:sz w:val="28"/>
          <w:szCs w:val="28"/>
          <w:lang w:eastAsia="ru-RU"/>
        </w:rPr>
        <w:t xml:space="preserve"> "Реализация дополнительных профессиональных программ" </w:t>
      </w:r>
      <w:r w:rsidRPr="00E47AA9">
        <w:rPr>
          <w:rFonts w:ascii="Times New Roman" w:eastAsia="Calibri" w:hAnsi="Times New Roman" w:cs="Times New Roman"/>
          <w:sz w:val="28"/>
          <w:szCs w:val="28"/>
          <w:lang w:eastAsia="ru-RU"/>
        </w:rPr>
        <w:t xml:space="preserve">направлено средств краевого бюджета – </w:t>
      </w:r>
      <w:r w:rsidRPr="00E47AA9">
        <w:rPr>
          <w:rFonts w:ascii="Times New Roman" w:eastAsia="Calibri" w:hAnsi="Times New Roman" w:cs="Times New Roman"/>
          <w:bCs/>
          <w:sz w:val="28"/>
          <w:szCs w:val="28"/>
          <w:lang w:eastAsia="ru-RU"/>
        </w:rPr>
        <w:t>469,67 млн рублей в полном объеме годовых бюджетных ассигнований, из них:</w:t>
      </w:r>
    </w:p>
    <w:p w14:paraId="13D28BCD" w14:textId="53128529" w:rsidR="008566E1" w:rsidRPr="00E47AA9" w:rsidRDefault="008566E1" w:rsidP="008566E1">
      <w:pPr>
        <w:spacing w:after="0" w:line="240" w:lineRule="auto"/>
        <w:ind w:firstLine="709"/>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 xml:space="preserve">462,47 млн рублей – на услуги по дополнительному профессиональному образованию в соответствии с утвержденным государственным заданием на 2024 год, из них </w:t>
      </w:r>
      <w:r w:rsidRPr="00E47AA9">
        <w:rPr>
          <w:rFonts w:ascii="Times New Roman" w:eastAsia="Times New Roman" w:hAnsi="Times New Roman" w:cs="Times New Roman"/>
          <w:sz w:val="28"/>
          <w:szCs w:val="24"/>
          <w:lang w:eastAsia="ru-RU"/>
        </w:rPr>
        <w:t>министерством образования Приморского края – 302,42 млн рублей на выполнение государственного задания ГАУ ДПО "ПК ИРО" на</w:t>
      </w:r>
      <w:r w:rsidR="007B79AB" w:rsidRPr="00E47AA9">
        <w:rPr>
          <w:rFonts w:ascii="Times New Roman" w:eastAsia="Times New Roman" w:hAnsi="Times New Roman" w:cs="Times New Roman"/>
          <w:sz w:val="28"/>
          <w:szCs w:val="24"/>
          <w:lang w:eastAsia="ru-RU"/>
        </w:rPr>
        <w:t> </w:t>
      </w:r>
      <w:r w:rsidRPr="00E47AA9">
        <w:rPr>
          <w:rFonts w:ascii="Times New Roman" w:eastAsia="Times New Roman" w:hAnsi="Times New Roman" w:cs="Times New Roman"/>
          <w:sz w:val="28"/>
          <w:szCs w:val="24"/>
          <w:lang w:eastAsia="ru-RU"/>
        </w:rPr>
        <w:t>реализацию дополнительных профессиональных программ повышения квалификации. Получателями услуг являются физические лица, имеющие или получающие среднее профессиональное и (или) высшее образование.</w:t>
      </w:r>
    </w:p>
    <w:p w14:paraId="0F49EFF9" w14:textId="63E90C2F" w:rsidR="008566E1" w:rsidRPr="00E47AA9" w:rsidRDefault="008566E1" w:rsidP="008566E1">
      <w:pPr>
        <w:widowControl w:val="0"/>
        <w:spacing w:after="0" w:line="240" w:lineRule="auto"/>
        <w:ind w:firstLine="680"/>
        <w:contextualSpacing/>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По</w:t>
      </w:r>
      <w:r w:rsidRPr="00E47AA9">
        <w:rPr>
          <w:rFonts w:ascii="Times New Roman" w:eastAsia="Calibri" w:hAnsi="Times New Roman" w:cs="Times New Roman"/>
          <w:i/>
          <w:sz w:val="28"/>
          <w:szCs w:val="28"/>
          <w:lang w:eastAsia="ru-RU"/>
        </w:rPr>
        <w:t xml:space="preserve"> КПМ</w:t>
      </w:r>
      <w:r w:rsidRPr="00E47AA9">
        <w:rPr>
          <w:rFonts w:ascii="Times New Roman" w:eastAsia="Calibri" w:hAnsi="Times New Roman" w:cs="Times New Roman"/>
          <w:sz w:val="28"/>
          <w:szCs w:val="28"/>
          <w:lang w:eastAsia="ru-RU"/>
        </w:rPr>
        <w:t xml:space="preserve"> "</w:t>
      </w:r>
      <w:r w:rsidRPr="00E47AA9">
        <w:rPr>
          <w:rFonts w:ascii="Times New Roman" w:eastAsia="Calibri" w:hAnsi="Times New Roman" w:cs="Times New Roman"/>
          <w:i/>
          <w:sz w:val="28"/>
          <w:szCs w:val="28"/>
          <w:lang w:eastAsia="ru-RU"/>
        </w:rPr>
        <w:t>Реализация комплекса мер по поддержке образовательных, научных и иных организаций в области образования, в том числе их обучающихся"</w:t>
      </w:r>
      <w:r w:rsidRPr="00E47AA9">
        <w:rPr>
          <w:rFonts w:ascii="Times New Roman" w:eastAsia="Calibri" w:hAnsi="Times New Roman" w:cs="Times New Roman"/>
          <w:sz w:val="28"/>
          <w:szCs w:val="28"/>
          <w:lang w:eastAsia="ru-RU"/>
        </w:rPr>
        <w:t xml:space="preserve"> исполнение 997,66 млн рублей, или 99,07 % (план </w:t>
      </w:r>
      <w:r w:rsidR="007B79AB" w:rsidRPr="00E47AA9">
        <w:rPr>
          <w:rFonts w:ascii="Times New Roman" w:eastAsia="Calibri" w:hAnsi="Times New Roman" w:cs="Times New Roman"/>
          <w:sz w:val="28"/>
          <w:szCs w:val="28"/>
          <w:lang w:eastAsia="ru-RU"/>
        </w:rPr>
        <w:t xml:space="preserve">– </w:t>
      </w:r>
      <w:r w:rsidRPr="00E47AA9">
        <w:rPr>
          <w:rFonts w:ascii="Times New Roman" w:eastAsia="Calibri" w:hAnsi="Times New Roman" w:cs="Times New Roman"/>
          <w:sz w:val="28"/>
          <w:szCs w:val="28"/>
          <w:lang w:eastAsia="ru-RU"/>
        </w:rPr>
        <w:t xml:space="preserve">1007,07 млн рублей), из них </w:t>
      </w:r>
    </w:p>
    <w:p w14:paraId="2287D549" w14:textId="77777777" w:rsidR="008566E1" w:rsidRPr="00E47AA9" w:rsidRDefault="008566E1" w:rsidP="008566E1">
      <w:pPr>
        <w:widowControl w:val="0"/>
        <w:spacing w:after="0" w:line="240" w:lineRule="auto"/>
        <w:ind w:firstLine="680"/>
        <w:contextualSpacing/>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 xml:space="preserve">в полном объеме на предоставление грантов в виде субсидий: </w:t>
      </w:r>
    </w:p>
    <w:p w14:paraId="500E2357" w14:textId="77777777" w:rsidR="008566E1" w:rsidRPr="00E47AA9" w:rsidRDefault="008566E1" w:rsidP="008566E1">
      <w:pPr>
        <w:widowControl w:val="0"/>
        <w:spacing w:after="0" w:line="240" w:lineRule="auto"/>
        <w:ind w:firstLine="680"/>
        <w:contextualSpacing/>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образовательным организациям, расположенным на территории Приморского края, осуществляющим образовательную деятельность по программам среднего профессионального образования, на реализацию мероприятий, направленных на создание образовательно-производственных центров (кластеров) в рамках федерального проекта "</w:t>
      </w:r>
      <w:proofErr w:type="spellStart"/>
      <w:r w:rsidRPr="00E47AA9">
        <w:rPr>
          <w:rFonts w:ascii="Times New Roman" w:eastAsia="Calibri" w:hAnsi="Times New Roman" w:cs="Times New Roman"/>
          <w:sz w:val="28"/>
          <w:szCs w:val="28"/>
          <w:lang w:eastAsia="ru-RU"/>
        </w:rPr>
        <w:t>Профессионалитет</w:t>
      </w:r>
      <w:proofErr w:type="spellEnd"/>
      <w:r w:rsidRPr="00E47AA9">
        <w:rPr>
          <w:rFonts w:ascii="Times New Roman" w:eastAsia="Calibri" w:hAnsi="Times New Roman" w:cs="Times New Roman"/>
          <w:sz w:val="28"/>
          <w:szCs w:val="28"/>
          <w:lang w:eastAsia="ru-RU"/>
        </w:rPr>
        <w:t xml:space="preserve">" – 33,41 млн рублей; </w:t>
      </w:r>
    </w:p>
    <w:p w14:paraId="496EA7EE" w14:textId="77777777" w:rsidR="008566E1" w:rsidRPr="00E47AA9" w:rsidRDefault="008566E1" w:rsidP="008566E1">
      <w:pPr>
        <w:widowControl w:val="0"/>
        <w:spacing w:after="0" w:line="240" w:lineRule="auto"/>
        <w:ind w:firstLine="680"/>
        <w:contextualSpacing/>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 xml:space="preserve">федеральному государственному автономному учреждению высшего </w:t>
      </w:r>
      <w:r w:rsidRPr="00E47AA9">
        <w:rPr>
          <w:rFonts w:ascii="Times New Roman" w:eastAsia="Calibri" w:hAnsi="Times New Roman" w:cs="Times New Roman"/>
          <w:sz w:val="28"/>
          <w:szCs w:val="28"/>
          <w:lang w:eastAsia="ru-RU"/>
        </w:rPr>
        <w:lastRenderedPageBreak/>
        <w:t xml:space="preserve">образования "Дальневосточный федеральный университет" на формирование инфраструктуры </w:t>
      </w:r>
      <w:proofErr w:type="spellStart"/>
      <w:r w:rsidRPr="00E47AA9">
        <w:rPr>
          <w:rFonts w:ascii="Times New Roman" w:eastAsia="Calibri" w:hAnsi="Times New Roman" w:cs="Times New Roman"/>
          <w:sz w:val="28"/>
          <w:szCs w:val="28"/>
          <w:lang w:eastAsia="ru-RU"/>
        </w:rPr>
        <w:t>инновационно</w:t>
      </w:r>
      <w:proofErr w:type="spellEnd"/>
      <w:r w:rsidRPr="00E47AA9">
        <w:rPr>
          <w:rFonts w:ascii="Times New Roman" w:eastAsia="Calibri" w:hAnsi="Times New Roman" w:cs="Times New Roman"/>
          <w:sz w:val="28"/>
          <w:szCs w:val="28"/>
          <w:lang w:eastAsia="ru-RU"/>
        </w:rPr>
        <w:t>-производственного центра – 220,00 млн рублей;</w:t>
      </w:r>
    </w:p>
    <w:p w14:paraId="352D41CF" w14:textId="77777777" w:rsidR="008566E1" w:rsidRPr="00E47AA9" w:rsidRDefault="008566E1" w:rsidP="008566E1">
      <w:pPr>
        <w:widowControl w:val="0"/>
        <w:spacing w:after="0" w:line="240" w:lineRule="auto"/>
        <w:ind w:firstLine="680"/>
        <w:contextualSpacing/>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на 99,85 %, или 650,00 млн рублей, в том числе за счет федеральных средств – 637,0 млн рублей в полном объеме (651,00 млн рублей) на реализацию мероприятий планов социального развития центров экономического роста (строительство объекта "Пилотная площадка инновационного научно-технологического центра на о. Русский");</w:t>
      </w:r>
    </w:p>
    <w:p w14:paraId="24426EB4" w14:textId="77777777" w:rsidR="008566E1" w:rsidRPr="00E47AA9" w:rsidRDefault="008566E1" w:rsidP="008566E1">
      <w:pPr>
        <w:widowControl w:val="0"/>
        <w:spacing w:after="0" w:line="240" w:lineRule="auto"/>
        <w:ind w:firstLine="680"/>
        <w:contextualSpacing/>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на 99,83 %, или 43,82 млн рублей (43,90 млн рублей)</w:t>
      </w:r>
      <w:r w:rsidR="0079449F" w:rsidRPr="00E47AA9">
        <w:rPr>
          <w:rFonts w:ascii="Times New Roman" w:eastAsia="Calibri" w:hAnsi="Times New Roman" w:cs="Times New Roman"/>
          <w:sz w:val="28"/>
          <w:szCs w:val="28"/>
          <w:lang w:eastAsia="ru-RU"/>
        </w:rPr>
        <w:t>,</w:t>
      </w:r>
      <w:r w:rsidRPr="00E47AA9">
        <w:rPr>
          <w:rFonts w:ascii="Times New Roman" w:eastAsia="Calibri" w:hAnsi="Times New Roman" w:cs="Times New Roman"/>
          <w:sz w:val="28"/>
          <w:szCs w:val="28"/>
          <w:lang w:eastAsia="ru-RU"/>
        </w:rPr>
        <w:t xml:space="preserve"> на стипендии Правительства Приморского края выпускникам школ, получившим 200 баллов по единому государственному экзамену и поступившим в высшие учебные заведения Приморского края по приоритетным специальностям;</w:t>
      </w:r>
    </w:p>
    <w:p w14:paraId="239DB454" w14:textId="592C41C6" w:rsidR="008566E1" w:rsidRPr="00E47AA9" w:rsidRDefault="008566E1" w:rsidP="008566E1">
      <w:pPr>
        <w:widowControl w:val="0"/>
        <w:spacing w:after="0" w:line="240" w:lineRule="auto"/>
        <w:ind w:firstLine="680"/>
        <w:contextualSpacing/>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на 96,97 %, или 14,54 млн рублей (15,00 млн рублей) на предоставление грантов образовательным организациям высшего образования, реализующим образовательные программы среднего профессионального образования, на создание современных мастерских высшего образования, реализующим образовательные программы среднего профессионального образования, на</w:t>
      </w:r>
      <w:r w:rsidR="007B79AB" w:rsidRPr="00E47AA9">
        <w:rPr>
          <w:rFonts w:ascii="Times New Roman" w:eastAsia="Calibri" w:hAnsi="Times New Roman" w:cs="Times New Roman"/>
          <w:sz w:val="28"/>
          <w:szCs w:val="28"/>
          <w:lang w:eastAsia="ru-RU"/>
        </w:rPr>
        <w:t> </w:t>
      </w:r>
      <w:r w:rsidRPr="00E47AA9">
        <w:rPr>
          <w:rFonts w:ascii="Times New Roman" w:eastAsia="Calibri" w:hAnsi="Times New Roman" w:cs="Times New Roman"/>
          <w:sz w:val="28"/>
          <w:szCs w:val="28"/>
          <w:lang w:eastAsia="ru-RU"/>
        </w:rPr>
        <w:t>создание современных мастерских;</w:t>
      </w:r>
    </w:p>
    <w:p w14:paraId="741BB22F" w14:textId="77777777" w:rsidR="008566E1" w:rsidRPr="00E47AA9" w:rsidRDefault="008566E1" w:rsidP="008566E1">
      <w:pPr>
        <w:pStyle w:val="ConsPlusNormal"/>
        <w:ind w:firstLine="708"/>
        <w:jc w:val="both"/>
        <w:rPr>
          <w:rFonts w:ascii="Times New Roman" w:hAnsi="Times New Roman" w:cs="Times New Roman"/>
          <w:sz w:val="28"/>
          <w:szCs w:val="28"/>
        </w:rPr>
      </w:pPr>
      <w:r w:rsidRPr="00E47AA9">
        <w:rPr>
          <w:rFonts w:ascii="Times New Roman" w:hAnsi="Times New Roman" w:cs="Times New Roman"/>
          <w:sz w:val="28"/>
          <w:szCs w:val="28"/>
        </w:rPr>
        <w:t>на 84,70 %, или 35,88 млн рублей (42,36 млн рублей)</w:t>
      </w:r>
      <w:r w:rsidR="0079449F" w:rsidRPr="00E47AA9">
        <w:rPr>
          <w:rFonts w:ascii="Times New Roman" w:hAnsi="Times New Roman" w:cs="Times New Roman"/>
          <w:sz w:val="28"/>
          <w:szCs w:val="28"/>
        </w:rPr>
        <w:t>,</w:t>
      </w:r>
      <w:r w:rsidRPr="00E47AA9">
        <w:rPr>
          <w:rFonts w:ascii="Times New Roman" w:hAnsi="Times New Roman" w:cs="Times New Roman"/>
          <w:sz w:val="28"/>
          <w:szCs w:val="28"/>
        </w:rPr>
        <w:t xml:space="preserve"> на меры поддержки гражданам, заключившим договор о целевом обучении и гражданам, проходящим обучение в государственных образовательных организациях Республики Беларусь по образовательным программам в сфере лесного хозяйства. Не исполнено 6,48 млн рублей, что обусловлено отчислением обучающихся по причине академической неуспеваемости, переводом в другие образовательные учреждения, отпуском по уходу за ребенком в возрасте до 1,5 лет, отчислением из образовательной организации по собственному желанию.</w:t>
      </w:r>
    </w:p>
    <w:p w14:paraId="658FB3B3" w14:textId="77777777" w:rsidR="008566E1" w:rsidRPr="00E47AA9" w:rsidRDefault="008566E1" w:rsidP="008566E1">
      <w:pPr>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 xml:space="preserve">Подпрограмма "Совершенствование управления системой образования" </w:t>
      </w:r>
    </w:p>
    <w:p w14:paraId="54EDD954" w14:textId="61890A42" w:rsidR="008566E1" w:rsidRPr="00E47AA9" w:rsidRDefault="008566E1" w:rsidP="008566E1">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hAnsi="Times New Roman" w:cs="Times New Roman"/>
          <w:bCs/>
          <w:i/>
          <w:iCs/>
          <w:sz w:val="28"/>
          <w:szCs w:val="28"/>
        </w:rPr>
        <w:t xml:space="preserve">По </w:t>
      </w:r>
      <w:r w:rsidR="003C5CB1" w:rsidRPr="00E47AA9">
        <w:rPr>
          <w:rFonts w:ascii="Times New Roman" w:hAnsi="Times New Roman" w:cs="Times New Roman"/>
          <w:bCs/>
          <w:i/>
          <w:iCs/>
          <w:sz w:val="28"/>
          <w:szCs w:val="28"/>
        </w:rPr>
        <w:t>КПМ</w:t>
      </w:r>
      <w:r w:rsidRPr="00E47AA9">
        <w:rPr>
          <w:rFonts w:ascii="Times New Roman" w:hAnsi="Times New Roman" w:cs="Times New Roman"/>
          <w:bCs/>
          <w:i/>
          <w:iCs/>
          <w:sz w:val="28"/>
          <w:szCs w:val="28"/>
        </w:rPr>
        <w:t xml:space="preserve"> "Совершенствование управления системой образования" </w:t>
      </w:r>
      <w:r w:rsidRPr="00E47AA9">
        <w:rPr>
          <w:rFonts w:ascii="Times New Roman" w:eastAsia="Times New Roman" w:hAnsi="Times New Roman" w:cs="Times New Roman"/>
          <w:sz w:val="28"/>
          <w:szCs w:val="28"/>
          <w:lang w:eastAsia="ru-RU"/>
        </w:rPr>
        <w:t xml:space="preserve">исполнено 121,65 млн рублей, или 94,04 % (план </w:t>
      </w:r>
      <w:r w:rsidR="007B79AB"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129,36 млн рублей), в том числе за счет средств федерального бюджета – 14,04 млн рублей в</w:t>
      </w:r>
      <w:r w:rsidR="007B79AB"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запланированном объеме, краевого бюджета – 107,58 млн рублей, или 93,32 % (115,28 млн рублей). Бюджетные средства направлены на:</w:t>
      </w:r>
    </w:p>
    <w:p w14:paraId="43B75CA8" w14:textId="77777777" w:rsidR="008566E1" w:rsidRPr="00E47AA9" w:rsidRDefault="008566E1" w:rsidP="008566E1">
      <w:pPr>
        <w:spacing w:after="0" w:line="240" w:lineRule="auto"/>
        <w:ind w:firstLine="680"/>
        <w:jc w:val="both"/>
        <w:rPr>
          <w:rFonts w:ascii="Times New Roman" w:eastAsia="Calibri" w:hAnsi="Times New Roman" w:cs="Times New Roman"/>
          <w:sz w:val="28"/>
          <w:szCs w:val="24"/>
          <w:lang w:eastAsia="ru-RU"/>
        </w:rPr>
      </w:pPr>
      <w:r w:rsidRPr="00E47AA9">
        <w:rPr>
          <w:rFonts w:ascii="Times New Roman" w:eastAsia="Times New Roman" w:hAnsi="Times New Roman" w:cs="Times New Roman"/>
          <w:sz w:val="28"/>
          <w:szCs w:val="28"/>
          <w:lang w:eastAsia="ru-RU"/>
        </w:rPr>
        <w:t>руководство и управление в сфере установленных функций министерства образования Приморского края – 83,42 млн рублей, или 95,86 % (87,02 млн рублей), департамента по делам молодежи Приморского края – 23,29 млн рублей, или 85,04 % (27,39 млн рублей)</w:t>
      </w:r>
      <w:r w:rsidRPr="00E47AA9">
        <w:rPr>
          <w:rFonts w:ascii="Times New Roman" w:eastAsia="Calibri" w:hAnsi="Times New Roman" w:cs="Times New Roman"/>
          <w:sz w:val="28"/>
          <w:szCs w:val="24"/>
          <w:lang w:eastAsia="ru-RU"/>
        </w:rPr>
        <w:t>;</w:t>
      </w:r>
    </w:p>
    <w:p w14:paraId="6C6A7D82" w14:textId="73FB128D" w:rsidR="008566E1" w:rsidRPr="00E47AA9" w:rsidRDefault="008566E1" w:rsidP="008566E1">
      <w:pPr>
        <w:spacing w:after="0" w:line="240" w:lineRule="auto"/>
        <w:ind w:firstLine="709"/>
        <w:jc w:val="both"/>
        <w:rPr>
          <w:rFonts w:ascii="Times New Roman" w:eastAsia="Times New Roman" w:hAnsi="Times New Roman" w:cs="Times New Roman"/>
          <w:snapToGrid w:val="0"/>
          <w:sz w:val="28"/>
          <w:szCs w:val="28"/>
          <w:lang w:eastAsia="ru-RU"/>
        </w:rPr>
      </w:pPr>
      <w:r w:rsidRPr="00E47AA9">
        <w:rPr>
          <w:rFonts w:ascii="Times New Roman" w:eastAsia="Times New Roman" w:hAnsi="Times New Roman" w:cs="Times New Roman"/>
          <w:snapToGrid w:val="0"/>
          <w:sz w:val="28"/>
          <w:szCs w:val="28"/>
          <w:lang w:eastAsia="ru-RU"/>
        </w:rPr>
        <w:t>осуществление переданных полномочий органам государственной власти субъектов Российской Федерации в соответствии с частью 1 статьи 7</w:t>
      </w:r>
      <w:r w:rsidR="007B79AB" w:rsidRPr="00E47AA9">
        <w:rPr>
          <w:rFonts w:ascii="Times New Roman" w:eastAsia="Times New Roman" w:hAnsi="Times New Roman" w:cs="Times New Roman"/>
          <w:snapToGrid w:val="0"/>
          <w:sz w:val="28"/>
          <w:szCs w:val="28"/>
          <w:lang w:eastAsia="ru-RU"/>
        </w:rPr>
        <w:t> </w:t>
      </w:r>
      <w:r w:rsidRPr="00E47AA9">
        <w:rPr>
          <w:rFonts w:ascii="Times New Roman" w:eastAsia="Times New Roman" w:hAnsi="Times New Roman" w:cs="Times New Roman"/>
          <w:snapToGrid w:val="0"/>
          <w:sz w:val="28"/>
          <w:szCs w:val="28"/>
          <w:lang w:eastAsia="ru-RU"/>
        </w:rPr>
        <w:t>Федерального закона от 29.12.2012 № 273-ФЗ "Об образовании в Российской Федерации" полномочий Российской Федерации в сфере образования за счет средств федерального бюджета – 14,07 млн рублей в запланированном объеме.</w:t>
      </w:r>
    </w:p>
    <w:p w14:paraId="4C5DD452" w14:textId="77777777" w:rsidR="008566E1" w:rsidRPr="00E47AA9" w:rsidRDefault="008566E1" w:rsidP="008566E1">
      <w:pPr>
        <w:spacing w:after="0" w:line="240" w:lineRule="auto"/>
        <w:ind w:firstLine="709"/>
        <w:jc w:val="both"/>
        <w:rPr>
          <w:rFonts w:ascii="Times New Roman" w:eastAsia="Calibri" w:hAnsi="Times New Roman" w:cs="Times New Roman"/>
          <w:sz w:val="28"/>
          <w:szCs w:val="28"/>
          <w:lang w:eastAsia="ru-RU"/>
        </w:rPr>
      </w:pPr>
      <w:r w:rsidRPr="00E47AA9">
        <w:rPr>
          <w:rFonts w:ascii="Times New Roman" w:eastAsia="Calibri" w:hAnsi="Times New Roman" w:cs="Times New Roman"/>
          <w:b/>
          <w:sz w:val="28"/>
          <w:szCs w:val="28"/>
          <w:lang w:eastAsia="ru-RU"/>
        </w:rPr>
        <w:lastRenderedPageBreak/>
        <w:t>Подпрограмма "Реализация национальных проектов "Демография" и "Образование"</w:t>
      </w:r>
      <w:r w:rsidRPr="00E47AA9">
        <w:rPr>
          <w:rFonts w:ascii="Times New Roman" w:eastAsia="Calibri" w:hAnsi="Times New Roman" w:cs="Times New Roman"/>
          <w:sz w:val="28"/>
          <w:szCs w:val="28"/>
          <w:lang w:eastAsia="ru-RU"/>
        </w:rPr>
        <w:t xml:space="preserve"> </w:t>
      </w:r>
    </w:p>
    <w:p w14:paraId="46A71D70" w14:textId="77777777" w:rsidR="008566E1" w:rsidRPr="00E47AA9" w:rsidRDefault="008566E1" w:rsidP="008566E1">
      <w:pPr>
        <w:spacing w:after="0" w:line="240" w:lineRule="auto"/>
        <w:ind w:firstLine="709"/>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По подпрограмме отражены мероприятия РП, входящие в состав:</w:t>
      </w:r>
    </w:p>
    <w:p w14:paraId="14212EC0" w14:textId="77777777" w:rsidR="008566E1" w:rsidRPr="00E47AA9" w:rsidRDefault="008566E1" w:rsidP="008566E1">
      <w:pPr>
        <w:spacing w:after="0" w:line="240" w:lineRule="auto"/>
        <w:ind w:firstLine="709"/>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НП "Образование": проекты "Современная школа", "Успех каждого ребенка", "Цифровая образовательная среда", "Молодые профессионалы (Повышение конкурентоспособности профессионального образования)", "Социальная активность";</w:t>
      </w:r>
    </w:p>
    <w:p w14:paraId="580B4627" w14:textId="77777777" w:rsidR="008566E1" w:rsidRPr="00E47AA9" w:rsidRDefault="008566E1" w:rsidP="008566E1">
      <w:pPr>
        <w:spacing w:after="0" w:line="240" w:lineRule="auto"/>
        <w:ind w:firstLine="709"/>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 xml:space="preserve">НП "Демография": проекты "Содействие занятости", "Финансовая поддержка семей при рождении детей". </w:t>
      </w:r>
    </w:p>
    <w:p w14:paraId="438F2E2B" w14:textId="603658F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Исполнение мероприятий подпрограммы </w:t>
      </w:r>
      <w:r w:rsidRPr="00E47AA9">
        <w:rPr>
          <w:rFonts w:ascii="Times New Roman" w:eastAsia="Calibri" w:hAnsi="Times New Roman" w:cs="Times New Roman"/>
          <w:sz w:val="24"/>
          <w:szCs w:val="24"/>
          <w:lang w:eastAsia="ru-RU"/>
        </w:rPr>
        <w:t>"</w:t>
      </w:r>
      <w:r w:rsidRPr="00E47AA9">
        <w:rPr>
          <w:rFonts w:ascii="Times New Roman" w:eastAsia="Times New Roman" w:hAnsi="Times New Roman" w:cs="Times New Roman"/>
          <w:sz w:val="28"/>
          <w:szCs w:val="28"/>
          <w:lang w:eastAsia="ru-RU"/>
        </w:rPr>
        <w:t>Реализация национальных проектов "Демография" и "Образование"</w:t>
      </w:r>
      <w:r w:rsidRPr="00E47AA9">
        <w:rPr>
          <w:rFonts w:ascii="Times New Roman" w:eastAsia="Times New Roman" w:hAnsi="Times New Roman" w:cs="Times New Roman"/>
          <w:b/>
          <w:i/>
          <w:sz w:val="28"/>
          <w:szCs w:val="28"/>
          <w:lang w:eastAsia="ru-RU"/>
        </w:rPr>
        <w:t xml:space="preserve"> </w:t>
      </w:r>
      <w:r w:rsidRPr="00E47AA9">
        <w:rPr>
          <w:rFonts w:ascii="Times New Roman" w:eastAsia="Times New Roman" w:hAnsi="Times New Roman" w:cs="Times New Roman"/>
          <w:sz w:val="28"/>
          <w:szCs w:val="28"/>
          <w:lang w:eastAsia="ru-RU"/>
        </w:rPr>
        <w:t>изложено в приложении 3 к</w:t>
      </w:r>
      <w:r w:rsidR="007B79AB"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заключению.</w:t>
      </w:r>
    </w:p>
    <w:p w14:paraId="66EB05F4" w14:textId="77777777" w:rsidR="008566E1" w:rsidRPr="00E47AA9" w:rsidRDefault="008566E1" w:rsidP="008566E1">
      <w:pPr>
        <w:spacing w:after="0" w:line="240" w:lineRule="auto"/>
        <w:jc w:val="center"/>
        <w:rPr>
          <w:rFonts w:ascii="Times New Roman" w:eastAsia="Times New Roman" w:hAnsi="Times New Roman" w:cs="Times New Roman"/>
          <w:sz w:val="28"/>
          <w:szCs w:val="28"/>
          <w:lang w:eastAsia="ru-RU"/>
        </w:rPr>
      </w:pPr>
    </w:p>
    <w:p w14:paraId="615055C7" w14:textId="77777777" w:rsidR="008566E1" w:rsidRPr="00E47AA9" w:rsidRDefault="008566E1" w:rsidP="00FD476E">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noProof/>
          <w:sz w:val="20"/>
          <w:szCs w:val="20"/>
          <w:lang w:eastAsia="ru-RU"/>
        </w:rPr>
        <w:drawing>
          <wp:anchor distT="0" distB="0" distL="114300" distR="114300" simplePos="0" relativeHeight="251675648" behindDoc="0" locked="0" layoutInCell="1" allowOverlap="1" wp14:anchorId="2859E7F6" wp14:editId="1C249F49">
            <wp:simplePos x="0" y="0"/>
            <wp:positionH relativeFrom="column">
              <wp:posOffset>0</wp:posOffset>
            </wp:positionH>
            <wp:positionV relativeFrom="paragraph">
              <wp:posOffset>199390</wp:posOffset>
            </wp:positionV>
            <wp:extent cx="1497965" cy="1127125"/>
            <wp:effectExtent l="0" t="0" r="6985" b="0"/>
            <wp:wrapSquare wrapText="bothSides"/>
            <wp:docPr id="1" name="Рисунок 1" descr="C:\Users\zavzyataya_sv\Desktop\Картинки к исполнению\depositphotos_49595661-stock-illustration-happy-cartoon-fami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avzyataya_sv\Desktop\Картинки к исполнению\depositphotos_49595661-stock-illustration-happy-cartoon-family.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97965" cy="1127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AA9">
        <w:rPr>
          <w:rFonts w:ascii="Times New Roman" w:eastAsia="Times New Roman" w:hAnsi="Times New Roman" w:cs="Times New Roman"/>
          <w:b/>
          <w:sz w:val="28"/>
          <w:szCs w:val="28"/>
          <w:lang w:eastAsia="ru-RU"/>
        </w:rPr>
        <w:t>5.2.3. Государственная программа Приморского края "Социальная поддержка населения Приморского края"</w:t>
      </w:r>
    </w:p>
    <w:p w14:paraId="61F7A1F6" w14:textId="2947E631" w:rsidR="008566E1" w:rsidRPr="00E47AA9" w:rsidRDefault="008566E1" w:rsidP="008566E1">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Уточненные бюджетные назначения на 2024 год на</w:t>
      </w:r>
      <w:r w:rsidR="007B79AB"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реализацию ГП (32010,29 млн рублей) исполнены на</w:t>
      </w:r>
      <w:r w:rsidR="007B79AB"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 xml:space="preserve">99,25 %, или 31768,94 млн рублей (в том числе за счет средств: федерального бюджета – 6700,27 млн рублей, краевого бюджета – 25044,92 млн рублей, государственного внебюджетного фонда Российской Федерации (Фонд пенсионного и социального страхования Российской Федерации) – 0,04 млн рублей, иные внебюджетные источники </w:t>
      </w:r>
      <w:r w:rsidRPr="00E47AA9">
        <w:rPr>
          <w:rStyle w:val="a8"/>
          <w:rFonts w:ascii="Times New Roman" w:hAnsi="Times New Roman"/>
          <w:sz w:val="28"/>
          <w:szCs w:val="28"/>
        </w:rPr>
        <w:footnoteReference w:id="35"/>
      </w:r>
      <w:r w:rsidRPr="00E47AA9">
        <w:rPr>
          <w:rFonts w:ascii="Times New Roman" w:eastAsia="Times New Roman" w:hAnsi="Times New Roman" w:cs="Times New Roman"/>
          <w:sz w:val="28"/>
          <w:szCs w:val="28"/>
        </w:rPr>
        <w:t>– 23,71 млн рублей).</w:t>
      </w:r>
    </w:p>
    <w:p w14:paraId="740D3F11"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В соответствии с паспортом ГП ответственный исполнитель государственной программы </w:t>
      </w:r>
      <w:r w:rsidR="0079449F"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министерство труда и социальной политики Приморского края и 9 соисполнителей</w:t>
      </w:r>
      <w:r w:rsidRPr="00E47AA9">
        <w:rPr>
          <w:rStyle w:val="a8"/>
          <w:rFonts w:ascii="Times New Roman" w:hAnsi="Times New Roman"/>
          <w:sz w:val="28"/>
          <w:szCs w:val="28"/>
        </w:rPr>
        <w:footnoteReference w:id="36"/>
      </w:r>
      <w:r w:rsidRPr="00E47AA9">
        <w:rPr>
          <w:rFonts w:ascii="Times New Roman" w:eastAsia="Times New Roman" w:hAnsi="Times New Roman" w:cs="Times New Roman"/>
          <w:sz w:val="28"/>
          <w:szCs w:val="28"/>
        </w:rPr>
        <w:t xml:space="preserve">. </w:t>
      </w:r>
    </w:p>
    <w:p w14:paraId="3B39742D" w14:textId="77777777" w:rsidR="008566E1" w:rsidRPr="00E47AA9" w:rsidRDefault="008566E1" w:rsidP="008566E1">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Исполнение ГП в разрезе главных распорядителей средств краевого бюджета приведено в таблице.</w:t>
      </w:r>
    </w:p>
    <w:tbl>
      <w:tblPr>
        <w:tblW w:w="9512" w:type="dxa"/>
        <w:tblInd w:w="93" w:type="dxa"/>
        <w:tblLayout w:type="fixed"/>
        <w:tblLook w:val="04A0" w:firstRow="1" w:lastRow="0" w:firstColumn="1" w:lastColumn="0" w:noHBand="0" w:noVBand="1"/>
      </w:tblPr>
      <w:tblGrid>
        <w:gridCol w:w="520"/>
        <w:gridCol w:w="2897"/>
        <w:gridCol w:w="1134"/>
        <w:gridCol w:w="851"/>
        <w:gridCol w:w="1124"/>
        <w:gridCol w:w="786"/>
        <w:gridCol w:w="900"/>
        <w:gridCol w:w="1300"/>
      </w:tblGrid>
      <w:tr w:rsidR="00E47AA9" w:rsidRPr="00E47AA9" w14:paraId="5472DF30" w14:textId="77777777" w:rsidTr="00845A54">
        <w:trPr>
          <w:trHeight w:val="128"/>
          <w:tblHeader/>
        </w:trPr>
        <w:tc>
          <w:tcPr>
            <w:tcW w:w="520" w:type="dxa"/>
            <w:tcBorders>
              <w:bottom w:val="single" w:sz="4" w:space="0" w:color="auto"/>
            </w:tcBorders>
            <w:shd w:val="clear" w:color="auto" w:fill="auto"/>
            <w:textDirection w:val="btLr"/>
            <w:vAlign w:val="center"/>
          </w:tcPr>
          <w:p w14:paraId="262AA5B6"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rPr>
              <w:t xml:space="preserve">   </w:t>
            </w:r>
            <w:r w:rsidRPr="00E47AA9">
              <w:rPr>
                <w:rFonts w:ascii="Times New Roman" w:eastAsia="Times New Roman" w:hAnsi="Times New Roman" w:cs="Times New Roman"/>
                <w:sz w:val="20"/>
                <w:szCs w:val="20"/>
              </w:rPr>
              <w:tab/>
            </w:r>
            <w:r w:rsidRPr="00E47AA9">
              <w:rPr>
                <w:rFonts w:ascii="Times New Roman" w:eastAsia="Times New Roman" w:hAnsi="Times New Roman" w:cs="Times New Roman"/>
                <w:sz w:val="20"/>
                <w:szCs w:val="20"/>
              </w:rPr>
              <w:tab/>
            </w:r>
            <w:r w:rsidRPr="00E47AA9">
              <w:rPr>
                <w:rFonts w:ascii="Times New Roman" w:eastAsia="Times New Roman" w:hAnsi="Times New Roman" w:cs="Times New Roman"/>
                <w:sz w:val="20"/>
                <w:szCs w:val="20"/>
              </w:rPr>
              <w:tab/>
            </w:r>
          </w:p>
        </w:tc>
        <w:tc>
          <w:tcPr>
            <w:tcW w:w="2897" w:type="dxa"/>
            <w:tcBorders>
              <w:bottom w:val="single" w:sz="4" w:space="0" w:color="auto"/>
            </w:tcBorders>
            <w:shd w:val="clear" w:color="auto" w:fill="auto"/>
            <w:vAlign w:val="center"/>
          </w:tcPr>
          <w:p w14:paraId="4D23F5E8"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p>
        </w:tc>
        <w:tc>
          <w:tcPr>
            <w:tcW w:w="1985" w:type="dxa"/>
            <w:gridSpan w:val="2"/>
            <w:tcBorders>
              <w:bottom w:val="single" w:sz="4" w:space="0" w:color="auto"/>
            </w:tcBorders>
            <w:shd w:val="clear" w:color="auto" w:fill="auto"/>
            <w:vAlign w:val="center"/>
          </w:tcPr>
          <w:p w14:paraId="779DA75C"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p>
        </w:tc>
        <w:tc>
          <w:tcPr>
            <w:tcW w:w="4110" w:type="dxa"/>
            <w:gridSpan w:val="4"/>
            <w:tcBorders>
              <w:bottom w:val="single" w:sz="4" w:space="0" w:color="auto"/>
            </w:tcBorders>
            <w:shd w:val="clear" w:color="auto" w:fill="auto"/>
            <w:vAlign w:val="center"/>
          </w:tcPr>
          <w:p w14:paraId="762A6BB4" w14:textId="77777777" w:rsidR="008566E1" w:rsidRPr="00E47AA9" w:rsidRDefault="008566E1" w:rsidP="00845A54">
            <w:pPr>
              <w:spacing w:after="0" w:line="240" w:lineRule="auto"/>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rPr>
              <w:t>(млн рублей)</w:t>
            </w:r>
          </w:p>
        </w:tc>
      </w:tr>
      <w:tr w:rsidR="00E47AA9" w:rsidRPr="00E47AA9" w14:paraId="24AB0B44" w14:textId="77777777" w:rsidTr="00845A54">
        <w:trPr>
          <w:trHeight w:val="975"/>
          <w:tblHeader/>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5E90595"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Ведомство</w:t>
            </w:r>
          </w:p>
        </w:tc>
        <w:tc>
          <w:tcPr>
            <w:tcW w:w="28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881A77"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Наименование </w:t>
            </w: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14:paraId="6B6C324D"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Уточненные бюджетные назначения </w:t>
            </w:r>
          </w:p>
          <w:p w14:paraId="30D2A378"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на 2024 год </w:t>
            </w:r>
          </w:p>
        </w:tc>
        <w:tc>
          <w:tcPr>
            <w:tcW w:w="2810" w:type="dxa"/>
            <w:gridSpan w:val="3"/>
            <w:tcBorders>
              <w:top w:val="single" w:sz="4" w:space="0" w:color="auto"/>
              <w:left w:val="nil"/>
              <w:bottom w:val="single" w:sz="4" w:space="0" w:color="auto"/>
              <w:right w:val="single" w:sz="4" w:space="0" w:color="auto"/>
            </w:tcBorders>
            <w:shd w:val="clear" w:color="auto" w:fill="auto"/>
            <w:vAlign w:val="center"/>
            <w:hideMark/>
          </w:tcPr>
          <w:p w14:paraId="1BD5F0DD"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3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85FF96"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proofErr w:type="spellStart"/>
            <w:r w:rsidRPr="00E47AA9">
              <w:rPr>
                <w:rFonts w:ascii="Times New Roman" w:eastAsia="Times New Roman" w:hAnsi="Times New Roman" w:cs="Times New Roman"/>
                <w:sz w:val="20"/>
                <w:szCs w:val="20"/>
                <w:lang w:eastAsia="ru-RU"/>
              </w:rPr>
              <w:t>Неиспол-ненные</w:t>
            </w:r>
            <w:proofErr w:type="spellEnd"/>
            <w:r w:rsidRPr="00E47AA9">
              <w:rPr>
                <w:rFonts w:ascii="Times New Roman" w:eastAsia="Times New Roman" w:hAnsi="Times New Roman" w:cs="Times New Roman"/>
                <w:sz w:val="20"/>
                <w:szCs w:val="20"/>
                <w:lang w:eastAsia="ru-RU"/>
              </w:rPr>
              <w:t xml:space="preserve"> уточненные </w:t>
            </w:r>
            <w:proofErr w:type="gramStart"/>
            <w:r w:rsidRPr="00E47AA9">
              <w:rPr>
                <w:rFonts w:ascii="Times New Roman" w:eastAsia="Times New Roman" w:hAnsi="Times New Roman" w:cs="Times New Roman"/>
                <w:sz w:val="20"/>
                <w:szCs w:val="20"/>
                <w:lang w:eastAsia="ru-RU"/>
              </w:rPr>
              <w:t>бюджетные  назначения</w:t>
            </w:r>
            <w:proofErr w:type="gramEnd"/>
          </w:p>
        </w:tc>
      </w:tr>
      <w:tr w:rsidR="00E47AA9" w:rsidRPr="00E47AA9" w14:paraId="0099ED71" w14:textId="77777777" w:rsidTr="00845A54">
        <w:trPr>
          <w:trHeight w:val="750"/>
          <w:tblHeader/>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50DBE739"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p>
        </w:tc>
        <w:tc>
          <w:tcPr>
            <w:tcW w:w="2897" w:type="dxa"/>
            <w:vMerge/>
            <w:tcBorders>
              <w:top w:val="single" w:sz="4" w:space="0" w:color="auto"/>
              <w:left w:val="single" w:sz="4" w:space="0" w:color="auto"/>
              <w:bottom w:val="single" w:sz="4" w:space="0" w:color="auto"/>
              <w:right w:val="single" w:sz="4" w:space="0" w:color="auto"/>
            </w:tcBorders>
            <w:vAlign w:val="center"/>
            <w:hideMark/>
          </w:tcPr>
          <w:p w14:paraId="1F426667"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515F3816"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851" w:type="dxa"/>
            <w:tcBorders>
              <w:top w:val="nil"/>
              <w:left w:val="nil"/>
              <w:bottom w:val="single" w:sz="4" w:space="0" w:color="auto"/>
              <w:right w:val="single" w:sz="4" w:space="0" w:color="auto"/>
            </w:tcBorders>
            <w:shd w:val="clear" w:color="auto" w:fill="auto"/>
            <w:vAlign w:val="center"/>
            <w:hideMark/>
          </w:tcPr>
          <w:p w14:paraId="4CF78673"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удель-ный</w:t>
            </w:r>
            <w:proofErr w:type="spellEnd"/>
            <w:proofErr w:type="gramEnd"/>
            <w:r w:rsidRPr="00E47AA9">
              <w:rPr>
                <w:rFonts w:ascii="Times New Roman" w:eastAsia="Times New Roman" w:hAnsi="Times New Roman" w:cs="Times New Roman"/>
                <w:sz w:val="20"/>
                <w:szCs w:val="20"/>
                <w:lang w:eastAsia="ru-RU"/>
              </w:rPr>
              <w:t xml:space="preserve"> вес, %</w:t>
            </w:r>
          </w:p>
        </w:tc>
        <w:tc>
          <w:tcPr>
            <w:tcW w:w="1124" w:type="dxa"/>
            <w:tcBorders>
              <w:top w:val="nil"/>
              <w:left w:val="nil"/>
              <w:bottom w:val="single" w:sz="4" w:space="0" w:color="auto"/>
              <w:right w:val="single" w:sz="4" w:space="0" w:color="auto"/>
            </w:tcBorders>
            <w:shd w:val="clear" w:color="auto" w:fill="auto"/>
            <w:vAlign w:val="center"/>
            <w:hideMark/>
          </w:tcPr>
          <w:p w14:paraId="4EEDB72D"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786" w:type="dxa"/>
            <w:tcBorders>
              <w:top w:val="nil"/>
              <w:left w:val="nil"/>
              <w:bottom w:val="single" w:sz="4" w:space="0" w:color="auto"/>
              <w:right w:val="single" w:sz="4" w:space="0" w:color="auto"/>
            </w:tcBorders>
            <w:shd w:val="clear" w:color="auto" w:fill="auto"/>
            <w:vAlign w:val="center"/>
            <w:hideMark/>
          </w:tcPr>
          <w:p w14:paraId="10992B8B"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 </w:t>
            </w:r>
            <w:proofErr w:type="spellStart"/>
            <w:proofErr w:type="gramStart"/>
            <w:r w:rsidRPr="00E47AA9">
              <w:rPr>
                <w:rFonts w:ascii="Times New Roman" w:eastAsia="Times New Roman" w:hAnsi="Times New Roman" w:cs="Times New Roman"/>
                <w:sz w:val="20"/>
                <w:szCs w:val="20"/>
                <w:lang w:eastAsia="ru-RU"/>
              </w:rPr>
              <w:t>испол</w:t>
            </w:r>
            <w:proofErr w:type="spellEnd"/>
            <w:r w:rsidRPr="00E47AA9">
              <w:rPr>
                <w:rFonts w:ascii="Times New Roman" w:eastAsia="Times New Roman" w:hAnsi="Times New Roman" w:cs="Times New Roman"/>
                <w:sz w:val="20"/>
                <w:szCs w:val="20"/>
                <w:lang w:eastAsia="ru-RU"/>
              </w:rPr>
              <w:t>-нения</w:t>
            </w:r>
            <w:proofErr w:type="gramEnd"/>
          </w:p>
        </w:tc>
        <w:tc>
          <w:tcPr>
            <w:tcW w:w="900" w:type="dxa"/>
            <w:tcBorders>
              <w:top w:val="nil"/>
              <w:left w:val="nil"/>
              <w:bottom w:val="single" w:sz="4" w:space="0" w:color="auto"/>
              <w:right w:val="single" w:sz="4" w:space="0" w:color="auto"/>
            </w:tcBorders>
            <w:shd w:val="clear" w:color="auto" w:fill="auto"/>
            <w:vAlign w:val="center"/>
            <w:hideMark/>
          </w:tcPr>
          <w:p w14:paraId="5F282014"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удель-ный</w:t>
            </w:r>
            <w:proofErr w:type="spellEnd"/>
            <w:proofErr w:type="gramEnd"/>
            <w:r w:rsidRPr="00E47AA9">
              <w:rPr>
                <w:rFonts w:ascii="Times New Roman" w:eastAsia="Times New Roman" w:hAnsi="Times New Roman" w:cs="Times New Roman"/>
                <w:sz w:val="20"/>
                <w:szCs w:val="20"/>
                <w:lang w:eastAsia="ru-RU"/>
              </w:rPr>
              <w:t xml:space="preserve"> вес, %</w:t>
            </w:r>
          </w:p>
        </w:tc>
        <w:tc>
          <w:tcPr>
            <w:tcW w:w="1300" w:type="dxa"/>
            <w:vMerge/>
            <w:tcBorders>
              <w:top w:val="single" w:sz="4" w:space="0" w:color="auto"/>
              <w:left w:val="single" w:sz="4" w:space="0" w:color="auto"/>
              <w:bottom w:val="single" w:sz="4" w:space="0" w:color="auto"/>
              <w:right w:val="single" w:sz="4" w:space="0" w:color="auto"/>
            </w:tcBorders>
            <w:vAlign w:val="center"/>
            <w:hideMark/>
          </w:tcPr>
          <w:p w14:paraId="21637C07"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p>
        </w:tc>
      </w:tr>
      <w:tr w:rsidR="00E47AA9" w:rsidRPr="00E47AA9" w14:paraId="50FD3D68" w14:textId="77777777" w:rsidTr="00845A54">
        <w:trPr>
          <w:trHeight w:val="510"/>
        </w:trPr>
        <w:tc>
          <w:tcPr>
            <w:tcW w:w="3417" w:type="dxa"/>
            <w:gridSpan w:val="2"/>
            <w:tcBorders>
              <w:top w:val="nil"/>
              <w:left w:val="single" w:sz="4" w:space="0" w:color="auto"/>
              <w:bottom w:val="single" w:sz="4" w:space="0" w:color="auto"/>
              <w:right w:val="single" w:sz="4" w:space="0" w:color="auto"/>
            </w:tcBorders>
            <w:shd w:val="clear" w:color="auto" w:fill="auto"/>
            <w:vAlign w:val="center"/>
            <w:hideMark/>
          </w:tcPr>
          <w:p w14:paraId="2C36B3CF" w14:textId="77777777" w:rsidR="008566E1" w:rsidRPr="00E47AA9" w:rsidRDefault="008566E1" w:rsidP="00845A54">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Расходы по ГП всего,</w:t>
            </w:r>
          </w:p>
          <w:p w14:paraId="499CE909" w14:textId="77777777" w:rsidR="008566E1" w:rsidRPr="00E47AA9" w:rsidRDefault="008566E1" w:rsidP="00A62BA9">
            <w:pPr>
              <w:spacing w:after="0" w:line="240" w:lineRule="auto"/>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в том числе по ведомствам</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3A4E5A3" w14:textId="77777777" w:rsidR="008566E1" w:rsidRPr="00E47AA9" w:rsidRDefault="008566E1" w:rsidP="00845A54">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32 010,29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14:paraId="080A5477" w14:textId="77777777" w:rsidR="008566E1" w:rsidRPr="00E47AA9" w:rsidRDefault="008566E1" w:rsidP="00845A54">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100,00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bottom"/>
          </w:tcPr>
          <w:p w14:paraId="0F572031" w14:textId="77777777" w:rsidR="008566E1" w:rsidRPr="00E47AA9" w:rsidRDefault="008566E1" w:rsidP="00845A54">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31 768,94</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7AABCE" w14:textId="77777777" w:rsidR="008566E1" w:rsidRPr="00E47AA9" w:rsidRDefault="008566E1" w:rsidP="00845A54">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99,25</w:t>
            </w:r>
          </w:p>
        </w:tc>
        <w:tc>
          <w:tcPr>
            <w:tcW w:w="900" w:type="dxa"/>
            <w:tcBorders>
              <w:top w:val="single" w:sz="4" w:space="0" w:color="auto"/>
              <w:left w:val="single" w:sz="4" w:space="0" w:color="auto"/>
              <w:bottom w:val="single" w:sz="4" w:space="0" w:color="auto"/>
              <w:right w:val="single" w:sz="4" w:space="0" w:color="auto"/>
            </w:tcBorders>
            <w:shd w:val="clear" w:color="auto" w:fill="auto"/>
            <w:vAlign w:val="bottom"/>
          </w:tcPr>
          <w:p w14:paraId="291DB390" w14:textId="77777777" w:rsidR="008566E1" w:rsidRPr="00E47AA9" w:rsidRDefault="008566E1" w:rsidP="00845A54">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100,00</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bottom"/>
          </w:tcPr>
          <w:p w14:paraId="737E57DA" w14:textId="77777777" w:rsidR="008566E1" w:rsidRPr="00E47AA9" w:rsidRDefault="008566E1" w:rsidP="00845A54">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241,35</w:t>
            </w:r>
          </w:p>
        </w:tc>
      </w:tr>
      <w:tr w:rsidR="00E47AA9" w:rsidRPr="00E47AA9" w14:paraId="6DCD513A" w14:textId="77777777" w:rsidTr="00845A54">
        <w:trPr>
          <w:trHeight w:val="51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E299853"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lastRenderedPageBreak/>
              <w:t>759</w:t>
            </w:r>
          </w:p>
        </w:tc>
        <w:tc>
          <w:tcPr>
            <w:tcW w:w="2897" w:type="dxa"/>
            <w:tcBorders>
              <w:top w:val="nil"/>
              <w:left w:val="nil"/>
              <w:bottom w:val="single" w:sz="4" w:space="0" w:color="auto"/>
              <w:right w:val="single" w:sz="4" w:space="0" w:color="auto"/>
            </w:tcBorders>
            <w:shd w:val="clear" w:color="auto" w:fill="auto"/>
            <w:vAlign w:val="center"/>
            <w:hideMark/>
          </w:tcPr>
          <w:p w14:paraId="3CC55DF4"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образования Приморского края</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7AB21D26"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337,91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152DE6"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1,06</w:t>
            </w:r>
          </w:p>
        </w:tc>
        <w:tc>
          <w:tcPr>
            <w:tcW w:w="112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8E8408"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333,66</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6BF894"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98,74</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2C1F27"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1,05</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B40FC2"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4,25</w:t>
            </w:r>
          </w:p>
        </w:tc>
      </w:tr>
      <w:tr w:rsidR="00E47AA9" w:rsidRPr="00E47AA9" w14:paraId="1602F351" w14:textId="77777777" w:rsidTr="00845A54">
        <w:trPr>
          <w:trHeight w:val="51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B21068"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760</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C6D2D"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труда и социальной политики Приморского края</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5D6539E0"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31 486,57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6A411C"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98,36</w:t>
            </w:r>
          </w:p>
        </w:tc>
        <w:tc>
          <w:tcPr>
            <w:tcW w:w="112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5096E0"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31 291,48</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B90910"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99,38</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9D5DB0"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98,50</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200F98"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195,09</w:t>
            </w:r>
          </w:p>
        </w:tc>
      </w:tr>
      <w:tr w:rsidR="00E47AA9" w:rsidRPr="00E47AA9" w14:paraId="4D854C73" w14:textId="77777777" w:rsidTr="00845A54">
        <w:trPr>
          <w:trHeight w:val="51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D2DA4"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761</w:t>
            </w:r>
          </w:p>
        </w:tc>
        <w:tc>
          <w:tcPr>
            <w:tcW w:w="2897" w:type="dxa"/>
            <w:tcBorders>
              <w:top w:val="single" w:sz="4" w:space="0" w:color="auto"/>
              <w:left w:val="nil"/>
              <w:bottom w:val="single" w:sz="4" w:space="0" w:color="auto"/>
              <w:right w:val="single" w:sz="4" w:space="0" w:color="auto"/>
            </w:tcBorders>
            <w:shd w:val="clear" w:color="auto" w:fill="auto"/>
            <w:vAlign w:val="center"/>
            <w:hideMark/>
          </w:tcPr>
          <w:p w14:paraId="680C9D6E"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здравоохранения Приморского края</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47006F49"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0,40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BA13B1"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12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9254C7"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0,40</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CB2A4A"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2241C"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D02E1A"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r>
      <w:tr w:rsidR="00E47AA9" w:rsidRPr="00E47AA9" w14:paraId="0D3EFB76" w14:textId="77777777" w:rsidTr="00845A54">
        <w:trPr>
          <w:trHeight w:val="51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D2A9AE"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764</w:t>
            </w:r>
          </w:p>
        </w:tc>
        <w:tc>
          <w:tcPr>
            <w:tcW w:w="2897" w:type="dxa"/>
            <w:tcBorders>
              <w:top w:val="single" w:sz="4" w:space="0" w:color="auto"/>
              <w:left w:val="nil"/>
              <w:bottom w:val="single" w:sz="4" w:space="0" w:color="auto"/>
              <w:right w:val="single" w:sz="4" w:space="0" w:color="auto"/>
            </w:tcBorders>
            <w:shd w:val="clear" w:color="auto" w:fill="auto"/>
            <w:vAlign w:val="center"/>
            <w:hideMark/>
          </w:tcPr>
          <w:p w14:paraId="65C4253E"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физической культуры и спорта Приморского края</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30D59BBC"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18,07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C43778"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0,06</w:t>
            </w:r>
          </w:p>
        </w:tc>
        <w:tc>
          <w:tcPr>
            <w:tcW w:w="112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90A49A"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18,07</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076FA7"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532CFD"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0,06</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F1BF27"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r>
      <w:tr w:rsidR="00E47AA9" w:rsidRPr="00E47AA9" w14:paraId="71336889" w14:textId="77777777" w:rsidTr="00845A54">
        <w:trPr>
          <w:trHeight w:val="30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418B80"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775</w:t>
            </w:r>
          </w:p>
        </w:tc>
        <w:tc>
          <w:tcPr>
            <w:tcW w:w="2897" w:type="dxa"/>
            <w:tcBorders>
              <w:top w:val="single" w:sz="4" w:space="0" w:color="auto"/>
              <w:left w:val="nil"/>
              <w:bottom w:val="single" w:sz="4" w:space="0" w:color="auto"/>
              <w:right w:val="single" w:sz="4" w:space="0" w:color="auto"/>
            </w:tcBorders>
            <w:shd w:val="clear" w:color="auto" w:fill="auto"/>
            <w:vAlign w:val="center"/>
          </w:tcPr>
          <w:p w14:paraId="219178BB"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строительства Приморского края</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64D15F7E"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93,80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496281"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0,29</w:t>
            </w:r>
          </w:p>
        </w:tc>
        <w:tc>
          <w:tcPr>
            <w:tcW w:w="112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4C0C2"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52,09</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73C0C5"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55,53</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B72DCB"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0,16</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6491A0"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41,71</w:t>
            </w:r>
          </w:p>
        </w:tc>
      </w:tr>
      <w:tr w:rsidR="00E47AA9" w:rsidRPr="00E47AA9" w14:paraId="286E69D1" w14:textId="77777777" w:rsidTr="00845A54">
        <w:trPr>
          <w:trHeight w:val="30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E3F90"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779</w:t>
            </w:r>
          </w:p>
        </w:tc>
        <w:tc>
          <w:tcPr>
            <w:tcW w:w="2897" w:type="dxa"/>
            <w:tcBorders>
              <w:top w:val="single" w:sz="4" w:space="0" w:color="auto"/>
              <w:left w:val="nil"/>
              <w:bottom w:val="single" w:sz="4" w:space="0" w:color="auto"/>
              <w:right w:val="single" w:sz="4" w:space="0" w:color="auto"/>
            </w:tcBorders>
            <w:shd w:val="clear" w:color="auto" w:fill="auto"/>
            <w:vAlign w:val="center"/>
          </w:tcPr>
          <w:p w14:paraId="5B195173"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имущественных и земельных отношений Приморского края</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75569652"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71,17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D1B70F"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0,22</w:t>
            </w:r>
          </w:p>
        </w:tc>
        <w:tc>
          <w:tcPr>
            <w:tcW w:w="112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688A40"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70,88</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8C7DE3"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99,59</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C62FA0"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0,22</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1DF5E0"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0,29</w:t>
            </w:r>
          </w:p>
        </w:tc>
      </w:tr>
      <w:tr w:rsidR="00E47AA9" w:rsidRPr="00E47AA9" w14:paraId="0F6D4FC9" w14:textId="77777777" w:rsidTr="00845A54">
        <w:trPr>
          <w:trHeight w:val="30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E4FCB"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806</w:t>
            </w:r>
          </w:p>
        </w:tc>
        <w:tc>
          <w:tcPr>
            <w:tcW w:w="2897" w:type="dxa"/>
            <w:tcBorders>
              <w:top w:val="single" w:sz="4" w:space="0" w:color="auto"/>
              <w:left w:val="nil"/>
              <w:bottom w:val="single" w:sz="4" w:space="0" w:color="auto"/>
              <w:right w:val="single" w:sz="4" w:space="0" w:color="auto"/>
            </w:tcBorders>
            <w:shd w:val="clear" w:color="auto" w:fill="auto"/>
            <w:vAlign w:val="center"/>
            <w:hideMark/>
          </w:tcPr>
          <w:p w14:paraId="21A7E28F"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культуры и архивного дела Приморского края</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40AB4A30"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1,90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49DCCC"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0,01</w:t>
            </w:r>
          </w:p>
        </w:tc>
        <w:tc>
          <w:tcPr>
            <w:tcW w:w="112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A82AEA"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1,90</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8344AE"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EE6961"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0,01</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4D817C"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r>
      <w:tr w:rsidR="008566E1" w:rsidRPr="00E47AA9" w14:paraId="17467365" w14:textId="77777777" w:rsidTr="00845A54">
        <w:trPr>
          <w:trHeight w:val="30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A8E69"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810</w:t>
            </w:r>
          </w:p>
        </w:tc>
        <w:tc>
          <w:tcPr>
            <w:tcW w:w="2897" w:type="dxa"/>
            <w:tcBorders>
              <w:top w:val="single" w:sz="4" w:space="0" w:color="auto"/>
              <w:left w:val="nil"/>
              <w:bottom w:val="single" w:sz="4" w:space="0" w:color="auto"/>
              <w:right w:val="single" w:sz="4" w:space="0" w:color="auto"/>
            </w:tcBorders>
            <w:shd w:val="clear" w:color="auto" w:fill="auto"/>
            <w:vAlign w:val="center"/>
          </w:tcPr>
          <w:p w14:paraId="17563B6C"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профессионального образования и занятости населения Приморского края</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623259A7"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0,47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A63715"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0,001</w:t>
            </w:r>
          </w:p>
        </w:tc>
        <w:tc>
          <w:tcPr>
            <w:tcW w:w="112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BEB2F"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0,47</w:t>
            </w:r>
          </w:p>
        </w:tc>
        <w:tc>
          <w:tcPr>
            <w:tcW w:w="7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9A39A6" w14:textId="77777777" w:rsidR="008566E1" w:rsidRPr="00E47AA9" w:rsidRDefault="008566E1"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A26B65" w14:textId="04AB6469" w:rsidR="008566E1" w:rsidRPr="00E47AA9" w:rsidRDefault="008566E1" w:rsidP="007B79AB">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FEF694" w14:textId="3E37CE7C" w:rsidR="008566E1" w:rsidRPr="00E47AA9" w:rsidRDefault="007B79AB"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w:t>
            </w:r>
            <w:r w:rsidR="008566E1" w:rsidRPr="00E47AA9">
              <w:rPr>
                <w:rFonts w:ascii="Times New Roman" w:hAnsi="Times New Roman" w:cs="Times New Roman"/>
                <w:sz w:val="20"/>
                <w:szCs w:val="20"/>
              </w:rPr>
              <w:t>0,00</w:t>
            </w:r>
          </w:p>
        </w:tc>
      </w:tr>
    </w:tbl>
    <w:p w14:paraId="04C5A543" w14:textId="77777777" w:rsidR="008566E1" w:rsidRPr="00E47AA9" w:rsidRDefault="008566E1" w:rsidP="008566E1">
      <w:pPr>
        <w:spacing w:after="0" w:line="240" w:lineRule="auto"/>
        <w:ind w:firstLine="708"/>
        <w:jc w:val="both"/>
        <w:rPr>
          <w:rFonts w:ascii="Times New Roman" w:eastAsia="Times New Roman" w:hAnsi="Times New Roman" w:cs="Times New Roman"/>
          <w:sz w:val="28"/>
          <w:szCs w:val="28"/>
          <w:lang w:eastAsia="ru-RU"/>
        </w:rPr>
      </w:pPr>
    </w:p>
    <w:p w14:paraId="2D61BE54" w14:textId="77777777" w:rsidR="008566E1" w:rsidRPr="00E47AA9" w:rsidRDefault="008566E1" w:rsidP="008566E1">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Исполнение расходов за 2024 год по структурным элементам ГП представлено в таблице.</w:t>
      </w:r>
    </w:p>
    <w:tbl>
      <w:tblPr>
        <w:tblW w:w="9515" w:type="dxa"/>
        <w:tblInd w:w="91" w:type="dxa"/>
        <w:tblLayout w:type="fixed"/>
        <w:tblLook w:val="04A0" w:firstRow="1" w:lastRow="0" w:firstColumn="1" w:lastColumn="0" w:noHBand="0" w:noVBand="1"/>
      </w:tblPr>
      <w:tblGrid>
        <w:gridCol w:w="3561"/>
        <w:gridCol w:w="1593"/>
        <w:gridCol w:w="1526"/>
        <w:gridCol w:w="992"/>
        <w:gridCol w:w="1843"/>
      </w:tblGrid>
      <w:tr w:rsidR="00E47AA9" w:rsidRPr="00E47AA9" w14:paraId="5CC34AA0" w14:textId="77777777" w:rsidTr="0037364B">
        <w:trPr>
          <w:trHeight w:val="167"/>
          <w:tblHeader/>
        </w:trPr>
        <w:tc>
          <w:tcPr>
            <w:tcW w:w="3561" w:type="dxa"/>
            <w:tcBorders>
              <w:bottom w:val="single" w:sz="4" w:space="0" w:color="auto"/>
            </w:tcBorders>
            <w:shd w:val="clear" w:color="auto" w:fill="auto"/>
            <w:vAlign w:val="bottom"/>
          </w:tcPr>
          <w:p w14:paraId="19CF5ED4" w14:textId="77777777" w:rsidR="008566E1" w:rsidRPr="00E47AA9" w:rsidRDefault="008566E1" w:rsidP="00845A54">
            <w:pPr>
              <w:spacing w:after="0" w:line="240" w:lineRule="auto"/>
              <w:jc w:val="center"/>
              <w:rPr>
                <w:rFonts w:ascii="Times New Roman" w:eastAsia="Times New Roman" w:hAnsi="Times New Roman" w:cs="Times New Roman"/>
                <w:sz w:val="28"/>
                <w:szCs w:val="28"/>
                <w:lang w:eastAsia="ru-RU"/>
              </w:rPr>
            </w:pPr>
          </w:p>
        </w:tc>
        <w:tc>
          <w:tcPr>
            <w:tcW w:w="1593" w:type="dxa"/>
            <w:tcBorders>
              <w:bottom w:val="single" w:sz="4" w:space="0" w:color="auto"/>
            </w:tcBorders>
            <w:shd w:val="clear" w:color="auto" w:fill="auto"/>
            <w:vAlign w:val="bottom"/>
          </w:tcPr>
          <w:p w14:paraId="4375BB57"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p>
        </w:tc>
        <w:tc>
          <w:tcPr>
            <w:tcW w:w="1526" w:type="dxa"/>
            <w:tcBorders>
              <w:bottom w:val="single" w:sz="4" w:space="0" w:color="auto"/>
            </w:tcBorders>
            <w:shd w:val="clear" w:color="auto" w:fill="auto"/>
            <w:vAlign w:val="bottom"/>
          </w:tcPr>
          <w:p w14:paraId="16A0C7A8"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p>
        </w:tc>
        <w:tc>
          <w:tcPr>
            <w:tcW w:w="992" w:type="dxa"/>
            <w:tcBorders>
              <w:bottom w:val="single" w:sz="4" w:space="0" w:color="auto"/>
            </w:tcBorders>
            <w:shd w:val="clear" w:color="auto" w:fill="auto"/>
            <w:vAlign w:val="bottom"/>
          </w:tcPr>
          <w:p w14:paraId="311843B6"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p>
        </w:tc>
        <w:tc>
          <w:tcPr>
            <w:tcW w:w="1843" w:type="dxa"/>
            <w:tcBorders>
              <w:bottom w:val="single" w:sz="4" w:space="0" w:color="auto"/>
            </w:tcBorders>
            <w:shd w:val="clear" w:color="auto" w:fill="auto"/>
            <w:vAlign w:val="bottom"/>
          </w:tcPr>
          <w:p w14:paraId="0AEA6221" w14:textId="77777777" w:rsidR="008566E1" w:rsidRPr="00E47AA9" w:rsidRDefault="008566E1" w:rsidP="00845A54">
            <w:pPr>
              <w:spacing w:after="0" w:line="240" w:lineRule="auto"/>
              <w:jc w:val="right"/>
              <w:rPr>
                <w:rFonts w:ascii="Times New Roman" w:eastAsia="Times New Roman" w:hAnsi="Times New Roman" w:cs="Times New Roman"/>
                <w:sz w:val="24"/>
                <w:lang w:eastAsia="ru-RU"/>
              </w:rPr>
            </w:pPr>
            <w:r w:rsidRPr="00E47AA9">
              <w:rPr>
                <w:rFonts w:ascii="Times New Roman" w:hAnsi="Times New Roman" w:cs="Times New Roman"/>
                <w:sz w:val="24"/>
              </w:rPr>
              <w:t>(млн рублей)</w:t>
            </w:r>
          </w:p>
        </w:tc>
      </w:tr>
      <w:tr w:rsidR="00E47AA9" w:rsidRPr="00E47AA9" w14:paraId="29D2D624" w14:textId="77777777" w:rsidTr="0037364B">
        <w:trPr>
          <w:trHeight w:val="907"/>
          <w:tblHeader/>
        </w:trPr>
        <w:tc>
          <w:tcPr>
            <w:tcW w:w="35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12D6A2"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Наименование </w:t>
            </w:r>
          </w:p>
        </w:tc>
        <w:tc>
          <w:tcPr>
            <w:tcW w:w="15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C0DE05"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Уточненные бюджетные назначения </w:t>
            </w:r>
          </w:p>
          <w:p w14:paraId="7E121F22"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на 2024 год</w:t>
            </w:r>
          </w:p>
        </w:tc>
        <w:tc>
          <w:tcPr>
            <w:tcW w:w="1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4159D5"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Исполнено </w:t>
            </w:r>
          </w:p>
          <w:p w14:paraId="1E200B3C"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за 2024 год</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BC1E1"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исп.</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29C0B6"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Неисполненные бюджетные назначения</w:t>
            </w:r>
          </w:p>
        </w:tc>
      </w:tr>
      <w:tr w:rsidR="00E47AA9" w:rsidRPr="00E47AA9" w14:paraId="29D3AA94" w14:textId="77777777" w:rsidTr="0037364B">
        <w:trPr>
          <w:trHeight w:val="133"/>
        </w:trPr>
        <w:tc>
          <w:tcPr>
            <w:tcW w:w="3561" w:type="dxa"/>
            <w:tcBorders>
              <w:top w:val="single" w:sz="4" w:space="0" w:color="auto"/>
              <w:left w:val="single" w:sz="4" w:space="0" w:color="auto"/>
              <w:bottom w:val="single" w:sz="4" w:space="0" w:color="auto"/>
              <w:right w:val="single" w:sz="4" w:space="0" w:color="auto"/>
            </w:tcBorders>
          </w:tcPr>
          <w:p w14:paraId="186DFC9F" w14:textId="77777777" w:rsidR="008566E1" w:rsidRPr="00E47AA9" w:rsidRDefault="008566E1" w:rsidP="00845A54">
            <w:pPr>
              <w:spacing w:after="0" w:line="240" w:lineRule="auto"/>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Расходы по ГП всего,</w:t>
            </w:r>
          </w:p>
          <w:p w14:paraId="4E81158F" w14:textId="77777777" w:rsidR="008566E1" w:rsidRPr="00E47AA9" w:rsidRDefault="008566E1" w:rsidP="00A62BA9">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в том числе</w:t>
            </w:r>
          </w:p>
        </w:tc>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4924F8D3" w14:textId="77777777" w:rsidR="008566E1" w:rsidRPr="00E47AA9" w:rsidRDefault="008566E1"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32 010,29</w:t>
            </w:r>
          </w:p>
        </w:tc>
        <w:tc>
          <w:tcPr>
            <w:tcW w:w="1526" w:type="dxa"/>
            <w:tcBorders>
              <w:top w:val="single" w:sz="4" w:space="0" w:color="auto"/>
              <w:left w:val="single" w:sz="4" w:space="0" w:color="auto"/>
              <w:bottom w:val="single" w:sz="4" w:space="0" w:color="auto"/>
              <w:right w:val="single" w:sz="4" w:space="0" w:color="auto"/>
            </w:tcBorders>
            <w:shd w:val="clear" w:color="auto" w:fill="auto"/>
            <w:vAlign w:val="center"/>
          </w:tcPr>
          <w:p w14:paraId="2A6A8361" w14:textId="77777777" w:rsidR="008566E1" w:rsidRPr="00E47AA9" w:rsidRDefault="008566E1"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31 768,94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3EFA14" w14:textId="77777777" w:rsidR="008566E1" w:rsidRPr="00E47AA9" w:rsidRDefault="008566E1"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99,25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20CA2F0" w14:textId="77777777" w:rsidR="008566E1" w:rsidRPr="00E47AA9" w:rsidRDefault="008566E1"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241,35</w:t>
            </w:r>
          </w:p>
        </w:tc>
      </w:tr>
      <w:tr w:rsidR="00E47AA9" w:rsidRPr="00E47AA9" w14:paraId="489AEB01" w14:textId="77777777" w:rsidTr="0037364B">
        <w:trPr>
          <w:trHeight w:val="240"/>
        </w:trPr>
        <w:tc>
          <w:tcPr>
            <w:tcW w:w="3561" w:type="dxa"/>
            <w:tcBorders>
              <w:top w:val="single" w:sz="4" w:space="0" w:color="auto"/>
              <w:left w:val="single" w:sz="4" w:space="0" w:color="auto"/>
              <w:bottom w:val="single" w:sz="4" w:space="0" w:color="auto"/>
              <w:right w:val="single" w:sz="4" w:space="0" w:color="auto"/>
            </w:tcBorders>
            <w:shd w:val="clear" w:color="auto" w:fill="FFFFFF"/>
          </w:tcPr>
          <w:p w14:paraId="3843BDFE" w14:textId="77777777" w:rsidR="008566E1" w:rsidRPr="00E47AA9" w:rsidRDefault="008566E1" w:rsidP="00A62BA9">
            <w:pPr>
              <w:spacing w:after="0" w:line="240" w:lineRule="auto"/>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проектные мероприятия</w:t>
            </w:r>
          </w:p>
        </w:tc>
        <w:tc>
          <w:tcPr>
            <w:tcW w:w="1593" w:type="dxa"/>
            <w:tcBorders>
              <w:top w:val="single" w:sz="4" w:space="0" w:color="auto"/>
              <w:left w:val="nil"/>
              <w:bottom w:val="single" w:sz="4" w:space="0" w:color="auto"/>
              <w:right w:val="single" w:sz="4" w:space="0" w:color="auto"/>
            </w:tcBorders>
            <w:shd w:val="clear" w:color="auto" w:fill="auto"/>
            <w:noWrap/>
            <w:vAlign w:val="center"/>
          </w:tcPr>
          <w:p w14:paraId="19DC8507"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8 432,51</w:t>
            </w:r>
          </w:p>
        </w:tc>
        <w:tc>
          <w:tcPr>
            <w:tcW w:w="15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82985"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8 373,15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DB433"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99,30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B46DD0C"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59,36</w:t>
            </w:r>
          </w:p>
        </w:tc>
      </w:tr>
      <w:tr w:rsidR="00E47AA9" w:rsidRPr="00E47AA9" w14:paraId="258F1BC8" w14:textId="77777777" w:rsidTr="0037364B">
        <w:trPr>
          <w:trHeight w:val="254"/>
        </w:trPr>
        <w:tc>
          <w:tcPr>
            <w:tcW w:w="3561" w:type="dxa"/>
            <w:tcBorders>
              <w:top w:val="single" w:sz="4" w:space="0" w:color="auto"/>
              <w:left w:val="single" w:sz="4" w:space="0" w:color="auto"/>
              <w:bottom w:val="single" w:sz="4" w:space="0" w:color="auto"/>
              <w:right w:val="single" w:sz="4" w:space="0" w:color="auto"/>
            </w:tcBorders>
            <w:shd w:val="clear" w:color="auto" w:fill="FFFFFF"/>
          </w:tcPr>
          <w:p w14:paraId="7A365070" w14:textId="77777777" w:rsidR="008566E1" w:rsidRPr="00E47AA9" w:rsidRDefault="008566E1" w:rsidP="00845A54">
            <w:pPr>
              <w:spacing w:after="0" w:line="240" w:lineRule="auto"/>
              <w:rPr>
                <w:rFonts w:ascii="Times New Roman" w:eastAsia="Times New Roman" w:hAnsi="Times New Roman" w:cs="Times New Roman"/>
                <w:i/>
                <w:iCs/>
                <w:lang w:eastAsia="ru-RU"/>
              </w:rPr>
            </w:pPr>
            <w:r w:rsidRPr="00E47AA9">
              <w:rPr>
                <w:rFonts w:ascii="Times New Roman" w:eastAsia="Times New Roman" w:hAnsi="Times New Roman" w:cs="Times New Roman"/>
                <w:i/>
                <w:iCs/>
                <w:lang w:eastAsia="ru-RU"/>
              </w:rPr>
              <w:t>РП, входящие в состав НП</w:t>
            </w:r>
          </w:p>
        </w:tc>
        <w:tc>
          <w:tcPr>
            <w:tcW w:w="1593" w:type="dxa"/>
            <w:tcBorders>
              <w:top w:val="single" w:sz="4" w:space="0" w:color="auto"/>
              <w:left w:val="nil"/>
              <w:bottom w:val="single" w:sz="4" w:space="0" w:color="auto"/>
              <w:right w:val="single" w:sz="4" w:space="0" w:color="auto"/>
            </w:tcBorders>
            <w:shd w:val="clear" w:color="auto" w:fill="auto"/>
            <w:noWrap/>
            <w:vAlign w:val="center"/>
          </w:tcPr>
          <w:p w14:paraId="10B8D90B" w14:textId="77777777" w:rsidR="008566E1" w:rsidRPr="00E47AA9" w:rsidRDefault="008566E1"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2 666,90</w:t>
            </w:r>
          </w:p>
        </w:tc>
        <w:tc>
          <w:tcPr>
            <w:tcW w:w="15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6B3452" w14:textId="77777777" w:rsidR="008566E1" w:rsidRPr="00E47AA9" w:rsidRDefault="008566E1"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2 608,34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2DF8B" w14:textId="77777777" w:rsidR="008566E1" w:rsidRPr="00E47AA9" w:rsidRDefault="008566E1"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97,80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C06A259" w14:textId="77777777" w:rsidR="008566E1" w:rsidRPr="00E47AA9" w:rsidRDefault="008566E1"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58,56</w:t>
            </w:r>
          </w:p>
        </w:tc>
      </w:tr>
      <w:tr w:rsidR="00E47AA9" w:rsidRPr="00E47AA9" w14:paraId="7B5C5121" w14:textId="77777777" w:rsidTr="0037364B">
        <w:trPr>
          <w:trHeight w:val="254"/>
        </w:trPr>
        <w:tc>
          <w:tcPr>
            <w:tcW w:w="3561" w:type="dxa"/>
            <w:tcBorders>
              <w:top w:val="single" w:sz="4" w:space="0" w:color="auto"/>
              <w:left w:val="single" w:sz="4" w:space="0" w:color="auto"/>
              <w:bottom w:val="single" w:sz="4" w:space="0" w:color="auto"/>
              <w:right w:val="single" w:sz="4" w:space="0" w:color="auto"/>
            </w:tcBorders>
            <w:shd w:val="clear" w:color="auto" w:fill="FFFFFF"/>
            <w:vAlign w:val="bottom"/>
          </w:tcPr>
          <w:p w14:paraId="7E298D69" w14:textId="77777777" w:rsidR="008566E1" w:rsidRPr="00E47AA9" w:rsidRDefault="008566E1" w:rsidP="00845A54">
            <w:pPr>
              <w:spacing w:after="0" w:line="240" w:lineRule="auto"/>
              <w:rPr>
                <w:rFonts w:ascii="Times New Roman" w:eastAsia="Times New Roman" w:hAnsi="Times New Roman" w:cs="Times New Roman"/>
                <w:i/>
                <w:iCs/>
                <w:lang w:eastAsia="ru-RU"/>
              </w:rPr>
            </w:pPr>
            <w:r w:rsidRPr="00E47AA9">
              <w:rPr>
                <w:rFonts w:ascii="Times New Roman" w:eastAsia="Times New Roman" w:hAnsi="Times New Roman" w:cs="Times New Roman"/>
                <w:i/>
                <w:iCs/>
                <w:lang w:eastAsia="ru-RU"/>
              </w:rPr>
              <w:t>НП "Демография"</w:t>
            </w:r>
          </w:p>
        </w:tc>
        <w:tc>
          <w:tcPr>
            <w:tcW w:w="1593" w:type="dxa"/>
            <w:tcBorders>
              <w:top w:val="single" w:sz="4" w:space="0" w:color="auto"/>
              <w:left w:val="nil"/>
              <w:bottom w:val="single" w:sz="4" w:space="0" w:color="auto"/>
              <w:right w:val="single" w:sz="4" w:space="0" w:color="auto"/>
            </w:tcBorders>
            <w:shd w:val="clear" w:color="auto" w:fill="auto"/>
            <w:noWrap/>
            <w:vAlign w:val="center"/>
          </w:tcPr>
          <w:p w14:paraId="1B22F978" w14:textId="77777777" w:rsidR="008566E1" w:rsidRPr="00E47AA9" w:rsidRDefault="008566E1"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2 666,90</w:t>
            </w:r>
          </w:p>
        </w:tc>
        <w:tc>
          <w:tcPr>
            <w:tcW w:w="15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C9420B" w14:textId="77777777" w:rsidR="008566E1" w:rsidRPr="00E47AA9" w:rsidRDefault="008566E1"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2 608,34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F7647A" w14:textId="77777777" w:rsidR="008566E1" w:rsidRPr="00E47AA9" w:rsidRDefault="008566E1"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97,80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3D69D46" w14:textId="77777777" w:rsidR="008566E1" w:rsidRPr="00E47AA9" w:rsidRDefault="008566E1"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58,56</w:t>
            </w:r>
          </w:p>
        </w:tc>
      </w:tr>
      <w:tr w:rsidR="00E47AA9" w:rsidRPr="00E47AA9" w14:paraId="2789DFC9" w14:textId="77777777" w:rsidTr="0037364B">
        <w:trPr>
          <w:trHeight w:val="254"/>
        </w:trPr>
        <w:tc>
          <w:tcPr>
            <w:tcW w:w="3561" w:type="dxa"/>
            <w:tcBorders>
              <w:top w:val="single" w:sz="4" w:space="0" w:color="auto"/>
              <w:left w:val="single" w:sz="4" w:space="0" w:color="auto"/>
              <w:bottom w:val="single" w:sz="4" w:space="0" w:color="auto"/>
              <w:right w:val="single" w:sz="4" w:space="0" w:color="auto"/>
            </w:tcBorders>
            <w:shd w:val="clear" w:color="auto" w:fill="FFFFFF"/>
            <w:vAlign w:val="bottom"/>
          </w:tcPr>
          <w:p w14:paraId="1FA162DD" w14:textId="77777777" w:rsidR="008566E1" w:rsidRPr="00E47AA9" w:rsidRDefault="008566E1"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РП "Финансовая поддержка семей при рождении детей"</w:t>
            </w:r>
          </w:p>
        </w:tc>
        <w:tc>
          <w:tcPr>
            <w:tcW w:w="1593" w:type="dxa"/>
            <w:tcBorders>
              <w:top w:val="single" w:sz="4" w:space="0" w:color="auto"/>
              <w:left w:val="nil"/>
              <w:bottom w:val="single" w:sz="4" w:space="0" w:color="auto"/>
              <w:right w:val="single" w:sz="4" w:space="0" w:color="auto"/>
            </w:tcBorders>
            <w:shd w:val="clear" w:color="auto" w:fill="auto"/>
            <w:noWrap/>
            <w:vAlign w:val="center"/>
          </w:tcPr>
          <w:p w14:paraId="0D5A8624"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2 432,55</w:t>
            </w:r>
          </w:p>
        </w:tc>
        <w:tc>
          <w:tcPr>
            <w:tcW w:w="15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8BBFD"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2 415,71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0B97E"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99,31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BC8F5C8"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16,84</w:t>
            </w:r>
          </w:p>
        </w:tc>
      </w:tr>
      <w:tr w:rsidR="00E47AA9" w:rsidRPr="00E47AA9" w14:paraId="75B2492E" w14:textId="77777777" w:rsidTr="0037364B">
        <w:trPr>
          <w:trHeight w:val="254"/>
        </w:trPr>
        <w:tc>
          <w:tcPr>
            <w:tcW w:w="3561" w:type="dxa"/>
            <w:tcBorders>
              <w:top w:val="single" w:sz="4" w:space="0" w:color="auto"/>
              <w:left w:val="single" w:sz="4" w:space="0" w:color="auto"/>
              <w:bottom w:val="single" w:sz="4" w:space="0" w:color="auto"/>
              <w:right w:val="single" w:sz="4" w:space="0" w:color="auto"/>
            </w:tcBorders>
            <w:shd w:val="clear" w:color="auto" w:fill="FFFFFF"/>
            <w:vAlign w:val="bottom"/>
          </w:tcPr>
          <w:p w14:paraId="6F5AEB99" w14:textId="6233CF96" w:rsidR="008566E1" w:rsidRPr="00E47AA9" w:rsidRDefault="008566E1" w:rsidP="00E80C35">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РП </w:t>
            </w:r>
            <w:bookmarkStart w:id="17" w:name="_Hlk194318608"/>
            <w:r w:rsidRPr="00E47AA9">
              <w:rPr>
                <w:rFonts w:ascii="Times New Roman" w:eastAsia="Times New Roman" w:hAnsi="Times New Roman" w:cs="Times New Roman"/>
                <w:lang w:eastAsia="ru-RU"/>
              </w:rPr>
              <w:t>"Разработка и реализация программы системной поддержки и повышения качества жизни граждан старшего поколения "Старшее поколение" на территории Приморского края"</w:t>
            </w:r>
            <w:bookmarkEnd w:id="17"/>
          </w:p>
        </w:tc>
        <w:tc>
          <w:tcPr>
            <w:tcW w:w="1593" w:type="dxa"/>
            <w:tcBorders>
              <w:top w:val="single" w:sz="4" w:space="0" w:color="auto"/>
              <w:left w:val="nil"/>
              <w:bottom w:val="single" w:sz="4" w:space="0" w:color="auto"/>
              <w:right w:val="single" w:sz="4" w:space="0" w:color="auto"/>
            </w:tcBorders>
            <w:shd w:val="clear" w:color="auto" w:fill="auto"/>
            <w:noWrap/>
            <w:vAlign w:val="center"/>
          </w:tcPr>
          <w:p w14:paraId="0E0D34A9"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234,35</w:t>
            </w:r>
          </w:p>
        </w:tc>
        <w:tc>
          <w:tcPr>
            <w:tcW w:w="15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9F669"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192,63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EEAC5"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82,20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E614C1F"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41,72</w:t>
            </w:r>
          </w:p>
        </w:tc>
      </w:tr>
      <w:tr w:rsidR="00E47AA9" w:rsidRPr="00E47AA9" w14:paraId="7305C9F4" w14:textId="77777777" w:rsidTr="0037364B">
        <w:trPr>
          <w:trHeight w:val="273"/>
        </w:trPr>
        <w:tc>
          <w:tcPr>
            <w:tcW w:w="3561" w:type="dxa"/>
            <w:tcBorders>
              <w:top w:val="single" w:sz="4" w:space="0" w:color="auto"/>
              <w:left w:val="single" w:sz="4" w:space="0" w:color="auto"/>
              <w:bottom w:val="single" w:sz="4" w:space="0" w:color="auto"/>
              <w:right w:val="single" w:sz="4" w:space="0" w:color="auto"/>
            </w:tcBorders>
            <w:shd w:val="clear" w:color="auto" w:fill="FFFFFF"/>
          </w:tcPr>
          <w:p w14:paraId="53AE56BB" w14:textId="77777777" w:rsidR="008566E1" w:rsidRPr="00E47AA9" w:rsidRDefault="008566E1" w:rsidP="00845A54">
            <w:pPr>
              <w:spacing w:after="0" w:line="240" w:lineRule="auto"/>
              <w:rPr>
                <w:rFonts w:ascii="Times New Roman" w:eastAsia="Times New Roman" w:hAnsi="Times New Roman" w:cs="Times New Roman"/>
                <w:i/>
                <w:iCs/>
                <w:lang w:eastAsia="ru-RU"/>
              </w:rPr>
            </w:pPr>
            <w:r w:rsidRPr="00E47AA9">
              <w:rPr>
                <w:rFonts w:ascii="Times New Roman" w:eastAsia="Times New Roman" w:hAnsi="Times New Roman" w:cs="Times New Roman"/>
                <w:i/>
                <w:iCs/>
                <w:lang w:eastAsia="ru-RU"/>
              </w:rPr>
              <w:t>РП, не входящие в состав НП</w:t>
            </w:r>
          </w:p>
        </w:tc>
        <w:tc>
          <w:tcPr>
            <w:tcW w:w="1593" w:type="dxa"/>
            <w:tcBorders>
              <w:top w:val="single" w:sz="4" w:space="0" w:color="auto"/>
              <w:left w:val="nil"/>
              <w:bottom w:val="single" w:sz="4" w:space="0" w:color="auto"/>
              <w:right w:val="single" w:sz="4" w:space="0" w:color="auto"/>
            </w:tcBorders>
            <w:shd w:val="clear" w:color="auto" w:fill="auto"/>
            <w:noWrap/>
            <w:vAlign w:val="center"/>
          </w:tcPr>
          <w:p w14:paraId="624228DC" w14:textId="77777777" w:rsidR="008566E1" w:rsidRPr="00E47AA9" w:rsidRDefault="008566E1"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5 765,61</w:t>
            </w:r>
          </w:p>
        </w:tc>
        <w:tc>
          <w:tcPr>
            <w:tcW w:w="15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67377" w14:textId="77777777" w:rsidR="008566E1" w:rsidRPr="00E47AA9" w:rsidRDefault="008566E1"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5 764,81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285328" w14:textId="77777777" w:rsidR="008566E1" w:rsidRPr="00E47AA9" w:rsidRDefault="008566E1"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99,99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30ADE7B" w14:textId="77777777" w:rsidR="008566E1" w:rsidRPr="00E47AA9" w:rsidRDefault="008566E1"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0,80</w:t>
            </w:r>
          </w:p>
        </w:tc>
      </w:tr>
      <w:tr w:rsidR="00E47AA9" w:rsidRPr="00E47AA9" w14:paraId="5A8596B1" w14:textId="77777777" w:rsidTr="0037364B">
        <w:trPr>
          <w:trHeight w:val="273"/>
        </w:trPr>
        <w:tc>
          <w:tcPr>
            <w:tcW w:w="3561" w:type="dxa"/>
            <w:tcBorders>
              <w:top w:val="single" w:sz="4" w:space="0" w:color="auto"/>
              <w:left w:val="single" w:sz="4" w:space="0" w:color="auto"/>
              <w:bottom w:val="single" w:sz="4" w:space="0" w:color="auto"/>
              <w:right w:val="single" w:sz="4" w:space="0" w:color="auto"/>
            </w:tcBorders>
            <w:shd w:val="clear" w:color="auto" w:fill="FFFFFF"/>
            <w:vAlign w:val="bottom"/>
          </w:tcPr>
          <w:p w14:paraId="40219B76" w14:textId="77777777" w:rsidR="008566E1" w:rsidRPr="00E47AA9" w:rsidRDefault="008566E1"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РП "Репродуктивное здоровье" </w:t>
            </w:r>
          </w:p>
        </w:tc>
        <w:tc>
          <w:tcPr>
            <w:tcW w:w="1593" w:type="dxa"/>
            <w:tcBorders>
              <w:top w:val="single" w:sz="4" w:space="0" w:color="auto"/>
              <w:left w:val="nil"/>
              <w:bottom w:val="single" w:sz="4" w:space="0" w:color="auto"/>
              <w:right w:val="single" w:sz="4" w:space="0" w:color="auto"/>
            </w:tcBorders>
            <w:shd w:val="clear" w:color="auto" w:fill="auto"/>
            <w:noWrap/>
            <w:vAlign w:val="center"/>
          </w:tcPr>
          <w:p w14:paraId="6455E797"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716,01</w:t>
            </w:r>
          </w:p>
        </w:tc>
        <w:tc>
          <w:tcPr>
            <w:tcW w:w="15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27102"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715,45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63BCF"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99,92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DC1451F"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0,56</w:t>
            </w:r>
          </w:p>
        </w:tc>
      </w:tr>
      <w:tr w:rsidR="00E47AA9" w:rsidRPr="00E47AA9" w14:paraId="6C974860" w14:textId="77777777" w:rsidTr="0037364B">
        <w:trPr>
          <w:trHeight w:val="273"/>
        </w:trPr>
        <w:tc>
          <w:tcPr>
            <w:tcW w:w="3561" w:type="dxa"/>
            <w:tcBorders>
              <w:top w:val="single" w:sz="4" w:space="0" w:color="auto"/>
              <w:left w:val="single" w:sz="4" w:space="0" w:color="auto"/>
              <w:bottom w:val="single" w:sz="4" w:space="0" w:color="auto"/>
              <w:right w:val="single" w:sz="4" w:space="0" w:color="auto"/>
            </w:tcBorders>
            <w:shd w:val="clear" w:color="auto" w:fill="FFFFFF"/>
            <w:vAlign w:val="bottom"/>
          </w:tcPr>
          <w:p w14:paraId="51F2FBBC" w14:textId="77777777" w:rsidR="008566E1" w:rsidRPr="00E47AA9" w:rsidRDefault="008566E1"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lastRenderedPageBreak/>
              <w:t>РП "Реализация адресной социальной поддержки отдельным категориям граждан"</w:t>
            </w:r>
          </w:p>
        </w:tc>
        <w:tc>
          <w:tcPr>
            <w:tcW w:w="1593" w:type="dxa"/>
            <w:tcBorders>
              <w:top w:val="single" w:sz="4" w:space="0" w:color="auto"/>
              <w:left w:val="nil"/>
              <w:bottom w:val="single" w:sz="4" w:space="0" w:color="auto"/>
              <w:right w:val="single" w:sz="4" w:space="0" w:color="auto"/>
            </w:tcBorders>
            <w:shd w:val="clear" w:color="auto" w:fill="auto"/>
            <w:noWrap/>
            <w:vAlign w:val="center"/>
          </w:tcPr>
          <w:p w14:paraId="71B049AA"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5 049,60</w:t>
            </w:r>
          </w:p>
        </w:tc>
        <w:tc>
          <w:tcPr>
            <w:tcW w:w="15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6EDF4"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5 049,36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37266"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100,00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FA874D8"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0,24</w:t>
            </w:r>
          </w:p>
        </w:tc>
      </w:tr>
      <w:tr w:rsidR="00E47AA9" w:rsidRPr="00E47AA9" w14:paraId="05878F50" w14:textId="77777777" w:rsidTr="0037364B">
        <w:trPr>
          <w:trHeight w:val="331"/>
        </w:trPr>
        <w:tc>
          <w:tcPr>
            <w:tcW w:w="3561" w:type="dxa"/>
            <w:tcBorders>
              <w:top w:val="single" w:sz="4" w:space="0" w:color="auto"/>
              <w:left w:val="single" w:sz="4" w:space="0" w:color="auto"/>
              <w:bottom w:val="single" w:sz="4" w:space="0" w:color="auto"/>
              <w:right w:val="single" w:sz="4" w:space="0" w:color="auto"/>
            </w:tcBorders>
            <w:shd w:val="clear" w:color="auto" w:fill="FFFFFF"/>
          </w:tcPr>
          <w:p w14:paraId="02C076C7" w14:textId="77777777" w:rsidR="008566E1" w:rsidRPr="00E47AA9" w:rsidRDefault="008566E1" w:rsidP="00845A54">
            <w:pPr>
              <w:spacing w:after="0" w:line="240" w:lineRule="auto"/>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комплексы процессных мероприятий</w:t>
            </w:r>
          </w:p>
        </w:tc>
        <w:tc>
          <w:tcPr>
            <w:tcW w:w="1593" w:type="dxa"/>
            <w:tcBorders>
              <w:top w:val="single" w:sz="4" w:space="0" w:color="auto"/>
              <w:left w:val="nil"/>
              <w:bottom w:val="single" w:sz="4" w:space="0" w:color="auto"/>
              <w:right w:val="single" w:sz="4" w:space="0" w:color="auto"/>
            </w:tcBorders>
            <w:shd w:val="clear" w:color="auto" w:fill="auto"/>
            <w:noWrap/>
            <w:vAlign w:val="center"/>
          </w:tcPr>
          <w:p w14:paraId="2C9952FC"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23 577,78</w:t>
            </w:r>
          </w:p>
        </w:tc>
        <w:tc>
          <w:tcPr>
            <w:tcW w:w="15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116B36"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23 395,79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AC30B"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99,23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23296154" w14:textId="77777777" w:rsidR="008566E1" w:rsidRPr="00E47AA9" w:rsidRDefault="008566E1" w:rsidP="00845A54">
            <w:pPr>
              <w:spacing w:after="0" w:line="240" w:lineRule="auto"/>
              <w:jc w:val="right"/>
              <w:rPr>
                <w:rFonts w:ascii="Times New Roman" w:hAnsi="Times New Roman" w:cs="Times New Roman"/>
              </w:rPr>
            </w:pPr>
            <w:r w:rsidRPr="00E47AA9">
              <w:rPr>
                <w:rFonts w:ascii="Times New Roman" w:hAnsi="Times New Roman" w:cs="Times New Roman"/>
              </w:rPr>
              <w:t>181,99</w:t>
            </w:r>
          </w:p>
        </w:tc>
      </w:tr>
    </w:tbl>
    <w:p w14:paraId="4CD1F028" w14:textId="77777777" w:rsidR="00C15624" w:rsidRPr="00E47AA9" w:rsidRDefault="00C15624" w:rsidP="00C15624">
      <w:pPr>
        <w:spacing w:after="0" w:line="240" w:lineRule="auto"/>
        <w:ind w:firstLine="708"/>
        <w:jc w:val="both"/>
        <w:rPr>
          <w:rFonts w:ascii="Times New Roman" w:eastAsia="Times New Roman" w:hAnsi="Times New Roman" w:cs="Times New Roman"/>
          <w:sz w:val="28"/>
          <w:szCs w:val="28"/>
          <w:lang w:eastAsia="ru-RU"/>
        </w:rPr>
      </w:pPr>
    </w:p>
    <w:p w14:paraId="2F410BB5" w14:textId="77777777" w:rsidR="00C15624" w:rsidRPr="00E47AA9" w:rsidRDefault="00C15624" w:rsidP="00C15624">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соответствии со Сводным годовым докладом:</w:t>
      </w:r>
    </w:p>
    <w:p w14:paraId="39B908F2" w14:textId="6F158D31" w:rsidR="00C15624" w:rsidRPr="00E47AA9" w:rsidRDefault="00C15624" w:rsidP="00C15624">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из 123 мероприятий государственной программы, запланированных</w:t>
      </w:r>
      <w:r w:rsidR="00CC32E7"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к выполнению в 2024 году, выполнены в полном объеме 86 мероприятий, 32</w:t>
      </w:r>
      <w:r w:rsidR="00CC32E7"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мероприятия выполнены не в полном объеме, 3 мероприятия не выполнены, 2 мероприятия исключены из плана реализации;</w:t>
      </w:r>
    </w:p>
    <w:p w14:paraId="0A99048F" w14:textId="77777777" w:rsidR="00C15624" w:rsidRPr="00E47AA9" w:rsidRDefault="00C15624" w:rsidP="00C15624">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из 51 показателя государственной программы 37 достигли планового значения, 14 показателей достигнуты не в полном объеме;</w:t>
      </w:r>
    </w:p>
    <w:p w14:paraId="2B5090DB" w14:textId="2C5EB342" w:rsidR="00C15624" w:rsidRPr="00E47AA9" w:rsidRDefault="00C15624" w:rsidP="00C15624">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эффективность реализации государственной программы составила 95,6</w:t>
      </w:r>
      <w:r w:rsidR="007B79AB"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(выше среднего уровня).</w:t>
      </w:r>
    </w:p>
    <w:p w14:paraId="39F0FA2B"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В отчетный период в рамках ГП </w:t>
      </w:r>
      <w:r w:rsidRPr="00E47AA9">
        <w:rPr>
          <w:rFonts w:ascii="Times New Roman" w:eastAsia="Times New Roman" w:hAnsi="Times New Roman" w:cs="Times New Roman"/>
          <w:sz w:val="28"/>
          <w:szCs w:val="28"/>
          <w:u w:val="single"/>
        </w:rPr>
        <w:t>министерством труда и социальной политики Приморского края</w:t>
      </w:r>
      <w:r w:rsidRPr="00E47AA9">
        <w:rPr>
          <w:rFonts w:ascii="Times New Roman" w:eastAsia="Times New Roman" w:hAnsi="Times New Roman" w:cs="Times New Roman"/>
          <w:sz w:val="28"/>
          <w:szCs w:val="28"/>
        </w:rPr>
        <w:t xml:space="preserve"> предоставлены 97 социальных выплат, получателями которых являются 609991 человек, или 34 % от общей численности населения Приморского края. </w:t>
      </w:r>
    </w:p>
    <w:p w14:paraId="6CBA1511"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На исполнение мероприятий ГП оказали влияние заявительный характер выплат, наличие определенных условий для их получения.</w:t>
      </w:r>
    </w:p>
    <w:p w14:paraId="39C71806" w14:textId="77777777" w:rsidR="008566E1" w:rsidRPr="00E47AA9" w:rsidRDefault="008566E1" w:rsidP="008566E1">
      <w:pPr>
        <w:pStyle w:val="ConsPlusNormal"/>
        <w:widowControl/>
        <w:ind w:firstLine="708"/>
        <w:jc w:val="both"/>
        <w:rPr>
          <w:rFonts w:ascii="Times New Roman" w:hAnsi="Times New Roman" w:cs="Times New Roman"/>
          <w:b/>
          <w:sz w:val="28"/>
          <w:szCs w:val="28"/>
        </w:rPr>
      </w:pPr>
      <w:r w:rsidRPr="00E47AA9">
        <w:rPr>
          <w:rFonts w:ascii="Times New Roman" w:hAnsi="Times New Roman" w:cs="Times New Roman"/>
          <w:b/>
          <w:sz w:val="28"/>
          <w:szCs w:val="28"/>
        </w:rPr>
        <w:t xml:space="preserve">Подпрограмма "Социальная поддержка семей и детей в Приморском крае" </w:t>
      </w:r>
    </w:p>
    <w:p w14:paraId="25F178EB"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4"/>
          <w:lang w:eastAsia="ru-RU"/>
        </w:rPr>
      </w:pPr>
      <w:r w:rsidRPr="00E47AA9">
        <w:rPr>
          <w:rFonts w:ascii="Times New Roman" w:eastAsia="Times New Roman" w:hAnsi="Times New Roman" w:cs="Times New Roman"/>
          <w:sz w:val="28"/>
          <w:szCs w:val="24"/>
          <w:u w:val="single"/>
          <w:lang w:eastAsia="ru-RU"/>
        </w:rPr>
        <w:t>Министерство труда и социальной политики Приморского края</w:t>
      </w:r>
      <w:r w:rsidRPr="00E47AA9">
        <w:rPr>
          <w:rFonts w:ascii="Times New Roman" w:eastAsia="Times New Roman" w:hAnsi="Times New Roman" w:cs="Times New Roman"/>
          <w:sz w:val="28"/>
          <w:szCs w:val="24"/>
          <w:lang w:eastAsia="ru-RU"/>
        </w:rPr>
        <w:t xml:space="preserve"> </w:t>
      </w:r>
    </w:p>
    <w:p w14:paraId="3BB8A7F0" w14:textId="61CCDB00" w:rsidR="008566E1" w:rsidRPr="00E47AA9" w:rsidRDefault="008566E1" w:rsidP="008566E1">
      <w:pPr>
        <w:spacing w:after="0" w:line="240" w:lineRule="auto"/>
        <w:ind w:firstLine="709"/>
        <w:jc w:val="both"/>
        <w:rPr>
          <w:rFonts w:ascii="Times New Roman" w:hAnsi="Times New Roman" w:cs="Times New Roman"/>
          <w:sz w:val="28"/>
        </w:rPr>
      </w:pPr>
      <w:r w:rsidRPr="00E47AA9">
        <w:rPr>
          <w:rFonts w:ascii="Times New Roman" w:hAnsi="Times New Roman" w:cs="Times New Roman"/>
          <w:bCs/>
          <w:i/>
          <w:sz w:val="28"/>
        </w:rPr>
        <w:t>РП "Финансовая поддержка семей при рождении детей" для реализации НП "Демография"</w:t>
      </w:r>
      <w:r w:rsidRPr="00E47AA9">
        <w:rPr>
          <w:rFonts w:ascii="Times New Roman" w:hAnsi="Times New Roman" w:cs="Times New Roman"/>
          <w:bCs/>
          <w:sz w:val="28"/>
        </w:rPr>
        <w:t xml:space="preserve"> </w:t>
      </w:r>
      <w:r w:rsidRPr="00E47AA9">
        <w:rPr>
          <w:rFonts w:ascii="Times New Roman" w:hAnsi="Times New Roman" w:cs="Times New Roman"/>
          <w:sz w:val="28"/>
        </w:rPr>
        <w:t xml:space="preserve">исполнен практически в полном объеме </w:t>
      </w:r>
      <w:r w:rsidR="00A62BA9" w:rsidRPr="00E47AA9">
        <w:rPr>
          <w:rFonts w:ascii="Times New Roman" w:hAnsi="Times New Roman" w:cs="Times New Roman"/>
          <w:sz w:val="28"/>
        </w:rPr>
        <w:t>–</w:t>
      </w:r>
      <w:r w:rsidRPr="00E47AA9">
        <w:rPr>
          <w:rFonts w:ascii="Times New Roman" w:hAnsi="Times New Roman" w:cs="Times New Roman"/>
          <w:sz w:val="28"/>
        </w:rPr>
        <w:t xml:space="preserve"> 2415,71 млн рублей (план </w:t>
      </w:r>
      <w:r w:rsidR="00576C74" w:rsidRPr="00E47AA9">
        <w:rPr>
          <w:rFonts w:ascii="Times New Roman" w:hAnsi="Times New Roman" w:cs="Times New Roman"/>
          <w:sz w:val="28"/>
        </w:rPr>
        <w:t xml:space="preserve">– </w:t>
      </w:r>
      <w:r w:rsidRPr="00E47AA9">
        <w:rPr>
          <w:rFonts w:ascii="Times New Roman" w:hAnsi="Times New Roman" w:cs="Times New Roman"/>
          <w:sz w:val="28"/>
        </w:rPr>
        <w:t xml:space="preserve">2432,55 млн рублей). </w:t>
      </w:r>
    </w:p>
    <w:p w14:paraId="360F707D" w14:textId="77777777" w:rsidR="008566E1" w:rsidRPr="00E47AA9" w:rsidRDefault="008566E1" w:rsidP="008566E1">
      <w:pPr>
        <w:spacing w:after="0" w:line="240" w:lineRule="auto"/>
        <w:ind w:firstLine="709"/>
        <w:jc w:val="both"/>
        <w:rPr>
          <w:rFonts w:ascii="Times New Roman" w:hAnsi="Times New Roman" w:cs="Times New Roman"/>
          <w:sz w:val="28"/>
        </w:rPr>
      </w:pPr>
      <w:r w:rsidRPr="00E47AA9">
        <w:rPr>
          <w:rFonts w:ascii="Times New Roman" w:hAnsi="Times New Roman" w:cs="Times New Roman"/>
          <w:bCs/>
          <w:i/>
          <w:sz w:val="28"/>
        </w:rPr>
        <w:t>РП "Репродуктивное здоровье", не входящий в состав национальных проектов</w:t>
      </w:r>
      <w:r w:rsidRPr="00E47AA9">
        <w:rPr>
          <w:rFonts w:ascii="Times New Roman" w:hAnsi="Times New Roman" w:cs="Times New Roman"/>
          <w:sz w:val="28"/>
        </w:rPr>
        <w:t xml:space="preserve"> исполнен в сумме 715,45 млн рублей (практически в полном объеме плановых назначений </w:t>
      </w:r>
      <w:r w:rsidR="00A62BA9" w:rsidRPr="00E47AA9">
        <w:rPr>
          <w:rFonts w:ascii="Times New Roman" w:hAnsi="Times New Roman" w:cs="Times New Roman"/>
          <w:sz w:val="28"/>
        </w:rPr>
        <w:t>–</w:t>
      </w:r>
      <w:r w:rsidRPr="00E47AA9">
        <w:rPr>
          <w:rFonts w:ascii="Times New Roman" w:hAnsi="Times New Roman" w:cs="Times New Roman"/>
          <w:sz w:val="28"/>
        </w:rPr>
        <w:t xml:space="preserve"> 716,01 млн рублей)</w:t>
      </w:r>
      <w:r w:rsidR="00A62BA9" w:rsidRPr="00E47AA9">
        <w:rPr>
          <w:rFonts w:ascii="Times New Roman" w:hAnsi="Times New Roman" w:cs="Times New Roman"/>
          <w:sz w:val="28"/>
        </w:rPr>
        <w:t>.</w:t>
      </w:r>
      <w:r w:rsidRPr="00E47AA9">
        <w:rPr>
          <w:rFonts w:ascii="Times New Roman" w:hAnsi="Times New Roman" w:cs="Times New Roman"/>
          <w:sz w:val="28"/>
        </w:rPr>
        <w:t xml:space="preserve"> В целях социально-экономической поддержки семей с детьми предоставлены меры социальной поддержки:</w:t>
      </w:r>
    </w:p>
    <w:p w14:paraId="095B3E22" w14:textId="7599906E" w:rsidR="008566E1" w:rsidRPr="00E47AA9" w:rsidRDefault="008566E1" w:rsidP="008566E1">
      <w:pPr>
        <w:pStyle w:val="ConsPlusNormal"/>
        <w:ind w:firstLine="708"/>
        <w:jc w:val="both"/>
        <w:rPr>
          <w:rFonts w:ascii="Times New Roman" w:eastAsiaTheme="minorHAnsi" w:hAnsi="Times New Roman" w:cs="Times New Roman"/>
          <w:sz w:val="28"/>
          <w:szCs w:val="22"/>
          <w:lang w:eastAsia="en-US"/>
        </w:rPr>
      </w:pPr>
      <w:r w:rsidRPr="00E47AA9">
        <w:rPr>
          <w:rFonts w:ascii="Times New Roman" w:eastAsiaTheme="minorHAnsi" w:hAnsi="Times New Roman" w:cs="Times New Roman"/>
          <w:sz w:val="28"/>
          <w:szCs w:val="22"/>
          <w:lang w:eastAsia="en-US"/>
        </w:rPr>
        <w:t>для многодетных семей в общем объеме 206,76 млн рублей (план</w:t>
      </w:r>
      <w:r w:rsidR="00576C74" w:rsidRPr="00E47AA9">
        <w:rPr>
          <w:rFonts w:ascii="Times New Roman" w:eastAsiaTheme="minorHAnsi" w:hAnsi="Times New Roman" w:cs="Times New Roman"/>
          <w:sz w:val="28"/>
          <w:szCs w:val="22"/>
          <w:lang w:eastAsia="en-US"/>
        </w:rPr>
        <w:t> </w:t>
      </w:r>
      <w:r w:rsidR="00576C74" w:rsidRPr="00E47AA9">
        <w:rPr>
          <w:rFonts w:eastAsiaTheme="minorHAnsi"/>
        </w:rPr>
        <w:t>–</w:t>
      </w:r>
      <w:r w:rsidRPr="00E47AA9">
        <w:rPr>
          <w:rFonts w:ascii="Times New Roman" w:eastAsiaTheme="minorHAnsi" w:hAnsi="Times New Roman" w:cs="Times New Roman"/>
          <w:sz w:val="28"/>
          <w:szCs w:val="22"/>
          <w:lang w:eastAsia="en-US"/>
        </w:rPr>
        <w:t xml:space="preserve"> 206,87</w:t>
      </w:r>
      <w:r w:rsidR="00A62BA9" w:rsidRPr="00E47AA9">
        <w:rPr>
          <w:rFonts w:ascii="Times New Roman" w:eastAsiaTheme="minorHAnsi" w:hAnsi="Times New Roman" w:cs="Times New Roman"/>
          <w:sz w:val="28"/>
          <w:szCs w:val="22"/>
          <w:lang w:eastAsia="en-US"/>
        </w:rPr>
        <w:t> </w:t>
      </w:r>
      <w:r w:rsidRPr="00E47AA9">
        <w:rPr>
          <w:rFonts w:ascii="Times New Roman" w:eastAsiaTheme="minorHAnsi" w:hAnsi="Times New Roman" w:cs="Times New Roman"/>
          <w:sz w:val="28"/>
          <w:szCs w:val="22"/>
          <w:lang w:eastAsia="en-US"/>
        </w:rPr>
        <w:t>млн рублей), а именно: социальная выплата для обеспечения школьной формой либо заменяющим ее комплектом детской одежды для посещения школьных занятий и спортивной формой детей, обучающихся в общеобразовательных организациях, в размере 5 тыс. рублей в год на каждого ребенка (20781 ребенок) и ежегодная денежная выплата на посещение детьми цирков, океанариумов, зоопарков, театров и кинотеатров, на приобретение канцелярских принадлежностей в размере 2,5 тыс. рублей в год на каждого ребенка (38019 детей);</w:t>
      </w:r>
    </w:p>
    <w:p w14:paraId="0C6B6636" w14:textId="77777777" w:rsidR="008566E1" w:rsidRPr="00E47AA9" w:rsidRDefault="008566E1" w:rsidP="008566E1">
      <w:pPr>
        <w:pStyle w:val="ConsPlusNormal"/>
        <w:widowControl/>
        <w:ind w:firstLine="708"/>
        <w:jc w:val="both"/>
        <w:rPr>
          <w:rFonts w:ascii="Times New Roman" w:eastAsiaTheme="minorHAnsi" w:hAnsi="Times New Roman" w:cs="Times New Roman"/>
          <w:sz w:val="28"/>
          <w:szCs w:val="22"/>
          <w:lang w:eastAsia="en-US"/>
        </w:rPr>
      </w:pPr>
      <w:r w:rsidRPr="00E47AA9">
        <w:rPr>
          <w:rFonts w:ascii="Times New Roman" w:eastAsiaTheme="minorHAnsi" w:hAnsi="Times New Roman" w:cs="Times New Roman"/>
          <w:sz w:val="28"/>
          <w:szCs w:val="22"/>
          <w:lang w:eastAsia="en-US"/>
        </w:rPr>
        <w:lastRenderedPageBreak/>
        <w:t xml:space="preserve">с использованием сертификата "Подарок новорожденному" – 30,06 млн рублей, или 98,55 % от плана 30,50 млн рублей. Мерой поддержки воспользовались 3273 семьи на 3332 ребенка. </w:t>
      </w:r>
    </w:p>
    <w:p w14:paraId="0F3CE084" w14:textId="77777777" w:rsidR="008566E1" w:rsidRPr="00E47AA9" w:rsidRDefault="008566E1" w:rsidP="008566E1">
      <w:pPr>
        <w:pStyle w:val="ConsPlusNormal"/>
        <w:widowControl/>
        <w:ind w:firstLine="708"/>
        <w:jc w:val="both"/>
        <w:rPr>
          <w:rFonts w:ascii="Times New Roman" w:eastAsiaTheme="minorHAnsi" w:hAnsi="Times New Roman" w:cs="Times New Roman"/>
          <w:sz w:val="28"/>
          <w:szCs w:val="22"/>
          <w:lang w:eastAsia="en-US"/>
        </w:rPr>
      </w:pPr>
      <w:r w:rsidRPr="00E47AA9">
        <w:rPr>
          <w:rFonts w:ascii="Times New Roman" w:eastAsiaTheme="minorHAnsi" w:hAnsi="Times New Roman" w:cs="Times New Roman"/>
          <w:sz w:val="28"/>
          <w:szCs w:val="22"/>
          <w:lang w:eastAsia="en-US"/>
        </w:rPr>
        <w:t>Кроме того, в полном объеме плановых назначений 478,64 млн рублей оказана социальная поддержка 892 семьям, имеющим детей, при рождении третьего ребенка или последующих детей в части погашения обязательств по ипотечным жилищным кредитам (займам).</w:t>
      </w:r>
    </w:p>
    <w:p w14:paraId="2D7DD297" w14:textId="77777777" w:rsidR="008566E1" w:rsidRPr="00E47AA9" w:rsidRDefault="008566E1" w:rsidP="008566E1">
      <w:pPr>
        <w:pStyle w:val="ConsPlusNormal"/>
        <w:widowControl/>
        <w:ind w:firstLine="708"/>
        <w:jc w:val="both"/>
        <w:rPr>
          <w:rFonts w:ascii="Times New Roman" w:hAnsi="Times New Roman" w:cs="Times New Roman"/>
          <w:bCs/>
          <w:sz w:val="28"/>
          <w:szCs w:val="28"/>
        </w:rPr>
      </w:pPr>
      <w:r w:rsidRPr="00E47AA9">
        <w:rPr>
          <w:rFonts w:ascii="Times New Roman" w:hAnsi="Times New Roman" w:cs="Times New Roman"/>
          <w:sz w:val="28"/>
          <w:szCs w:val="28"/>
        </w:rPr>
        <w:t xml:space="preserve">Также в рамках подпрограммы министерством труда и социальной политики Приморского края реализованы следующие </w:t>
      </w:r>
      <w:r w:rsidRPr="00E47AA9">
        <w:rPr>
          <w:rFonts w:ascii="Times New Roman" w:hAnsi="Times New Roman" w:cs="Times New Roman"/>
          <w:bCs/>
          <w:i/>
          <w:sz w:val="28"/>
          <w:szCs w:val="28"/>
        </w:rPr>
        <w:t>комплексы процессных мероприятий</w:t>
      </w:r>
      <w:r w:rsidRPr="00E47AA9">
        <w:rPr>
          <w:rFonts w:ascii="Times New Roman" w:hAnsi="Times New Roman" w:cs="Times New Roman"/>
          <w:bCs/>
          <w:sz w:val="28"/>
          <w:szCs w:val="28"/>
        </w:rPr>
        <w:t>:</w:t>
      </w:r>
    </w:p>
    <w:p w14:paraId="4F04ABE5" w14:textId="77777777" w:rsidR="008566E1" w:rsidRPr="00E47AA9" w:rsidRDefault="008566E1" w:rsidP="008566E1">
      <w:pPr>
        <w:pStyle w:val="ConsPlusNormal"/>
        <w:widowControl/>
        <w:ind w:firstLine="708"/>
        <w:jc w:val="both"/>
        <w:rPr>
          <w:rFonts w:ascii="Times New Roman" w:hAnsi="Times New Roman"/>
          <w:sz w:val="28"/>
          <w:szCs w:val="28"/>
        </w:rPr>
      </w:pPr>
      <w:r w:rsidRPr="00E47AA9">
        <w:rPr>
          <w:rFonts w:ascii="Times New Roman" w:hAnsi="Times New Roman"/>
          <w:i/>
          <w:sz w:val="28"/>
          <w:szCs w:val="28"/>
        </w:rPr>
        <w:t>КПМ "Поддержка детей и семей, находящихся в трудной жизненной ситуации"</w:t>
      </w:r>
      <w:r w:rsidRPr="00E47AA9">
        <w:rPr>
          <w:rFonts w:ascii="Times New Roman" w:hAnsi="Times New Roman"/>
          <w:sz w:val="28"/>
          <w:szCs w:val="28"/>
        </w:rPr>
        <w:t xml:space="preserve"> – 89,37 млн рублей (при плане 89,48 млн рублей) на организацию и обеспечение отдыха и оздоровления детей, находящихся в трудной жизненной ситуации. Приобретены 2694 путевки</w:t>
      </w:r>
      <w:r w:rsidR="00712622" w:rsidRPr="00E47AA9">
        <w:rPr>
          <w:rFonts w:ascii="Times New Roman" w:hAnsi="Times New Roman"/>
          <w:sz w:val="28"/>
          <w:szCs w:val="28"/>
        </w:rPr>
        <w:t>:</w:t>
      </w:r>
      <w:r w:rsidRPr="00E47AA9">
        <w:rPr>
          <w:rFonts w:ascii="Times New Roman" w:hAnsi="Times New Roman"/>
          <w:sz w:val="28"/>
          <w:szCs w:val="28"/>
        </w:rPr>
        <w:t xml:space="preserve"> в загородные стационарные оздоровительные учреждения (931 штук), профильные лагеря на базе загородных стационарных оздоровительных учреждений (1467), санаторные оздоровительные лагеря круглогодичного действия (296). Выдано 233 сертификата "Мать и дитя" на приобретение путевки в санаторные оздоровительные лагеря круглогодичного действия для детей-инвалидов, нуждающихся в постоянном постороннем уходе; </w:t>
      </w:r>
    </w:p>
    <w:p w14:paraId="01433D26" w14:textId="1CC92889" w:rsidR="008566E1" w:rsidRPr="00E47AA9" w:rsidRDefault="008566E1" w:rsidP="008566E1">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i/>
          <w:sz w:val="28"/>
          <w:szCs w:val="24"/>
          <w:lang w:eastAsia="ru-RU"/>
        </w:rPr>
        <w:t>КПМ "Меры социальной поддержки детей-сирот и детей, оставшихся без попечения родителей"</w:t>
      </w:r>
      <w:r w:rsidRPr="00E47AA9">
        <w:rPr>
          <w:rFonts w:ascii="Times New Roman" w:eastAsia="Times New Roman" w:hAnsi="Times New Roman" w:cs="Times New Roman"/>
          <w:sz w:val="28"/>
          <w:szCs w:val="24"/>
          <w:lang w:eastAsia="ru-RU"/>
        </w:rPr>
        <w:t xml:space="preserve"> – 893,96 млн рублей, или 92,39 % (план</w:t>
      </w:r>
      <w:r w:rsidR="007B79AB" w:rsidRPr="00E47AA9">
        <w:rPr>
          <w:rFonts w:ascii="Times New Roman" w:eastAsia="Times New Roman" w:hAnsi="Times New Roman" w:cs="Times New Roman"/>
          <w:sz w:val="28"/>
          <w:szCs w:val="24"/>
          <w:lang w:eastAsia="ru-RU"/>
        </w:rPr>
        <w:t xml:space="preserve"> – </w:t>
      </w:r>
      <w:r w:rsidRPr="00E47AA9">
        <w:rPr>
          <w:rFonts w:ascii="Times New Roman" w:eastAsia="Times New Roman" w:hAnsi="Times New Roman" w:cs="Times New Roman"/>
          <w:sz w:val="28"/>
          <w:szCs w:val="24"/>
          <w:lang w:eastAsia="ru-RU"/>
        </w:rPr>
        <w:t>967,60 млн рублей) направлены на с</w:t>
      </w:r>
      <w:r w:rsidRPr="00E47AA9">
        <w:rPr>
          <w:rFonts w:ascii="Times New Roman" w:eastAsia="Times New Roman" w:hAnsi="Times New Roman" w:cs="Times New Roman"/>
          <w:sz w:val="28"/>
          <w:szCs w:val="28"/>
          <w:lang w:eastAsia="ru-RU"/>
        </w:rPr>
        <w:t>оциальную поддержку 7454 детей, оставшихся без попечения родителей, и лиц, принявших на воспитание в семью детей, оставшихся без попечения родителей. Доля сопровождаемых семей Приморского края в общем числе семей, в которые переданы на воспитание дети</w:t>
      </w:r>
      <w:r w:rsidR="00712622"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сироты и дети, оставшиеся без попечения родителей, составила 96,9 %;</w:t>
      </w:r>
    </w:p>
    <w:p w14:paraId="0B8D7CD3" w14:textId="77777777" w:rsidR="008566E1" w:rsidRPr="00E47AA9" w:rsidRDefault="008566E1" w:rsidP="008566E1">
      <w:pPr>
        <w:autoSpaceDE w:val="0"/>
        <w:autoSpaceDN w:val="0"/>
        <w:adjustRightInd w:val="0"/>
        <w:spacing w:after="0" w:line="240" w:lineRule="auto"/>
        <w:ind w:firstLine="708"/>
        <w:jc w:val="both"/>
        <w:rPr>
          <w:rFonts w:ascii="Times New Roman" w:eastAsia="Times New Roman" w:hAnsi="Times New Roman" w:cs="Arial"/>
          <w:sz w:val="28"/>
          <w:szCs w:val="28"/>
          <w:lang w:eastAsia="ru-RU"/>
        </w:rPr>
      </w:pPr>
      <w:r w:rsidRPr="00E47AA9">
        <w:rPr>
          <w:rFonts w:ascii="Times New Roman" w:eastAsia="Times New Roman" w:hAnsi="Times New Roman" w:cs="Arial"/>
          <w:i/>
          <w:sz w:val="28"/>
          <w:szCs w:val="28"/>
          <w:lang w:eastAsia="ru-RU"/>
        </w:rPr>
        <w:t>КПМ "Меры социальной поддержки семей, имеющих детей"</w:t>
      </w:r>
      <w:r w:rsidRPr="00E47AA9">
        <w:rPr>
          <w:rFonts w:ascii="Times New Roman" w:eastAsia="Times New Roman" w:hAnsi="Times New Roman" w:cs="Arial"/>
          <w:sz w:val="28"/>
          <w:szCs w:val="28"/>
          <w:lang w:eastAsia="ru-RU"/>
        </w:rPr>
        <w:t xml:space="preserve"> – 4092,13 млн рублей (в полном объеме плановых назначений). </w:t>
      </w:r>
    </w:p>
    <w:p w14:paraId="4DFA6FF6"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Arial"/>
          <w:sz w:val="28"/>
          <w:szCs w:val="28"/>
          <w:lang w:eastAsia="ru-RU"/>
        </w:rPr>
      </w:pPr>
      <w:r w:rsidRPr="00E47AA9">
        <w:rPr>
          <w:rFonts w:ascii="Times New Roman" w:eastAsia="Times New Roman" w:hAnsi="Times New Roman" w:cs="Arial"/>
          <w:sz w:val="28"/>
          <w:szCs w:val="28"/>
          <w:lang w:eastAsia="ru-RU"/>
        </w:rPr>
        <w:t>Основной объем занимают субвенции бюджету Фонда пенсионного и социального страхования Российской Федерации на выплату ежемесячного пособия в связи с рождением и воспитанием ребенка в сумме 3842,53 млн рублей.</w:t>
      </w:r>
      <w:r w:rsidRPr="00E47AA9">
        <w:rPr>
          <w:rFonts w:ascii="Arial" w:eastAsia="Times New Roman" w:hAnsi="Arial" w:cs="Arial"/>
          <w:sz w:val="20"/>
          <w:szCs w:val="20"/>
          <w:lang w:eastAsia="ru-RU"/>
        </w:rPr>
        <w:t xml:space="preserve"> </w:t>
      </w:r>
      <w:r w:rsidRPr="00E47AA9">
        <w:rPr>
          <w:rFonts w:ascii="Times New Roman" w:eastAsia="Times New Roman" w:hAnsi="Times New Roman" w:cs="Arial"/>
          <w:sz w:val="28"/>
          <w:szCs w:val="28"/>
          <w:lang w:eastAsia="ru-RU"/>
        </w:rPr>
        <w:t>Пособие предоставлено 95665 семьям на 161357 детей.</w:t>
      </w:r>
    </w:p>
    <w:p w14:paraId="1BA61662"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Arial"/>
          <w:sz w:val="28"/>
          <w:szCs w:val="28"/>
          <w:lang w:eastAsia="ru-RU"/>
        </w:rPr>
      </w:pPr>
      <w:r w:rsidRPr="00E47AA9">
        <w:rPr>
          <w:rFonts w:ascii="Times New Roman" w:eastAsia="Times New Roman" w:hAnsi="Times New Roman" w:cs="Arial"/>
          <w:sz w:val="28"/>
          <w:szCs w:val="28"/>
          <w:lang w:eastAsia="ru-RU"/>
        </w:rPr>
        <w:t>Также министерством реализованы следующие меры поддержки:</w:t>
      </w:r>
    </w:p>
    <w:p w14:paraId="4DB57FDF" w14:textId="78D1C556"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социальная поддержка многодетных семей – 221,14 млн рублей (план</w:t>
      </w:r>
      <w:r w:rsidR="007B79AB"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 221,17 млн рублей). Меры социальной поддержки предоставлены 8742</w:t>
      </w:r>
      <w:r w:rsidR="007B79AB"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многодетным семьям;</w:t>
      </w:r>
    </w:p>
    <w:p w14:paraId="46F778C9" w14:textId="77777777" w:rsidR="008566E1" w:rsidRPr="00E47AA9" w:rsidRDefault="008566E1" w:rsidP="008566E1">
      <w:pPr>
        <w:autoSpaceDE w:val="0"/>
        <w:autoSpaceDN w:val="0"/>
        <w:adjustRightInd w:val="0"/>
        <w:spacing w:after="0" w:line="240" w:lineRule="auto"/>
        <w:ind w:firstLine="708"/>
        <w:jc w:val="both"/>
        <w:rPr>
          <w:rFonts w:ascii="Times New Roman" w:eastAsia="Times New Roman" w:hAnsi="Times New Roman" w:cs="Arial"/>
          <w:sz w:val="28"/>
          <w:szCs w:val="28"/>
          <w:lang w:eastAsia="ru-RU"/>
        </w:rPr>
      </w:pPr>
      <w:r w:rsidRPr="00E47AA9">
        <w:rPr>
          <w:rFonts w:ascii="Times New Roman" w:eastAsia="Times New Roman" w:hAnsi="Times New Roman" w:cs="Arial"/>
          <w:sz w:val="28"/>
          <w:szCs w:val="28"/>
          <w:lang w:eastAsia="ru-RU"/>
        </w:rPr>
        <w:t>единовременная социальная выплата многодетным семьям, в которых воспитываются шесть и более детей, на приобретение транспортного средства</w:t>
      </w:r>
      <w:r w:rsidR="00712622" w:rsidRPr="00E47AA9">
        <w:rPr>
          <w:rFonts w:ascii="Times New Roman" w:eastAsia="Times New Roman" w:hAnsi="Times New Roman" w:cs="Arial"/>
          <w:sz w:val="28"/>
          <w:szCs w:val="28"/>
          <w:lang w:eastAsia="ru-RU"/>
        </w:rPr>
        <w:t> </w:t>
      </w:r>
      <w:r w:rsidRPr="00E47AA9">
        <w:rPr>
          <w:rFonts w:ascii="Times New Roman" w:eastAsia="Times New Roman" w:hAnsi="Times New Roman" w:cs="Arial"/>
          <w:sz w:val="28"/>
          <w:szCs w:val="28"/>
          <w:lang w:eastAsia="ru-RU"/>
        </w:rPr>
        <w:t>– 28,00 млн рублей. Транспортное средство приобретено 28 семьям.</w:t>
      </w:r>
    </w:p>
    <w:p w14:paraId="1EE18AA4"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4"/>
          <w:lang w:eastAsia="ru-RU"/>
        </w:rPr>
      </w:pPr>
      <w:r w:rsidRPr="00E47AA9">
        <w:rPr>
          <w:rFonts w:ascii="Times New Roman" w:eastAsia="Times New Roman" w:hAnsi="Times New Roman" w:cs="Times New Roman"/>
          <w:sz w:val="28"/>
          <w:szCs w:val="24"/>
          <w:u w:val="single"/>
          <w:lang w:eastAsia="ru-RU"/>
        </w:rPr>
        <w:t>Министерством образования Приморского края</w:t>
      </w:r>
      <w:r w:rsidRPr="00E47AA9">
        <w:rPr>
          <w:rFonts w:ascii="Times New Roman" w:eastAsia="Times New Roman" w:hAnsi="Times New Roman" w:cs="Times New Roman"/>
          <w:sz w:val="28"/>
          <w:szCs w:val="24"/>
          <w:lang w:eastAsia="ru-RU"/>
        </w:rPr>
        <w:t xml:space="preserve"> в 2024 году осуществлялась реализация </w:t>
      </w:r>
      <w:r w:rsidRPr="00E47AA9">
        <w:rPr>
          <w:rFonts w:ascii="Times New Roman" w:eastAsia="Times New Roman" w:hAnsi="Times New Roman" w:cs="Times New Roman"/>
          <w:i/>
          <w:iCs/>
          <w:sz w:val="28"/>
          <w:szCs w:val="24"/>
          <w:lang w:eastAsia="ru-RU"/>
        </w:rPr>
        <w:t xml:space="preserve">КПМ </w:t>
      </w:r>
      <w:r w:rsidRPr="00E47AA9">
        <w:rPr>
          <w:rFonts w:ascii="Times New Roman" w:eastAsia="Times New Roman" w:hAnsi="Times New Roman" w:cs="Times New Roman"/>
          <w:bCs/>
          <w:i/>
          <w:sz w:val="28"/>
          <w:szCs w:val="24"/>
          <w:lang w:eastAsia="ru-RU"/>
        </w:rPr>
        <w:t>"Меры социальной поддержки семей, имеющих детей"</w:t>
      </w:r>
      <w:r w:rsidRPr="00E47AA9">
        <w:rPr>
          <w:rFonts w:ascii="Times New Roman" w:eastAsia="Times New Roman" w:hAnsi="Times New Roman" w:cs="Times New Roman"/>
          <w:bCs/>
          <w:sz w:val="28"/>
          <w:szCs w:val="24"/>
          <w:lang w:eastAsia="ru-RU"/>
        </w:rPr>
        <w:t xml:space="preserve"> – 320,81 </w:t>
      </w:r>
      <w:r w:rsidRPr="00E47AA9">
        <w:rPr>
          <w:rFonts w:ascii="Times New Roman" w:eastAsia="Times New Roman" w:hAnsi="Times New Roman" w:cs="Times New Roman"/>
          <w:sz w:val="28"/>
          <w:szCs w:val="24"/>
          <w:lang w:eastAsia="ru-RU"/>
        </w:rPr>
        <w:t>млн рублей, или 98,69 % от плана 325,06 млн рублей.</w:t>
      </w:r>
    </w:p>
    <w:p w14:paraId="4D908454"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4"/>
          <w:lang w:eastAsia="ru-RU"/>
        </w:rPr>
      </w:pPr>
      <w:r w:rsidRPr="00E47AA9">
        <w:rPr>
          <w:rFonts w:ascii="Times New Roman" w:eastAsia="Times New Roman" w:hAnsi="Times New Roman" w:cs="Times New Roman"/>
          <w:sz w:val="28"/>
          <w:szCs w:val="24"/>
          <w:lang w:eastAsia="ru-RU"/>
        </w:rPr>
        <w:lastRenderedPageBreak/>
        <w:t>На компенсацию части платы, взимаемой с родителей (законных представителей) за присмотр и уход за детьми, осваивающими образовательные программы дошкольного образования в организациях, осуществляющих образовательную деятельность направлено 315,81 млн рублей (план – 320,06 млн рублей). Поддержка предоставлена на 69585 детей.</w:t>
      </w:r>
    </w:p>
    <w:p w14:paraId="3C3160AF"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4"/>
          <w:lang w:eastAsia="ru-RU"/>
        </w:rPr>
      </w:pPr>
      <w:r w:rsidRPr="00E47AA9">
        <w:rPr>
          <w:rFonts w:ascii="Times New Roman" w:eastAsia="Times New Roman" w:hAnsi="Times New Roman" w:cs="Times New Roman"/>
          <w:sz w:val="28"/>
          <w:szCs w:val="24"/>
          <w:lang w:eastAsia="ru-RU"/>
        </w:rPr>
        <w:t>В полном объеме плановых назначений 5,00 млн рублей предоставлена компенсация родителям за воспитание и обучение 270 детей-инвалидов на дому.</w:t>
      </w:r>
    </w:p>
    <w:p w14:paraId="4D56EF11" w14:textId="77777777" w:rsidR="008566E1" w:rsidRPr="00E47AA9" w:rsidRDefault="008566E1" w:rsidP="008566E1">
      <w:pPr>
        <w:pStyle w:val="ConsPlusNormal"/>
        <w:widowControl/>
        <w:ind w:firstLine="708"/>
        <w:jc w:val="both"/>
        <w:rPr>
          <w:rFonts w:ascii="Times New Roman" w:hAnsi="Times New Roman" w:cs="Times New Roman"/>
          <w:b/>
          <w:sz w:val="28"/>
          <w:szCs w:val="28"/>
        </w:rPr>
      </w:pPr>
      <w:r w:rsidRPr="00E47AA9">
        <w:rPr>
          <w:rFonts w:ascii="Times New Roman" w:hAnsi="Times New Roman" w:cs="Times New Roman"/>
          <w:b/>
          <w:sz w:val="28"/>
          <w:szCs w:val="28"/>
        </w:rPr>
        <w:t xml:space="preserve">Подпрограмма "Социальная поддержка отдельных категорий граждан в Приморском крае" </w:t>
      </w:r>
    </w:p>
    <w:p w14:paraId="1B1E42AF" w14:textId="310D3194"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4"/>
          <w:lang w:eastAsia="ru-RU"/>
        </w:rPr>
      </w:pPr>
      <w:r w:rsidRPr="00E47AA9">
        <w:rPr>
          <w:rFonts w:ascii="Times New Roman" w:eastAsia="Times New Roman" w:hAnsi="Times New Roman" w:cs="Times New Roman"/>
          <w:bCs/>
          <w:i/>
          <w:sz w:val="28"/>
          <w:szCs w:val="24"/>
          <w:lang w:eastAsia="ru-RU"/>
        </w:rPr>
        <w:t>Региональн</w:t>
      </w:r>
      <w:r w:rsidRPr="00E47AA9">
        <w:rPr>
          <w:rFonts w:ascii="Times New Roman" w:eastAsia="Times New Roman" w:hAnsi="Times New Roman" w:cs="Times New Roman"/>
          <w:bCs/>
          <w:i/>
          <w:sz w:val="28"/>
          <w:szCs w:val="20"/>
          <w:lang w:eastAsia="ru-RU"/>
        </w:rPr>
        <w:t>ый</w:t>
      </w:r>
      <w:r w:rsidRPr="00E47AA9">
        <w:rPr>
          <w:rFonts w:ascii="Times New Roman" w:eastAsia="Times New Roman" w:hAnsi="Times New Roman" w:cs="Times New Roman"/>
          <w:bCs/>
          <w:i/>
          <w:sz w:val="28"/>
          <w:szCs w:val="24"/>
          <w:lang w:eastAsia="ru-RU"/>
        </w:rPr>
        <w:t xml:space="preserve"> проект</w:t>
      </w:r>
      <w:r w:rsidR="00E80C35" w:rsidRPr="00E47AA9">
        <w:rPr>
          <w:rFonts w:ascii="Times New Roman" w:eastAsia="Times New Roman" w:hAnsi="Times New Roman" w:cs="Times New Roman"/>
          <w:bCs/>
          <w:i/>
          <w:sz w:val="28"/>
          <w:szCs w:val="24"/>
          <w:lang w:eastAsia="ru-RU"/>
        </w:rPr>
        <w:t xml:space="preserve"> "Реализация адресной социальной поддержки отдельным категориям граждан"</w:t>
      </w:r>
      <w:r w:rsidRPr="00E47AA9">
        <w:rPr>
          <w:rFonts w:ascii="Times New Roman" w:eastAsia="Times New Roman" w:hAnsi="Times New Roman" w:cs="Times New Roman"/>
          <w:bCs/>
          <w:i/>
          <w:sz w:val="28"/>
          <w:szCs w:val="24"/>
          <w:lang w:eastAsia="ru-RU"/>
        </w:rPr>
        <w:t>, не входящий в состав национальных проектов</w:t>
      </w:r>
      <w:r w:rsidR="00E80C35" w:rsidRPr="00E47AA9">
        <w:rPr>
          <w:rFonts w:ascii="Times New Roman" w:eastAsia="Times New Roman" w:hAnsi="Times New Roman" w:cs="Times New Roman"/>
          <w:bCs/>
          <w:i/>
          <w:sz w:val="28"/>
          <w:szCs w:val="24"/>
          <w:lang w:eastAsia="ru-RU"/>
        </w:rPr>
        <w:t>,</w:t>
      </w:r>
      <w:r w:rsidRPr="00E47AA9">
        <w:rPr>
          <w:rFonts w:ascii="Times New Roman" w:eastAsia="Times New Roman" w:hAnsi="Times New Roman" w:cs="Times New Roman"/>
          <w:bCs/>
          <w:i/>
          <w:sz w:val="28"/>
          <w:szCs w:val="24"/>
          <w:lang w:eastAsia="ru-RU"/>
        </w:rPr>
        <w:t xml:space="preserve"> </w:t>
      </w:r>
      <w:r w:rsidRPr="00E47AA9">
        <w:rPr>
          <w:rFonts w:ascii="Times New Roman" w:eastAsia="Times New Roman" w:hAnsi="Times New Roman" w:cs="Times New Roman"/>
          <w:sz w:val="28"/>
          <w:szCs w:val="24"/>
          <w:lang w:eastAsia="ru-RU"/>
        </w:rPr>
        <w:t>исполнен практически в полном объеме плановых назначений 5049,36 млн рублей (план – 5049,60 млн рублей), в том числе:</w:t>
      </w:r>
    </w:p>
    <w:p w14:paraId="72F0EF70"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выплата региональной социальной доплаты к пенсии составила 4816,67 млн рублей (план – 4816,91 млн рублей). Численность получателей составила 102981 человек;</w:t>
      </w:r>
    </w:p>
    <w:p w14:paraId="201EA0EA"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оказание государственной социальной помощи на основании социального контракта отдельным категориям граждан – 232,69 млн рублей (в полном объеме плановых назначений). В 2024 году заключено 1723 социальных контракта по 4 направлениям: поиск работы – 1126 человек (размер ежемесячной выплаты 20044,00 рубля); осуществление индивидуальной предпринимательской деятельности – 305 человек (размер единовременной выплаты составляет 350,00 тыс. рублей); ведение личного подсобного хозяйства – 67 человек (размер единовременной выплаты составляет 200,00 тыс. рублей); осуществление иных мероприятий, направленных на преодоление заявителем трудной жизненной ситуации  – 225 человек (размер ежемесячной выплаты составляет 20044,00 рубля).</w:t>
      </w:r>
    </w:p>
    <w:p w14:paraId="520FE2FC" w14:textId="77777777" w:rsidR="008566E1" w:rsidRPr="00E47AA9" w:rsidRDefault="008566E1" w:rsidP="008566E1">
      <w:pPr>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sz w:val="28"/>
          <w:szCs w:val="28"/>
          <w:lang w:eastAsia="ru-RU"/>
        </w:rPr>
        <w:t xml:space="preserve">Также в рамках подпрограммы министерством реализованы следующие </w:t>
      </w:r>
      <w:r w:rsidRPr="00E47AA9">
        <w:rPr>
          <w:rFonts w:ascii="Times New Roman" w:eastAsia="Times New Roman" w:hAnsi="Times New Roman" w:cs="Times New Roman"/>
          <w:bCs/>
          <w:i/>
          <w:sz w:val="28"/>
          <w:szCs w:val="28"/>
          <w:lang w:eastAsia="ru-RU"/>
        </w:rPr>
        <w:t>комплексы процессных мероприятий</w:t>
      </w:r>
      <w:r w:rsidRPr="00E47AA9">
        <w:rPr>
          <w:rFonts w:ascii="Times New Roman" w:eastAsia="Times New Roman" w:hAnsi="Times New Roman" w:cs="Times New Roman"/>
          <w:bCs/>
          <w:sz w:val="28"/>
          <w:szCs w:val="28"/>
          <w:lang w:eastAsia="ru-RU"/>
        </w:rPr>
        <w:t>:</w:t>
      </w:r>
    </w:p>
    <w:p w14:paraId="4683BD4E" w14:textId="0313D74E"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"Выплата пенсий и доплат к пенсии"</w:t>
      </w:r>
      <w:r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softHyphen/>
        <w:t>– 208,85 млн рублей (в</w:t>
      </w:r>
      <w:r w:rsidR="007B79AB"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полном объеме плановых назначений), в том числе:</w:t>
      </w:r>
    </w:p>
    <w:p w14:paraId="4702386B"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пенсии за выслугу лет государственным служащим Приморского края – 204,01 млн рублей. Данную пенсию получили 752 человека;</w:t>
      </w:r>
    </w:p>
    <w:p w14:paraId="3B3B4DF8"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социальная выплата получателям региональной социальной доплаты к пенсии, не достигшим возраста 18 лет, а также детям, обучающимся по очной форме обучения и осуществляющим трудовую деятельность в свободное от учебы время – 4,83 млн рублей. Меры поддержки оказаны 163 обратившимся; </w:t>
      </w:r>
    </w:p>
    <w:p w14:paraId="6D2AE88D" w14:textId="087680DB" w:rsidR="008566E1" w:rsidRPr="00E47AA9" w:rsidRDefault="008566E1" w:rsidP="008566E1">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"Предоставление ежемесячной денежной выплаты в Приморском крае льготным категориям граждан"</w:t>
      </w:r>
      <w:r w:rsidRPr="00E47AA9">
        <w:rPr>
          <w:rFonts w:ascii="Times New Roman" w:eastAsia="Times New Roman" w:hAnsi="Times New Roman" w:cs="Times New Roman"/>
          <w:sz w:val="28"/>
          <w:szCs w:val="28"/>
          <w:lang w:eastAsia="ru-RU"/>
        </w:rPr>
        <w:t xml:space="preserve"> – 1590,33 млн рублей, или 99,97 % (план</w:t>
      </w:r>
      <w:r w:rsidR="007B79AB"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xml:space="preserve"> 1590,74 млн рублей), в том числе:</w:t>
      </w:r>
    </w:p>
    <w:p w14:paraId="222851AD"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111497 ветеранам труда – 1046,26 млн рублей (план 1046,31 млн рублей); </w:t>
      </w:r>
    </w:p>
    <w:p w14:paraId="7FD21569"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504 труженикам тыла – 5,38 млн рублей (в полном объеме плановых назначений);</w:t>
      </w:r>
    </w:p>
    <w:p w14:paraId="398C6CDC" w14:textId="79164462"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 xml:space="preserve">2094 реабилитированным лицам и лицам, признанным пострадавшими от политических репрессий – 20,12 млн рублей (план </w:t>
      </w:r>
      <w:r w:rsidR="00576C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20,14 млн рублей); </w:t>
      </w:r>
    </w:p>
    <w:p w14:paraId="5B38F662" w14:textId="4CB8E09E"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8243 ветеранам труда Приморского края – 129,75 млн рублей (план</w:t>
      </w:r>
      <w:r w:rsidR="00576C74"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xml:space="preserve"> 129,82 млн рублей). Размер ежемесячной выплаты 1290 рублей; </w:t>
      </w:r>
    </w:p>
    <w:p w14:paraId="3350EBDD" w14:textId="3E687B45"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720 гражданам, имеющим особые заслуги перед Отечеством и Приморским краем</w:t>
      </w:r>
      <w:r w:rsidR="00FB1AE5"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 6,64 млн рублей (план </w:t>
      </w:r>
      <w:r w:rsidR="00576C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6,86 млн рублей); </w:t>
      </w:r>
    </w:p>
    <w:p w14:paraId="42754418" w14:textId="4DB5C061"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2169 лицам, осуществляющим уход за инвалидами – 291,83 млн рублей (план </w:t>
      </w:r>
      <w:r w:rsidR="00576C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291,83 млн рублей), из них воспользовались правом 1307 человек – по уходу за инвалидами (размер ежемесячной денежной выплаты в 2024 году составил 18844,00 рублей или 18604,00 рубля в зависимости от размера выплаты, получаемой в Пенсионном фонде Российской Федерации), 862</w:t>
      </w:r>
      <w:r w:rsidR="007B79AB"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человека – за детьми</w:t>
      </w:r>
      <w:r w:rsidR="00FB1AE5"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инвалидами (размер ежемесячной денежной выплаты в 2024 году 8044,00 рубля);</w:t>
      </w:r>
    </w:p>
    <w:p w14:paraId="27C21926" w14:textId="5347703E"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27 Героям Социалистического Труда, Героям Труда Российской Федерации и полным кавалерам Ордена Трудовой славы</w:t>
      </w:r>
      <w:r w:rsidRPr="00E47AA9">
        <w:rPr>
          <w:rFonts w:ascii="Arial" w:eastAsia="Times New Roman" w:hAnsi="Arial" w:cs="Arial"/>
          <w:sz w:val="20"/>
          <w:szCs w:val="20"/>
          <w:lang w:eastAsia="ru-RU"/>
        </w:rPr>
        <w:t xml:space="preserve"> </w:t>
      </w:r>
      <w:r w:rsidRPr="00E47AA9">
        <w:rPr>
          <w:rFonts w:ascii="Times New Roman" w:eastAsia="Times New Roman" w:hAnsi="Times New Roman" w:cs="Times New Roman"/>
          <w:sz w:val="28"/>
          <w:szCs w:val="28"/>
          <w:lang w:eastAsia="ru-RU"/>
        </w:rPr>
        <w:t>– 7,63 млн рублей (в</w:t>
      </w:r>
      <w:r w:rsidR="007B79AB"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полном объеме плановых назначений);</w:t>
      </w:r>
    </w:p>
    <w:p w14:paraId="5C4B84C5" w14:textId="7A7B61A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1889 детям из 1361 семьи, проживающим на территории Приморского края, в соответствии с Законом Приморского края от 13.12.2018 № 415–КЗ "О дополнительных мерах социальной поддержки отдельных категорий граждан на территории Приморского края" – 79,54 млн рублей (план </w:t>
      </w:r>
      <w:r w:rsidR="00576C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79,55 млн рублей). Производятся ежемесячные денежные выплаты детям погибших участников боевых действий;</w:t>
      </w:r>
    </w:p>
    <w:p w14:paraId="58315BB9"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11 лицам, награжденным знаком особого отличия Приморского края "Герой Приморья" – 3,18 млн рублей (план 3,21 млн рублей);</w:t>
      </w:r>
    </w:p>
    <w:p w14:paraId="7898A018" w14:textId="6B3C515A" w:rsidR="008566E1" w:rsidRPr="00E47AA9" w:rsidRDefault="008566E1" w:rsidP="008566E1">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"Предоставление мер социальной поддержки по оплате жилищно-коммунальных услуг"</w:t>
      </w:r>
      <w:r w:rsidRPr="00E47AA9">
        <w:rPr>
          <w:rFonts w:ascii="Times New Roman" w:eastAsia="Times New Roman" w:hAnsi="Times New Roman" w:cs="Times New Roman"/>
          <w:sz w:val="28"/>
          <w:szCs w:val="28"/>
          <w:lang w:eastAsia="ru-RU"/>
        </w:rPr>
        <w:t xml:space="preserve"> – 4859,74 млн рублей, или 99,84 % (план </w:t>
      </w:r>
      <w:r w:rsidR="007B79AB"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4867,42 млн рублей), из них:</w:t>
      </w:r>
    </w:p>
    <w:p w14:paraId="1242BB66" w14:textId="0AA6F695" w:rsidR="008566E1" w:rsidRPr="00E47AA9" w:rsidRDefault="008566E1" w:rsidP="008566E1">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детям войны – 257,63 млн рублей (план </w:t>
      </w:r>
      <w:r w:rsidR="007B79AB"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258,00 млн рублей). Мера социальной поддержки предоставлена 32448 получателям (предоставлена компенсация расходов в размере 50 % на оплату жилых помещений и коммунальных услуг и в размере 100 % на оплату взноса на капитальный ремонт общего имущества в многоквартирном доме);</w:t>
      </w:r>
    </w:p>
    <w:p w14:paraId="251BE324" w14:textId="3E784716" w:rsidR="008566E1" w:rsidRPr="00E47AA9" w:rsidRDefault="008566E1" w:rsidP="008566E1">
      <w:pPr>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компенсация расходов по оплате жилищно-коммунальных услуг в соответствии со статьей 14 Закона Приморского края от 29.12.2004 № 206</w:t>
      </w:r>
      <w:r w:rsidR="00FB1AE5" w:rsidRPr="00E47AA9">
        <w:rPr>
          <w:rFonts w:ascii="Times New Roman" w:eastAsia="Times New Roman" w:hAnsi="Times New Roman" w:cs="Times New Roman"/>
          <w:bCs/>
          <w:sz w:val="28"/>
          <w:szCs w:val="28"/>
          <w:lang w:eastAsia="ru-RU"/>
        </w:rPr>
        <w:t>-</w:t>
      </w:r>
      <w:r w:rsidRPr="00E47AA9">
        <w:rPr>
          <w:rFonts w:ascii="Times New Roman" w:eastAsia="Times New Roman" w:hAnsi="Times New Roman" w:cs="Times New Roman"/>
          <w:bCs/>
          <w:sz w:val="28"/>
          <w:szCs w:val="28"/>
          <w:lang w:eastAsia="ru-RU"/>
        </w:rPr>
        <w:t xml:space="preserve">КЗ "О социальной поддержке льготных категорий граждан, проживающих на территории Приморского края" – 786,42 млн рублей (план </w:t>
      </w:r>
      <w:r w:rsidR="00576C74" w:rsidRPr="00E47AA9">
        <w:rPr>
          <w:rFonts w:ascii="Times New Roman" w:eastAsia="Times New Roman" w:hAnsi="Times New Roman" w:cs="Times New Roman"/>
          <w:bCs/>
          <w:sz w:val="28"/>
          <w:szCs w:val="28"/>
          <w:lang w:eastAsia="ru-RU"/>
        </w:rPr>
        <w:t xml:space="preserve">– </w:t>
      </w:r>
      <w:r w:rsidRPr="00E47AA9">
        <w:rPr>
          <w:rFonts w:ascii="Times New Roman" w:eastAsia="Times New Roman" w:hAnsi="Times New Roman" w:cs="Times New Roman"/>
          <w:bCs/>
          <w:sz w:val="28"/>
          <w:szCs w:val="28"/>
          <w:lang w:eastAsia="ru-RU"/>
        </w:rPr>
        <w:t xml:space="preserve">787,38 млн рублей). </w:t>
      </w:r>
      <w:r w:rsidR="007039F3" w:rsidRPr="00E47AA9">
        <w:rPr>
          <w:rFonts w:ascii="Times New Roman" w:eastAsia="Times New Roman" w:hAnsi="Times New Roman" w:cs="Times New Roman"/>
          <w:bCs/>
          <w:sz w:val="28"/>
          <w:szCs w:val="28"/>
          <w:lang w:eastAsia="ru-RU"/>
        </w:rPr>
        <w:t>Компенсация позволила с</w:t>
      </w:r>
      <w:r w:rsidRPr="00E47AA9">
        <w:rPr>
          <w:rFonts w:ascii="Times New Roman" w:eastAsia="Times New Roman" w:hAnsi="Times New Roman" w:cs="Times New Roman"/>
          <w:bCs/>
          <w:sz w:val="28"/>
          <w:szCs w:val="28"/>
          <w:lang w:eastAsia="ru-RU"/>
        </w:rPr>
        <w:t>ни</w:t>
      </w:r>
      <w:r w:rsidR="007039F3" w:rsidRPr="00E47AA9">
        <w:rPr>
          <w:rFonts w:ascii="Times New Roman" w:eastAsia="Times New Roman" w:hAnsi="Times New Roman" w:cs="Times New Roman"/>
          <w:bCs/>
          <w:sz w:val="28"/>
          <w:szCs w:val="28"/>
          <w:lang w:eastAsia="ru-RU"/>
        </w:rPr>
        <w:t>зить</w:t>
      </w:r>
      <w:r w:rsidRPr="00E47AA9">
        <w:rPr>
          <w:rFonts w:ascii="Times New Roman" w:eastAsia="Times New Roman" w:hAnsi="Times New Roman" w:cs="Times New Roman"/>
          <w:bCs/>
          <w:sz w:val="28"/>
          <w:szCs w:val="28"/>
          <w:lang w:eastAsia="ru-RU"/>
        </w:rPr>
        <w:t xml:space="preserve"> расходы на оплату жилищно-коммунальных услуг 20051 педагогическому работнику общеобразовательных учреждений, работающих в сельских населенных пунктах и поселках городского типа, а также в поселках городского типа и поселках, существовавших в соответствии с административно</w:t>
      </w:r>
      <w:r w:rsidR="00FB1AE5" w:rsidRPr="00E47AA9">
        <w:rPr>
          <w:rFonts w:ascii="Times New Roman" w:eastAsia="Times New Roman" w:hAnsi="Times New Roman" w:cs="Times New Roman"/>
          <w:bCs/>
          <w:sz w:val="28"/>
          <w:szCs w:val="28"/>
          <w:lang w:eastAsia="ru-RU"/>
        </w:rPr>
        <w:t>-</w:t>
      </w:r>
      <w:r w:rsidRPr="00E47AA9">
        <w:rPr>
          <w:rFonts w:ascii="Times New Roman" w:eastAsia="Times New Roman" w:hAnsi="Times New Roman" w:cs="Times New Roman"/>
          <w:bCs/>
          <w:sz w:val="28"/>
          <w:szCs w:val="28"/>
          <w:lang w:eastAsia="ru-RU"/>
        </w:rPr>
        <w:t>территориальным делением по состоянию на 01.01.2004 на территории Приморского края;</w:t>
      </w:r>
    </w:p>
    <w:p w14:paraId="39E5A090" w14:textId="3CDB0195"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 xml:space="preserve">ежемесячные денежные выплаты по оплате за жилое помещение и </w:t>
      </w:r>
      <w:r w:rsidRPr="00E47AA9">
        <w:rPr>
          <w:rFonts w:ascii="Times New Roman" w:eastAsia="Times New Roman" w:hAnsi="Times New Roman" w:cs="Times New Roman"/>
          <w:bCs/>
          <w:sz w:val="28"/>
          <w:szCs w:val="28"/>
          <w:lang w:eastAsia="ru-RU"/>
        </w:rPr>
        <w:lastRenderedPageBreak/>
        <w:t xml:space="preserve">коммунальные услуги в соответствии со статьей 14 Закона Приморского края от 29.12.2004 № 206–КЗ "О социальной поддержке льготных категорий граждан, проживающих на территории Приморского края" – 349,53 млн рублей (план </w:t>
      </w:r>
      <w:r w:rsidR="007B79AB" w:rsidRPr="00E47AA9">
        <w:rPr>
          <w:rFonts w:ascii="Times New Roman" w:eastAsia="Times New Roman" w:hAnsi="Times New Roman" w:cs="Times New Roman"/>
          <w:bCs/>
          <w:sz w:val="28"/>
          <w:szCs w:val="28"/>
          <w:lang w:eastAsia="ru-RU"/>
        </w:rPr>
        <w:t xml:space="preserve">– </w:t>
      </w:r>
      <w:r w:rsidRPr="00E47AA9">
        <w:rPr>
          <w:rFonts w:ascii="Times New Roman" w:eastAsia="Times New Roman" w:hAnsi="Times New Roman" w:cs="Times New Roman"/>
          <w:bCs/>
          <w:sz w:val="28"/>
          <w:szCs w:val="28"/>
          <w:lang w:eastAsia="ru-RU"/>
        </w:rPr>
        <w:t xml:space="preserve">350,24 млн рублей). </w:t>
      </w:r>
      <w:r w:rsidR="007039F3" w:rsidRPr="00E47AA9">
        <w:rPr>
          <w:rFonts w:ascii="Times New Roman" w:eastAsia="Times New Roman" w:hAnsi="Times New Roman" w:cs="Times New Roman"/>
          <w:bCs/>
          <w:sz w:val="28"/>
          <w:szCs w:val="28"/>
          <w:lang w:eastAsia="ru-RU"/>
        </w:rPr>
        <w:t xml:space="preserve">В результате </w:t>
      </w:r>
      <w:r w:rsidR="006C3219" w:rsidRPr="00E47AA9">
        <w:rPr>
          <w:rFonts w:ascii="Times New Roman" w:eastAsia="Times New Roman" w:hAnsi="Times New Roman" w:cs="Times New Roman"/>
          <w:bCs/>
          <w:sz w:val="28"/>
          <w:szCs w:val="28"/>
          <w:lang w:eastAsia="ru-RU"/>
        </w:rPr>
        <w:t>полученн</w:t>
      </w:r>
      <w:r w:rsidR="00EB4A19" w:rsidRPr="00E47AA9">
        <w:rPr>
          <w:rFonts w:ascii="Times New Roman" w:eastAsia="Times New Roman" w:hAnsi="Times New Roman" w:cs="Times New Roman"/>
          <w:bCs/>
          <w:sz w:val="28"/>
          <w:szCs w:val="28"/>
          <w:lang w:eastAsia="ru-RU"/>
        </w:rPr>
        <w:t>ой выплаты</w:t>
      </w:r>
      <w:r w:rsidR="00AD364D" w:rsidRPr="00E47AA9">
        <w:rPr>
          <w:rFonts w:ascii="Times New Roman" w:eastAsia="Times New Roman" w:hAnsi="Times New Roman" w:cs="Times New Roman"/>
          <w:bCs/>
          <w:sz w:val="28"/>
          <w:szCs w:val="28"/>
          <w:lang w:eastAsia="ru-RU"/>
        </w:rPr>
        <w:t xml:space="preserve"> </w:t>
      </w:r>
      <w:r w:rsidR="007039F3" w:rsidRPr="00E47AA9">
        <w:rPr>
          <w:rFonts w:ascii="Times New Roman" w:eastAsia="Times New Roman" w:hAnsi="Times New Roman" w:cs="Times New Roman"/>
          <w:bCs/>
          <w:sz w:val="28"/>
          <w:szCs w:val="28"/>
          <w:lang w:eastAsia="ru-RU"/>
        </w:rPr>
        <w:t>с</w:t>
      </w:r>
      <w:r w:rsidRPr="00E47AA9">
        <w:rPr>
          <w:rFonts w:ascii="Times New Roman" w:eastAsia="Times New Roman" w:hAnsi="Times New Roman" w:cs="Times New Roman"/>
          <w:bCs/>
          <w:sz w:val="28"/>
          <w:szCs w:val="28"/>
          <w:lang w:eastAsia="ru-RU"/>
        </w:rPr>
        <w:t>нижены расходы на оплату жилищно-коммунальных услуг 22150 граждан из числа врачей, провизоров, медицинских и фармацевтических работников, педагогических работников учреждений здравоохранения и социальной защиты населения, работников культуры и искусства, специалистов ветеринарных служб, мастеров производственного обучения начального профессионального образования и социальных работников, проживающих и работающих в сельских населенных пунктах и поселках городского типа, а также поселках городского типа и поселках, существовавших в соответствии с административно</w:t>
      </w:r>
      <w:r w:rsidR="0003778E" w:rsidRPr="00E47AA9">
        <w:rPr>
          <w:rFonts w:ascii="Times New Roman" w:eastAsia="Times New Roman" w:hAnsi="Times New Roman" w:cs="Times New Roman"/>
          <w:bCs/>
          <w:sz w:val="28"/>
          <w:szCs w:val="28"/>
          <w:lang w:eastAsia="ru-RU"/>
        </w:rPr>
        <w:t>-</w:t>
      </w:r>
      <w:r w:rsidRPr="00E47AA9">
        <w:rPr>
          <w:rFonts w:ascii="Times New Roman" w:eastAsia="Times New Roman" w:hAnsi="Times New Roman" w:cs="Times New Roman"/>
          <w:bCs/>
          <w:sz w:val="28"/>
          <w:szCs w:val="28"/>
          <w:lang w:eastAsia="ru-RU"/>
        </w:rPr>
        <w:t>территориальным делением по состоянию на 01.01.2004 на территории Приморского края;</w:t>
      </w:r>
    </w:p>
    <w:p w14:paraId="394D8EE7" w14:textId="2554E4B8" w:rsidR="008566E1" w:rsidRPr="00E47AA9" w:rsidRDefault="007039F3" w:rsidP="008566E1">
      <w:pPr>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 xml:space="preserve">меры социальной поддержки по оплате </w:t>
      </w:r>
      <w:r w:rsidR="008566E1" w:rsidRPr="00E47AA9">
        <w:rPr>
          <w:rFonts w:ascii="Times New Roman" w:eastAsia="Times New Roman" w:hAnsi="Times New Roman" w:cs="Times New Roman"/>
          <w:bCs/>
          <w:sz w:val="28"/>
          <w:szCs w:val="28"/>
          <w:lang w:eastAsia="ru-RU"/>
        </w:rPr>
        <w:t>жилищно-коммунальных услуг льготным категориям граждан в соответствии со статьями 4, 5, 6, 7 Закона Приморского края от 29.12.2004 № 206</w:t>
      </w:r>
      <w:r w:rsidR="00FB1AE5" w:rsidRPr="00E47AA9">
        <w:rPr>
          <w:rFonts w:ascii="Times New Roman" w:eastAsia="Times New Roman" w:hAnsi="Times New Roman" w:cs="Times New Roman"/>
          <w:bCs/>
          <w:sz w:val="28"/>
          <w:szCs w:val="28"/>
          <w:lang w:eastAsia="ru-RU"/>
        </w:rPr>
        <w:t>-</w:t>
      </w:r>
      <w:r w:rsidR="008566E1" w:rsidRPr="00E47AA9">
        <w:rPr>
          <w:rFonts w:ascii="Times New Roman" w:eastAsia="Times New Roman" w:hAnsi="Times New Roman" w:cs="Times New Roman"/>
          <w:bCs/>
          <w:sz w:val="28"/>
          <w:szCs w:val="28"/>
          <w:lang w:eastAsia="ru-RU"/>
        </w:rPr>
        <w:t xml:space="preserve">КЗ "О социальной поддержке льготных категорий граждан, проживающих на территории Приморского края" – 1484,04 млн рублей (план </w:t>
      </w:r>
      <w:r w:rsidR="00576C74" w:rsidRPr="00E47AA9">
        <w:rPr>
          <w:rFonts w:ascii="Times New Roman" w:eastAsia="Times New Roman" w:hAnsi="Times New Roman" w:cs="Times New Roman"/>
          <w:bCs/>
          <w:sz w:val="28"/>
          <w:szCs w:val="28"/>
          <w:lang w:eastAsia="ru-RU"/>
        </w:rPr>
        <w:t xml:space="preserve">– </w:t>
      </w:r>
      <w:r w:rsidR="008566E1" w:rsidRPr="00E47AA9">
        <w:rPr>
          <w:rFonts w:ascii="Times New Roman" w:eastAsia="Times New Roman" w:hAnsi="Times New Roman" w:cs="Times New Roman"/>
          <w:bCs/>
          <w:sz w:val="28"/>
          <w:szCs w:val="28"/>
          <w:lang w:eastAsia="ru-RU"/>
        </w:rPr>
        <w:t xml:space="preserve">1485,64 млн рублей). </w:t>
      </w:r>
      <w:r w:rsidRPr="00E47AA9">
        <w:rPr>
          <w:rFonts w:ascii="Times New Roman" w:eastAsia="Times New Roman" w:hAnsi="Times New Roman" w:cs="Times New Roman"/>
          <w:bCs/>
          <w:sz w:val="28"/>
          <w:szCs w:val="28"/>
          <w:lang w:eastAsia="ru-RU"/>
        </w:rPr>
        <w:t xml:space="preserve">Меры поддержки </w:t>
      </w:r>
      <w:r w:rsidR="006C3219" w:rsidRPr="00E47AA9">
        <w:rPr>
          <w:rFonts w:ascii="Times New Roman" w:eastAsia="Times New Roman" w:hAnsi="Times New Roman" w:cs="Times New Roman"/>
          <w:bCs/>
          <w:sz w:val="28"/>
          <w:szCs w:val="28"/>
          <w:lang w:eastAsia="ru-RU"/>
        </w:rPr>
        <w:t xml:space="preserve">позволили </w:t>
      </w:r>
      <w:r w:rsidRPr="00E47AA9">
        <w:rPr>
          <w:rFonts w:ascii="Times New Roman" w:eastAsia="Times New Roman" w:hAnsi="Times New Roman" w:cs="Times New Roman"/>
          <w:bCs/>
          <w:sz w:val="28"/>
          <w:szCs w:val="28"/>
          <w:lang w:eastAsia="ru-RU"/>
        </w:rPr>
        <w:t>с</w:t>
      </w:r>
      <w:r w:rsidR="008566E1" w:rsidRPr="00E47AA9">
        <w:rPr>
          <w:rFonts w:ascii="Times New Roman" w:eastAsia="Times New Roman" w:hAnsi="Times New Roman" w:cs="Times New Roman"/>
          <w:bCs/>
          <w:sz w:val="28"/>
          <w:szCs w:val="28"/>
          <w:lang w:eastAsia="ru-RU"/>
        </w:rPr>
        <w:t>ни</w:t>
      </w:r>
      <w:r w:rsidRPr="00E47AA9">
        <w:rPr>
          <w:rFonts w:ascii="Times New Roman" w:eastAsia="Times New Roman" w:hAnsi="Times New Roman" w:cs="Times New Roman"/>
          <w:bCs/>
          <w:sz w:val="28"/>
          <w:szCs w:val="28"/>
          <w:lang w:eastAsia="ru-RU"/>
        </w:rPr>
        <w:t>зи</w:t>
      </w:r>
      <w:r w:rsidR="006C3219" w:rsidRPr="00E47AA9">
        <w:rPr>
          <w:rFonts w:ascii="Times New Roman" w:eastAsia="Times New Roman" w:hAnsi="Times New Roman" w:cs="Times New Roman"/>
          <w:bCs/>
          <w:sz w:val="28"/>
          <w:szCs w:val="28"/>
          <w:lang w:eastAsia="ru-RU"/>
        </w:rPr>
        <w:t>ть</w:t>
      </w:r>
      <w:r w:rsidR="008566E1" w:rsidRPr="00E47AA9">
        <w:rPr>
          <w:rFonts w:ascii="Times New Roman" w:eastAsia="Times New Roman" w:hAnsi="Times New Roman" w:cs="Times New Roman"/>
          <w:bCs/>
          <w:sz w:val="28"/>
          <w:szCs w:val="28"/>
          <w:lang w:eastAsia="ru-RU"/>
        </w:rPr>
        <w:t xml:space="preserve"> расход</w:t>
      </w:r>
      <w:r w:rsidRPr="00E47AA9">
        <w:rPr>
          <w:rFonts w:ascii="Times New Roman" w:eastAsia="Times New Roman" w:hAnsi="Times New Roman" w:cs="Times New Roman"/>
          <w:bCs/>
          <w:sz w:val="28"/>
          <w:szCs w:val="28"/>
          <w:lang w:eastAsia="ru-RU"/>
        </w:rPr>
        <w:t>ы</w:t>
      </w:r>
      <w:r w:rsidR="008566E1" w:rsidRPr="00E47AA9">
        <w:rPr>
          <w:rFonts w:ascii="Times New Roman" w:eastAsia="Times New Roman" w:hAnsi="Times New Roman" w:cs="Times New Roman"/>
          <w:bCs/>
          <w:sz w:val="28"/>
          <w:szCs w:val="28"/>
          <w:lang w:eastAsia="ru-RU"/>
        </w:rPr>
        <w:t xml:space="preserve"> на оплату жилищно-коммунальных услуг 109886</w:t>
      </w:r>
      <w:r w:rsidR="006C3219" w:rsidRPr="00E47AA9">
        <w:rPr>
          <w:rFonts w:ascii="Times New Roman" w:eastAsia="Times New Roman" w:hAnsi="Times New Roman" w:cs="Times New Roman"/>
          <w:bCs/>
          <w:sz w:val="28"/>
          <w:szCs w:val="28"/>
          <w:lang w:eastAsia="ru-RU"/>
        </w:rPr>
        <w:t> </w:t>
      </w:r>
      <w:r w:rsidR="008566E1" w:rsidRPr="00E47AA9">
        <w:rPr>
          <w:rFonts w:ascii="Times New Roman" w:eastAsia="Times New Roman" w:hAnsi="Times New Roman" w:cs="Times New Roman"/>
          <w:bCs/>
          <w:sz w:val="28"/>
          <w:szCs w:val="28"/>
          <w:lang w:eastAsia="ru-RU"/>
        </w:rPr>
        <w:t>граждан, входящих в краевой регистр лиц, имеющих право на получение ежемесячной денежной выплаты: 107714 ветеранам труда, 217</w:t>
      </w:r>
      <w:r w:rsidR="0003778E" w:rsidRPr="00E47AA9">
        <w:rPr>
          <w:rFonts w:ascii="Times New Roman" w:eastAsia="Times New Roman" w:hAnsi="Times New Roman" w:cs="Times New Roman"/>
          <w:bCs/>
          <w:sz w:val="28"/>
          <w:szCs w:val="28"/>
          <w:lang w:eastAsia="ru-RU"/>
        </w:rPr>
        <w:t> </w:t>
      </w:r>
      <w:r w:rsidR="008566E1" w:rsidRPr="00E47AA9">
        <w:rPr>
          <w:rFonts w:ascii="Times New Roman" w:eastAsia="Times New Roman" w:hAnsi="Times New Roman" w:cs="Times New Roman"/>
          <w:bCs/>
          <w:sz w:val="28"/>
          <w:szCs w:val="28"/>
          <w:lang w:eastAsia="ru-RU"/>
        </w:rPr>
        <w:t>труженикам тыла, 1955 реабилитированным лицам и лицам, пострадавшим от политических репрессий;</w:t>
      </w:r>
    </w:p>
    <w:p w14:paraId="6F6FFE8B" w14:textId="11C4060E" w:rsidR="008566E1" w:rsidRPr="00E47AA9" w:rsidRDefault="007039F3"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оплата жилищно-коммунальных услуг </w:t>
      </w:r>
      <w:r w:rsidR="008566E1" w:rsidRPr="00E47AA9">
        <w:rPr>
          <w:rFonts w:ascii="Times New Roman" w:eastAsia="Times New Roman" w:hAnsi="Times New Roman" w:cs="Times New Roman"/>
          <w:sz w:val="28"/>
          <w:szCs w:val="28"/>
          <w:lang w:eastAsia="ru-RU"/>
        </w:rPr>
        <w:t xml:space="preserve">отдельным категориям гражданам – 882,27 млн рублей (план </w:t>
      </w:r>
      <w:r w:rsidR="0003778E" w:rsidRPr="00E47AA9">
        <w:rPr>
          <w:rFonts w:ascii="Times New Roman" w:eastAsia="Times New Roman" w:hAnsi="Times New Roman" w:cs="Times New Roman"/>
          <w:sz w:val="28"/>
          <w:szCs w:val="28"/>
          <w:lang w:eastAsia="ru-RU"/>
        </w:rPr>
        <w:t xml:space="preserve">– </w:t>
      </w:r>
      <w:r w:rsidR="008566E1" w:rsidRPr="00E47AA9">
        <w:rPr>
          <w:rFonts w:ascii="Times New Roman" w:eastAsia="Times New Roman" w:hAnsi="Times New Roman" w:cs="Times New Roman"/>
          <w:sz w:val="28"/>
          <w:szCs w:val="28"/>
          <w:lang w:eastAsia="ru-RU"/>
        </w:rPr>
        <w:t>882,96 млн рублей)</w:t>
      </w:r>
      <w:r w:rsidRPr="00E47AA9">
        <w:rPr>
          <w:rFonts w:ascii="Times New Roman" w:eastAsia="Times New Roman" w:hAnsi="Times New Roman" w:cs="Times New Roman"/>
          <w:sz w:val="28"/>
          <w:szCs w:val="28"/>
          <w:lang w:eastAsia="ru-RU"/>
        </w:rPr>
        <w:t xml:space="preserve">, что </w:t>
      </w:r>
      <w:r w:rsidR="00CE6BA2" w:rsidRPr="00E47AA9">
        <w:rPr>
          <w:rFonts w:ascii="Times New Roman" w:eastAsia="Times New Roman" w:hAnsi="Times New Roman" w:cs="Times New Roman"/>
          <w:sz w:val="28"/>
          <w:szCs w:val="28"/>
          <w:lang w:eastAsia="ru-RU"/>
        </w:rPr>
        <w:t xml:space="preserve">позволило </w:t>
      </w:r>
      <w:r w:rsidRPr="00E47AA9">
        <w:rPr>
          <w:rFonts w:ascii="Times New Roman" w:eastAsia="Times New Roman" w:hAnsi="Times New Roman" w:cs="Times New Roman"/>
          <w:sz w:val="28"/>
          <w:szCs w:val="28"/>
          <w:lang w:eastAsia="ru-RU"/>
        </w:rPr>
        <w:t>с</w:t>
      </w:r>
      <w:r w:rsidR="008566E1" w:rsidRPr="00E47AA9">
        <w:rPr>
          <w:rFonts w:ascii="Times New Roman" w:eastAsia="Times New Roman" w:hAnsi="Times New Roman" w:cs="Times New Roman"/>
          <w:sz w:val="28"/>
          <w:szCs w:val="28"/>
          <w:lang w:eastAsia="ru-RU"/>
        </w:rPr>
        <w:t>ни</w:t>
      </w:r>
      <w:r w:rsidRPr="00E47AA9">
        <w:rPr>
          <w:rFonts w:ascii="Times New Roman" w:eastAsia="Times New Roman" w:hAnsi="Times New Roman" w:cs="Times New Roman"/>
          <w:sz w:val="28"/>
          <w:szCs w:val="28"/>
          <w:lang w:eastAsia="ru-RU"/>
        </w:rPr>
        <w:t>зи</w:t>
      </w:r>
      <w:r w:rsidR="00CE6BA2" w:rsidRPr="00E47AA9">
        <w:rPr>
          <w:rFonts w:ascii="Times New Roman" w:eastAsia="Times New Roman" w:hAnsi="Times New Roman" w:cs="Times New Roman"/>
          <w:sz w:val="28"/>
          <w:szCs w:val="28"/>
          <w:lang w:eastAsia="ru-RU"/>
        </w:rPr>
        <w:t>ть</w:t>
      </w:r>
      <w:r w:rsidR="008566E1" w:rsidRPr="00E47AA9">
        <w:rPr>
          <w:rFonts w:ascii="Times New Roman" w:eastAsia="Times New Roman" w:hAnsi="Times New Roman" w:cs="Times New Roman"/>
          <w:sz w:val="28"/>
          <w:szCs w:val="28"/>
          <w:lang w:eastAsia="ru-RU"/>
        </w:rPr>
        <w:t xml:space="preserve"> расходы на оплату жилищно-коммунальных услуг 71798</w:t>
      </w:r>
      <w:r w:rsidR="00FB1AE5" w:rsidRPr="00E47AA9">
        <w:rPr>
          <w:rFonts w:ascii="Times New Roman" w:eastAsia="Times New Roman" w:hAnsi="Times New Roman" w:cs="Times New Roman"/>
          <w:sz w:val="28"/>
          <w:szCs w:val="28"/>
          <w:lang w:eastAsia="ru-RU"/>
        </w:rPr>
        <w:t> </w:t>
      </w:r>
      <w:r w:rsidR="008566E1" w:rsidRPr="00E47AA9">
        <w:rPr>
          <w:rFonts w:ascii="Times New Roman" w:eastAsia="Times New Roman" w:hAnsi="Times New Roman" w:cs="Times New Roman"/>
          <w:sz w:val="28"/>
          <w:szCs w:val="28"/>
          <w:lang w:eastAsia="ru-RU"/>
        </w:rPr>
        <w:t>граждан, включенных в федеральный регистр лиц, имеющих право на получение мер социальной поддержки по оплате жилых помещений и коммунальных услуг;</w:t>
      </w:r>
    </w:p>
    <w:p w14:paraId="36851767" w14:textId="46D95B38" w:rsidR="008566E1" w:rsidRPr="00E47AA9" w:rsidRDefault="007039F3" w:rsidP="008566E1">
      <w:pPr>
        <w:autoSpaceDE w:val="0"/>
        <w:autoSpaceDN w:val="0"/>
        <w:adjustRightInd w:val="0"/>
        <w:spacing w:after="0" w:line="240" w:lineRule="auto"/>
        <w:ind w:firstLine="709"/>
        <w:jc w:val="both"/>
        <w:rPr>
          <w:rFonts w:ascii="Times New Roman" w:eastAsia="Times New Roman" w:hAnsi="Times New Roman" w:cs="Times New Roman"/>
          <w:bCs/>
          <w:sz w:val="28"/>
          <w:szCs w:val="28"/>
          <w:u w:val="single"/>
          <w:lang w:eastAsia="ru-RU"/>
        </w:rPr>
      </w:pPr>
      <w:r w:rsidRPr="00E47AA9">
        <w:rPr>
          <w:rFonts w:ascii="Times New Roman" w:eastAsia="Times New Roman" w:hAnsi="Times New Roman" w:cs="Times New Roman"/>
          <w:bCs/>
          <w:sz w:val="28"/>
          <w:szCs w:val="28"/>
          <w:lang w:eastAsia="ru-RU"/>
        </w:rPr>
        <w:t xml:space="preserve">меры социальной поддержки по оплате </w:t>
      </w:r>
      <w:r w:rsidR="008566E1" w:rsidRPr="00E47AA9">
        <w:rPr>
          <w:rFonts w:ascii="Times New Roman" w:eastAsia="Times New Roman" w:hAnsi="Times New Roman" w:cs="Times New Roman"/>
          <w:bCs/>
          <w:sz w:val="28"/>
          <w:szCs w:val="28"/>
          <w:lang w:eastAsia="ru-RU"/>
        </w:rPr>
        <w:t xml:space="preserve">жилищно-коммунальных услуг ветеранам боевых действий – 90,58 млн рублей (план </w:t>
      </w:r>
      <w:r w:rsidR="0003778E" w:rsidRPr="00E47AA9">
        <w:rPr>
          <w:rFonts w:ascii="Times New Roman" w:eastAsia="Times New Roman" w:hAnsi="Times New Roman" w:cs="Times New Roman"/>
          <w:bCs/>
          <w:sz w:val="28"/>
          <w:szCs w:val="28"/>
          <w:lang w:eastAsia="ru-RU"/>
        </w:rPr>
        <w:t xml:space="preserve">– </w:t>
      </w:r>
      <w:r w:rsidR="008566E1" w:rsidRPr="00E47AA9">
        <w:rPr>
          <w:rFonts w:ascii="Times New Roman" w:eastAsia="Times New Roman" w:hAnsi="Times New Roman" w:cs="Times New Roman"/>
          <w:bCs/>
          <w:sz w:val="28"/>
          <w:szCs w:val="28"/>
          <w:lang w:eastAsia="ru-RU"/>
        </w:rPr>
        <w:t>90,78 млн рублей). Компенсацию расходов в размере 50 % на оплату коммунальных услуг (без учета членов семьи) направили 12033</w:t>
      </w:r>
      <w:r w:rsidR="00FB1AE5" w:rsidRPr="00E47AA9">
        <w:rPr>
          <w:rFonts w:ascii="Times New Roman" w:eastAsia="Times New Roman" w:hAnsi="Times New Roman" w:cs="Times New Roman"/>
          <w:bCs/>
          <w:sz w:val="28"/>
          <w:szCs w:val="28"/>
          <w:lang w:eastAsia="ru-RU"/>
        </w:rPr>
        <w:t xml:space="preserve"> </w:t>
      </w:r>
      <w:r w:rsidR="008566E1" w:rsidRPr="00E47AA9">
        <w:rPr>
          <w:rFonts w:ascii="Times New Roman" w:eastAsia="Times New Roman" w:hAnsi="Times New Roman" w:cs="Times New Roman"/>
          <w:bCs/>
          <w:sz w:val="28"/>
          <w:szCs w:val="28"/>
          <w:lang w:eastAsia="ru-RU"/>
        </w:rPr>
        <w:t xml:space="preserve">получателям; </w:t>
      </w:r>
    </w:p>
    <w:p w14:paraId="2ADF9C77" w14:textId="14F6CB59" w:rsidR="008566E1" w:rsidRPr="00E47AA9" w:rsidRDefault="00093DBC" w:rsidP="008566E1">
      <w:pPr>
        <w:autoSpaceDE w:val="0"/>
        <w:autoSpaceDN w:val="0"/>
        <w:adjustRightInd w:val="0"/>
        <w:spacing w:after="0" w:line="240" w:lineRule="auto"/>
        <w:ind w:firstLine="709"/>
        <w:jc w:val="both"/>
        <w:rPr>
          <w:rFonts w:ascii="Times New Roman" w:eastAsia="Times New Roman" w:hAnsi="Times New Roman" w:cs="Times New Roman"/>
          <w:bCs/>
          <w:sz w:val="28"/>
          <w:szCs w:val="28"/>
          <w:u w:val="single"/>
          <w:lang w:eastAsia="ru-RU"/>
        </w:rPr>
      </w:pPr>
      <w:r w:rsidRPr="00E47AA9">
        <w:rPr>
          <w:rFonts w:ascii="Times New Roman" w:eastAsia="Times New Roman" w:hAnsi="Times New Roman" w:cs="Times New Roman"/>
          <w:bCs/>
          <w:sz w:val="28"/>
          <w:szCs w:val="28"/>
          <w:lang w:eastAsia="ru-RU"/>
        </w:rPr>
        <w:t xml:space="preserve">субсидии на оплату </w:t>
      </w:r>
      <w:r w:rsidR="008566E1" w:rsidRPr="00E47AA9">
        <w:rPr>
          <w:rFonts w:ascii="Times New Roman" w:eastAsia="Times New Roman" w:hAnsi="Times New Roman" w:cs="Times New Roman"/>
          <w:bCs/>
          <w:sz w:val="28"/>
          <w:szCs w:val="28"/>
          <w:lang w:eastAsia="ru-RU"/>
        </w:rPr>
        <w:t>жилого помещения и коммунальных услуг – 694,91</w:t>
      </w:r>
      <w:r w:rsidR="0003778E" w:rsidRPr="00E47AA9">
        <w:rPr>
          <w:rFonts w:ascii="Times New Roman" w:eastAsia="Times New Roman" w:hAnsi="Times New Roman" w:cs="Times New Roman"/>
          <w:bCs/>
          <w:sz w:val="28"/>
          <w:szCs w:val="28"/>
          <w:lang w:eastAsia="ru-RU"/>
        </w:rPr>
        <w:t> </w:t>
      </w:r>
      <w:r w:rsidR="008566E1" w:rsidRPr="00E47AA9">
        <w:rPr>
          <w:rFonts w:ascii="Times New Roman" w:eastAsia="Times New Roman" w:hAnsi="Times New Roman" w:cs="Times New Roman"/>
          <w:bCs/>
          <w:sz w:val="28"/>
          <w:szCs w:val="28"/>
          <w:lang w:eastAsia="ru-RU"/>
        </w:rPr>
        <w:t>млн</w:t>
      </w:r>
      <w:r w:rsidR="00FB1AE5" w:rsidRPr="00E47AA9">
        <w:rPr>
          <w:rFonts w:ascii="Times New Roman" w:eastAsia="Times New Roman" w:hAnsi="Times New Roman" w:cs="Times New Roman"/>
          <w:bCs/>
          <w:sz w:val="28"/>
          <w:szCs w:val="28"/>
          <w:lang w:eastAsia="ru-RU"/>
        </w:rPr>
        <w:t xml:space="preserve"> рублей (план</w:t>
      </w:r>
      <w:r w:rsidR="008566E1" w:rsidRPr="00E47AA9">
        <w:rPr>
          <w:rFonts w:ascii="Times New Roman" w:eastAsia="Times New Roman" w:hAnsi="Times New Roman" w:cs="Times New Roman"/>
          <w:bCs/>
          <w:sz w:val="28"/>
          <w:szCs w:val="28"/>
          <w:lang w:eastAsia="ru-RU"/>
        </w:rPr>
        <w:t xml:space="preserve"> </w:t>
      </w:r>
      <w:r w:rsidR="0003778E" w:rsidRPr="00E47AA9">
        <w:rPr>
          <w:rFonts w:ascii="Times New Roman" w:eastAsia="Times New Roman" w:hAnsi="Times New Roman" w:cs="Times New Roman"/>
          <w:bCs/>
          <w:sz w:val="28"/>
          <w:szCs w:val="28"/>
          <w:lang w:eastAsia="ru-RU"/>
        </w:rPr>
        <w:t xml:space="preserve">– </w:t>
      </w:r>
      <w:r w:rsidR="008566E1" w:rsidRPr="00E47AA9">
        <w:rPr>
          <w:rFonts w:ascii="Times New Roman" w:eastAsia="Times New Roman" w:hAnsi="Times New Roman" w:cs="Times New Roman"/>
          <w:bCs/>
          <w:sz w:val="28"/>
          <w:szCs w:val="28"/>
          <w:lang w:eastAsia="ru-RU"/>
        </w:rPr>
        <w:t xml:space="preserve">697,91 млн рублей). Мера социальной поддержки предоставлена 33139 получателям; </w:t>
      </w:r>
    </w:p>
    <w:p w14:paraId="5F825719" w14:textId="6F3123A7" w:rsidR="008566E1" w:rsidRPr="00E47AA9" w:rsidRDefault="008566E1" w:rsidP="008566E1">
      <w:pPr>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 xml:space="preserve">предоставление ежегодной денежной выплаты на оплату стоимости топлива отдельным категориям граждан – 64,29 млн </w:t>
      </w:r>
      <w:r w:rsidR="00FB1AE5" w:rsidRPr="00E47AA9">
        <w:rPr>
          <w:rFonts w:ascii="Times New Roman" w:eastAsia="Times New Roman" w:hAnsi="Times New Roman" w:cs="Times New Roman"/>
          <w:bCs/>
          <w:sz w:val="28"/>
          <w:szCs w:val="28"/>
          <w:lang w:eastAsia="ru-RU"/>
        </w:rPr>
        <w:t xml:space="preserve">рублей (план </w:t>
      </w:r>
      <w:r w:rsidR="0003778E" w:rsidRPr="00E47AA9">
        <w:rPr>
          <w:rFonts w:ascii="Times New Roman" w:eastAsia="Times New Roman" w:hAnsi="Times New Roman" w:cs="Times New Roman"/>
          <w:bCs/>
          <w:sz w:val="28"/>
          <w:szCs w:val="28"/>
          <w:lang w:eastAsia="ru-RU"/>
        </w:rPr>
        <w:t xml:space="preserve">– </w:t>
      </w:r>
      <w:r w:rsidRPr="00E47AA9">
        <w:rPr>
          <w:rFonts w:ascii="Times New Roman" w:eastAsia="Times New Roman" w:hAnsi="Times New Roman" w:cs="Times New Roman"/>
          <w:bCs/>
          <w:sz w:val="28"/>
          <w:szCs w:val="28"/>
          <w:lang w:eastAsia="ru-RU"/>
        </w:rPr>
        <w:t>64,51 млн рублей).</w:t>
      </w:r>
      <w:r w:rsidRPr="00E47AA9">
        <w:rPr>
          <w:rFonts w:ascii="Times New Roman" w:eastAsia="Times New Roman" w:hAnsi="Times New Roman" w:cs="Times New Roman"/>
          <w:sz w:val="24"/>
          <w:szCs w:val="24"/>
          <w:lang w:eastAsia="ru-RU"/>
        </w:rPr>
        <w:t xml:space="preserve"> </w:t>
      </w:r>
      <w:r w:rsidRPr="00E47AA9">
        <w:rPr>
          <w:rFonts w:ascii="Times New Roman" w:eastAsia="Times New Roman" w:hAnsi="Times New Roman" w:cs="Times New Roman"/>
          <w:bCs/>
          <w:sz w:val="28"/>
          <w:szCs w:val="28"/>
          <w:lang w:eastAsia="ru-RU"/>
        </w:rPr>
        <w:t>Мера социальной поддержки предоставлена 8578 получателям.</w:t>
      </w:r>
    </w:p>
    <w:p w14:paraId="26543A11"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В полном объеме плановых назначений выплачены получателям средства на оплату:</w:t>
      </w:r>
    </w:p>
    <w:p w14:paraId="08446BCE"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sz w:val="28"/>
          <w:szCs w:val="28"/>
          <w:lang w:eastAsia="ru-RU"/>
        </w:rPr>
        <w:t xml:space="preserve">компенсация расходов собственникам жилого помещения, достигшим возраста 70 лет, в размере 100 % на оплату взноса на капитальный ремонт общего имущества в многоквартирном доме, проживающим на территории </w:t>
      </w:r>
      <w:r w:rsidRPr="00E47AA9">
        <w:rPr>
          <w:rFonts w:ascii="Times New Roman" w:eastAsia="Times New Roman" w:hAnsi="Times New Roman" w:cs="Times New Roman"/>
          <w:sz w:val="28"/>
          <w:szCs w:val="28"/>
          <w:lang w:eastAsia="ru-RU"/>
        </w:rPr>
        <w:lastRenderedPageBreak/>
        <w:t>Приморского края – 230,36 млн рублей. Расходы компенсированы 60893 собственникам, достигшим 70 лет;</w:t>
      </w:r>
    </w:p>
    <w:p w14:paraId="43E87835" w14:textId="77777777" w:rsidR="008566E1" w:rsidRPr="00E47AA9" w:rsidRDefault="008566E1" w:rsidP="008566E1">
      <w:pPr>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услуг по отоплению и горячему водоснабжению, полученных от теплоснабжающих организаций, являющихся государственными учреждениями – 19,63 млн рублей. Количество получателей 5833;</w:t>
      </w:r>
    </w:p>
    <w:p w14:paraId="48584FD6" w14:textId="06FE4140" w:rsidR="008566E1" w:rsidRPr="00E47AA9" w:rsidRDefault="008566E1" w:rsidP="008566E1">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"Предоставление социальной помощи, пособий, компенсаций и единовременных социальных выплат"</w:t>
      </w:r>
      <w:r w:rsidRPr="00E47AA9">
        <w:rPr>
          <w:rFonts w:ascii="Times New Roman" w:eastAsia="Times New Roman" w:hAnsi="Times New Roman" w:cs="Times New Roman"/>
          <w:sz w:val="28"/>
          <w:szCs w:val="28"/>
          <w:lang w:eastAsia="ru-RU"/>
        </w:rPr>
        <w:t xml:space="preserve"> – 861,31 млн рублей, или 99,75 % (план</w:t>
      </w:r>
      <w:r w:rsidR="0003778E"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xml:space="preserve"> 863,46 млн рублей), из них:</w:t>
      </w:r>
    </w:p>
    <w:p w14:paraId="7EFBA2A0" w14:textId="72071152"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ежегодная денежная выплата лицам, награжденным нагрудным знаком "Почетный донор России" – 94,06 млн рублей (в полном объеме плановых назначений). Поощрение получено 5345 гражданами за вклад в развитие добровольного и безвозмездного донорства крови и ее компонентов в</w:t>
      </w:r>
      <w:r w:rsidR="0003778E"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xml:space="preserve">Российской Федерации; </w:t>
      </w:r>
    </w:p>
    <w:p w14:paraId="169AC4D2" w14:textId="20604E3C"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ежегодные денежные выплаты детям войны – 117,40 млн рублей, (план</w:t>
      </w:r>
      <w:r w:rsidR="0003778E"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xml:space="preserve"> 117,52 млн рублей). Выплаты произведены 59220 получателям ко Дню Победы советского народа в Великой Отечественной войне 1941-1945 годов и ко Дню окончания Второй мировой войны в размере 1000,00 рублей каждому получателю;</w:t>
      </w:r>
    </w:p>
    <w:p w14:paraId="4A7D66F5" w14:textId="62D9356F"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единовременная социальная выплата лицам, получающим пенсию в Приморском крае – 518,23 млн рублей (план </w:t>
      </w:r>
      <w:r w:rsidR="0003778E"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518,69 млн рублей). Мера социальной поддержки в размере 1000,00 рублей предоставлена 512132 пенсионерам;</w:t>
      </w:r>
    </w:p>
    <w:p w14:paraId="47E3A776" w14:textId="50D7F710"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социальное пособие на погребение – 26,59 млн рублей, или 96,69 % (план </w:t>
      </w:r>
      <w:r w:rsidR="0003778E"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27,43 млн рублей). За пособием обратилось 2523 человек</w:t>
      </w:r>
      <w:r w:rsidR="00FB1AE5" w:rsidRPr="00E47AA9">
        <w:rPr>
          <w:rFonts w:ascii="Times New Roman" w:eastAsia="Times New Roman" w:hAnsi="Times New Roman" w:cs="Times New Roman"/>
          <w:sz w:val="28"/>
          <w:szCs w:val="28"/>
          <w:lang w:eastAsia="ru-RU"/>
        </w:rPr>
        <w:t>а</w:t>
      </w:r>
      <w:r w:rsidRPr="00E47AA9">
        <w:rPr>
          <w:rFonts w:ascii="Times New Roman" w:eastAsia="Times New Roman" w:hAnsi="Times New Roman" w:cs="Times New Roman"/>
          <w:sz w:val="28"/>
          <w:szCs w:val="28"/>
          <w:lang w:eastAsia="ru-RU"/>
        </w:rPr>
        <w:t>;</w:t>
      </w:r>
    </w:p>
    <w:p w14:paraId="039C2746" w14:textId="6834BBFC"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единовременной социальной выплаты отдельным категориям граждан в связи с годовщиной Победы в Великой Отечественной войне – 9,17 млн рублей (план </w:t>
      </w:r>
      <w:r w:rsidR="0003778E"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9,20 млн рублей).  Выплата предоставлена 2154 получателям в сумме 5,00 тыс. рублей и 3,00 тыс. рублей в зависимости от категории, к которой относится получатель; </w:t>
      </w:r>
    </w:p>
    <w:p w14:paraId="189B4DE6"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ежегодные денежные выплаты отдельным категориям граждан, проживающим на территории Приморского края, в соответствии с частью 3 статьи 1 Закона Приморского края от 13.12.2018 № 415-КЗ "О дополнительных мерах социальной поддержки отдельных категорий граждан на территории Приморского края" – 85,44 млн рублей, или 99,98 % от плана 85,46 млн рублей. Мера социальной поддержки предоставлена 5246 получателям;</w:t>
      </w:r>
    </w:p>
    <w:p w14:paraId="19081D24" w14:textId="44A15F5E"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"Оказание мер социальной поддержки отдельным категориям граждан"</w:t>
      </w:r>
      <w:r w:rsidRPr="00E47AA9">
        <w:rPr>
          <w:rFonts w:ascii="Times New Roman" w:eastAsia="Times New Roman" w:hAnsi="Times New Roman" w:cs="Times New Roman"/>
          <w:sz w:val="28"/>
          <w:szCs w:val="28"/>
          <w:lang w:eastAsia="ru-RU"/>
        </w:rPr>
        <w:t xml:space="preserve"> – 280,77 млн рублей, или 99,75 % (план </w:t>
      </w:r>
      <w:r w:rsidR="0003778E"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281,48 млн рублей), из них:</w:t>
      </w:r>
    </w:p>
    <w:p w14:paraId="6752A479" w14:textId="5CD8A839"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социальная поддержка в области обеспечения равной транспортной доступности отдельным категориям граждан – 184,62 млн рублей (план</w:t>
      </w:r>
      <w:r w:rsidR="0003778E"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xml:space="preserve"> 184,75</w:t>
      </w:r>
      <w:r w:rsidR="00F93F2A"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млн рублей). Данная мера позволила снизить расходы на проезд в общественном транспорте 41140 гражданам;</w:t>
      </w:r>
    </w:p>
    <w:p w14:paraId="687CB136" w14:textId="7A6BD930"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социальная поддержка отдельным категориям граждан Российской Федерации по газификации жилых домов на территории Приморского края – </w:t>
      </w:r>
      <w:r w:rsidRPr="00E47AA9">
        <w:rPr>
          <w:rFonts w:ascii="Times New Roman" w:eastAsia="Times New Roman" w:hAnsi="Times New Roman" w:cs="Times New Roman"/>
          <w:sz w:val="28"/>
          <w:szCs w:val="28"/>
          <w:lang w:eastAsia="ru-RU"/>
        </w:rPr>
        <w:lastRenderedPageBreak/>
        <w:t xml:space="preserve">56,63 млн рублей (план </w:t>
      </w:r>
      <w:r w:rsidR="0003778E"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56,64 млн рублей). Получателями стали 164</w:t>
      </w:r>
      <w:r w:rsidR="0003778E"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собственника индивидуальных жилых домов, проживающих на территории муниципальных районов Приморского края, на подключение к сетям газораспределения и приобретение внутридомового газового оборудования;</w:t>
      </w:r>
    </w:p>
    <w:p w14:paraId="12A75D1B" w14:textId="0ED102A8"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организация санаторно-курортного лечения отдельным категориям граждан – 36,32 млн рублей (план </w:t>
      </w:r>
      <w:r w:rsidR="00576C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36,43 млн рублей). Медицинской помощью, осуществляемой в профилактических, лечебных и реабилитационных целях на основе использования природных лечебных факторов в условиях пребывания на курорте, в лечебно-оздоровительной местности, в санаторно-курортных организациях, воспользовались 1034 получателя. Кроме того, мерой социальной поддержки в виде оздоровления граждан из числа Героев Российской Федерации, ветеранов боевых действий и медицинских работников в санаторно-курортных учреждениях посредством социального сертификата воспользовались 111 получателей.</w:t>
      </w:r>
    </w:p>
    <w:p w14:paraId="39AB8B48" w14:textId="77777777" w:rsidR="008566E1" w:rsidRPr="00E47AA9" w:rsidRDefault="008566E1" w:rsidP="008566E1">
      <w:pPr>
        <w:pStyle w:val="ConsPlusNormal"/>
        <w:ind w:firstLine="708"/>
        <w:jc w:val="both"/>
        <w:rPr>
          <w:rFonts w:ascii="Times New Roman" w:hAnsi="Times New Roman" w:cs="Times New Roman"/>
          <w:sz w:val="28"/>
          <w:szCs w:val="28"/>
        </w:rPr>
      </w:pPr>
      <w:r w:rsidRPr="00E47AA9">
        <w:rPr>
          <w:rFonts w:ascii="Times New Roman" w:hAnsi="Times New Roman" w:cs="Times New Roman"/>
          <w:b/>
          <w:sz w:val="28"/>
          <w:szCs w:val="28"/>
        </w:rPr>
        <w:t>Подпрограмма "Обеспечение жильем отдельных категорий граждан в Приморском крае"</w:t>
      </w:r>
      <w:r w:rsidRPr="00E47AA9">
        <w:rPr>
          <w:rFonts w:ascii="Times New Roman" w:hAnsi="Times New Roman" w:cs="Times New Roman"/>
          <w:sz w:val="28"/>
          <w:szCs w:val="28"/>
        </w:rPr>
        <w:t xml:space="preserve"> </w:t>
      </w:r>
    </w:p>
    <w:p w14:paraId="050B2506" w14:textId="16A647B0" w:rsidR="008566E1" w:rsidRPr="00E47AA9" w:rsidRDefault="008566E1" w:rsidP="008566E1">
      <w:pPr>
        <w:pStyle w:val="ConsPlusNormal"/>
        <w:ind w:firstLine="708"/>
        <w:jc w:val="both"/>
        <w:rPr>
          <w:rFonts w:ascii="Times New Roman" w:hAnsi="Times New Roman" w:cs="Times New Roman"/>
          <w:sz w:val="28"/>
          <w:szCs w:val="28"/>
        </w:rPr>
      </w:pPr>
      <w:r w:rsidRPr="00E47AA9">
        <w:rPr>
          <w:rFonts w:ascii="Times New Roman" w:hAnsi="Times New Roman" w:cs="Times New Roman"/>
          <w:sz w:val="28"/>
          <w:szCs w:val="28"/>
        </w:rPr>
        <w:t xml:space="preserve">На реализацию мероприятий </w:t>
      </w:r>
      <w:r w:rsidRPr="00E47AA9">
        <w:rPr>
          <w:rFonts w:ascii="Times New Roman" w:hAnsi="Times New Roman" w:cs="Times New Roman"/>
          <w:bCs/>
          <w:i/>
          <w:sz w:val="28"/>
          <w:szCs w:val="28"/>
        </w:rPr>
        <w:t>РП "Финансовая поддержка семей при рождении детей" в рамках НП "Демография"</w:t>
      </w:r>
      <w:r w:rsidRPr="00E47AA9">
        <w:rPr>
          <w:rFonts w:ascii="Times New Roman" w:hAnsi="Times New Roman" w:cs="Times New Roman"/>
          <w:sz w:val="28"/>
          <w:szCs w:val="28"/>
        </w:rPr>
        <w:t xml:space="preserve"> </w:t>
      </w:r>
      <w:r w:rsidRPr="00E47AA9">
        <w:rPr>
          <w:rFonts w:ascii="Times New Roman" w:hAnsi="Times New Roman" w:cs="Times New Roman"/>
          <w:sz w:val="28"/>
          <w:szCs w:val="28"/>
          <w:u w:val="single"/>
        </w:rPr>
        <w:t>министерством труда и социальной политики Приморского края</w:t>
      </w:r>
      <w:r w:rsidRPr="00E47AA9">
        <w:rPr>
          <w:rFonts w:ascii="Times New Roman" w:hAnsi="Times New Roman" w:cs="Times New Roman"/>
          <w:sz w:val="28"/>
          <w:szCs w:val="28"/>
        </w:rPr>
        <w:t xml:space="preserve"> направлено 722,11 млн рублей, или 97,7</w:t>
      </w:r>
      <w:r w:rsidR="00F93F2A" w:rsidRPr="00E47AA9">
        <w:rPr>
          <w:rFonts w:ascii="Times New Roman" w:hAnsi="Times New Roman" w:cs="Times New Roman"/>
          <w:sz w:val="28"/>
          <w:szCs w:val="28"/>
        </w:rPr>
        <w:t xml:space="preserve">9 % (план </w:t>
      </w:r>
      <w:r w:rsidR="0003778E" w:rsidRPr="00E47AA9">
        <w:rPr>
          <w:rFonts w:ascii="Times New Roman" w:hAnsi="Times New Roman" w:cs="Times New Roman"/>
          <w:sz w:val="28"/>
          <w:szCs w:val="28"/>
        </w:rPr>
        <w:t xml:space="preserve">– </w:t>
      </w:r>
      <w:r w:rsidRPr="00E47AA9">
        <w:rPr>
          <w:rFonts w:ascii="Times New Roman" w:hAnsi="Times New Roman" w:cs="Times New Roman"/>
          <w:sz w:val="28"/>
          <w:szCs w:val="28"/>
        </w:rPr>
        <w:t>738,48 млн рублей). Более подробный анализ исполнения мероприятий РП отражен в приложении 3 к заключению.</w:t>
      </w:r>
    </w:p>
    <w:p w14:paraId="1797FED2" w14:textId="77777777" w:rsidR="008566E1" w:rsidRPr="00E47AA9" w:rsidRDefault="008566E1" w:rsidP="008566E1">
      <w:pPr>
        <w:pStyle w:val="ConsPlusNormal"/>
        <w:ind w:firstLine="708"/>
        <w:jc w:val="both"/>
        <w:rPr>
          <w:rFonts w:ascii="Times New Roman" w:hAnsi="Times New Roman" w:cs="Times New Roman"/>
          <w:sz w:val="28"/>
          <w:szCs w:val="28"/>
        </w:rPr>
      </w:pPr>
      <w:r w:rsidRPr="00E47AA9">
        <w:rPr>
          <w:rFonts w:ascii="Times New Roman" w:hAnsi="Times New Roman" w:cs="Times New Roman"/>
          <w:sz w:val="28"/>
          <w:szCs w:val="28"/>
        </w:rPr>
        <w:t xml:space="preserve">В 2024 году на </w:t>
      </w:r>
      <w:r w:rsidRPr="00E47AA9">
        <w:rPr>
          <w:rFonts w:ascii="Times New Roman" w:hAnsi="Times New Roman" w:cs="Times New Roman"/>
          <w:bCs/>
          <w:i/>
          <w:sz w:val="28"/>
          <w:szCs w:val="28"/>
        </w:rPr>
        <w:t>КПМ</w:t>
      </w:r>
      <w:r w:rsidRPr="00E47AA9">
        <w:rPr>
          <w:rFonts w:ascii="Times New Roman" w:hAnsi="Times New Roman" w:cs="Times New Roman"/>
          <w:sz w:val="28"/>
          <w:szCs w:val="28"/>
        </w:rPr>
        <w:t xml:space="preserve"> "</w:t>
      </w:r>
      <w:r w:rsidRPr="00E47AA9">
        <w:rPr>
          <w:rFonts w:ascii="Times New Roman" w:hAnsi="Times New Roman" w:cs="Times New Roman"/>
          <w:i/>
          <w:sz w:val="28"/>
          <w:szCs w:val="28"/>
        </w:rPr>
        <w:t>Обеспечение жильем отдельных категорий граждан"</w:t>
      </w:r>
      <w:r w:rsidRPr="00E47AA9">
        <w:rPr>
          <w:rFonts w:ascii="Times New Roman" w:hAnsi="Times New Roman" w:cs="Times New Roman"/>
          <w:sz w:val="28"/>
          <w:szCs w:val="28"/>
        </w:rPr>
        <w:t xml:space="preserve"> направлено: </w:t>
      </w:r>
    </w:p>
    <w:p w14:paraId="3D177523" w14:textId="4BFC18F1" w:rsidR="008566E1" w:rsidRPr="00E47AA9" w:rsidRDefault="008566E1" w:rsidP="008566E1">
      <w:pPr>
        <w:pStyle w:val="ConsPlusNormal"/>
        <w:ind w:firstLine="708"/>
        <w:jc w:val="both"/>
        <w:rPr>
          <w:rFonts w:ascii="Times New Roman" w:hAnsi="Times New Roman" w:cs="Times New Roman"/>
          <w:sz w:val="28"/>
          <w:szCs w:val="28"/>
        </w:rPr>
      </w:pPr>
      <w:bookmarkStart w:id="18" w:name="_Hlk194317939"/>
      <w:r w:rsidRPr="00E47AA9">
        <w:rPr>
          <w:rFonts w:ascii="Times New Roman" w:hAnsi="Times New Roman" w:cs="Times New Roman"/>
          <w:sz w:val="28"/>
          <w:szCs w:val="28"/>
          <w:u w:val="single"/>
        </w:rPr>
        <w:t>министерством труда и социальной политики Приморского края</w:t>
      </w:r>
      <w:r w:rsidRPr="00E47AA9">
        <w:rPr>
          <w:rFonts w:ascii="Times New Roman" w:hAnsi="Times New Roman" w:cs="Times New Roman"/>
          <w:sz w:val="28"/>
          <w:szCs w:val="28"/>
        </w:rPr>
        <w:t xml:space="preserve"> </w:t>
      </w:r>
      <w:bookmarkEnd w:id="18"/>
      <w:r w:rsidRPr="00E47AA9">
        <w:rPr>
          <w:rFonts w:ascii="Times New Roman" w:hAnsi="Times New Roman" w:cs="Times New Roman"/>
          <w:sz w:val="28"/>
          <w:szCs w:val="28"/>
        </w:rPr>
        <w:t>–</w:t>
      </w:r>
      <w:r w:rsidRPr="00E47AA9">
        <w:rPr>
          <w:rFonts w:ascii="Times New Roman" w:hAnsi="Times New Roman" w:cs="Times New Roman"/>
          <w:sz w:val="28"/>
          <w:szCs w:val="28"/>
          <w:u w:val="single"/>
        </w:rPr>
        <w:t xml:space="preserve"> </w:t>
      </w:r>
      <w:r w:rsidRPr="00E47AA9">
        <w:rPr>
          <w:rFonts w:ascii="Times New Roman" w:hAnsi="Times New Roman" w:cs="Times New Roman"/>
          <w:sz w:val="28"/>
          <w:szCs w:val="28"/>
        </w:rPr>
        <w:t xml:space="preserve">401,55 млн рублей, или 88,56 % (план </w:t>
      </w:r>
      <w:r w:rsidR="0003778E" w:rsidRPr="00E47AA9">
        <w:rPr>
          <w:rFonts w:ascii="Times New Roman" w:hAnsi="Times New Roman" w:cs="Times New Roman"/>
          <w:sz w:val="28"/>
          <w:szCs w:val="28"/>
        </w:rPr>
        <w:t xml:space="preserve">– </w:t>
      </w:r>
      <w:r w:rsidRPr="00E47AA9">
        <w:rPr>
          <w:rFonts w:ascii="Times New Roman" w:hAnsi="Times New Roman" w:cs="Times New Roman"/>
          <w:sz w:val="28"/>
          <w:szCs w:val="28"/>
        </w:rPr>
        <w:t>453,42 млн рублей), из них:</w:t>
      </w:r>
    </w:p>
    <w:p w14:paraId="47F5980E" w14:textId="7166E7C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предоставление денежной выплаты на приобретение жилого помещения (в том числе путем заключения договора участия в долевом строительстве жилого помещения) на территории Приморского края детям лиц, участвовавших в специальной военной операции на территориях Украины, Донецкой Народной Республики, Луганской Народной Республики, Запорожской области и Херсонской области – 265,22 млн рублей, или 87,90 % (план </w:t>
      </w:r>
      <w:r w:rsidR="0003778E"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301,72 млн рублей). Выплата предоставлена 66 гражданам;</w:t>
      </w:r>
    </w:p>
    <w:p w14:paraId="33D730D8"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предоставление денежной выплаты гражданам, жилые помещения которых признаны непригодными для проживания в результате чрезвычайной ситуации на территории Приморского края – 10,94 млн рублей (в полном объеме плановых назначений). Выплат</w:t>
      </w:r>
      <w:r w:rsidR="00F93F2A" w:rsidRPr="00E47AA9">
        <w:rPr>
          <w:rFonts w:ascii="Times New Roman" w:eastAsia="Times New Roman" w:hAnsi="Times New Roman" w:cs="Times New Roman"/>
          <w:sz w:val="28"/>
          <w:szCs w:val="28"/>
          <w:lang w:eastAsia="ru-RU"/>
        </w:rPr>
        <w:t>ы</w:t>
      </w:r>
      <w:r w:rsidRPr="00E47AA9">
        <w:rPr>
          <w:rFonts w:ascii="Times New Roman" w:eastAsia="Times New Roman" w:hAnsi="Times New Roman" w:cs="Times New Roman"/>
          <w:sz w:val="28"/>
          <w:szCs w:val="28"/>
          <w:lang w:eastAsia="ru-RU"/>
        </w:rPr>
        <w:t xml:space="preserve"> предоставлены 5 семьям;</w:t>
      </w:r>
    </w:p>
    <w:p w14:paraId="6179AD8D"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предоставление социальных выплат на приобретение жилых помещений на основании выдаваемых государственных жилищных сертификатов, подтверждающих право гражданина на социальную выплату, жителям </w:t>
      </w:r>
      <w:r w:rsidRPr="00E47AA9">
        <w:rPr>
          <w:rFonts w:ascii="Times New Roman" w:eastAsia="Times New Roman" w:hAnsi="Times New Roman" w:cs="Times New Roman"/>
          <w:sz w:val="28"/>
          <w:szCs w:val="28"/>
          <w:lang w:eastAsia="ru-RU"/>
        </w:rPr>
        <w:br/>
        <w:t>г. Херсона и части Херсонской области, вынужденно покинувшим место постоянного проживания и прибывшим в экстренном массовом порядке в Приморский край на постоянное место жительства, за счет средств публично</w:t>
      </w:r>
      <w:r w:rsidR="00F93F2A"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правовой компании "Фонд развития территорий" – 11,45 млн рублей (в полном </w:t>
      </w:r>
      <w:r w:rsidRPr="00E47AA9">
        <w:rPr>
          <w:rFonts w:ascii="Times New Roman" w:eastAsia="Times New Roman" w:hAnsi="Times New Roman" w:cs="Times New Roman"/>
          <w:sz w:val="28"/>
          <w:szCs w:val="28"/>
          <w:lang w:eastAsia="ru-RU"/>
        </w:rPr>
        <w:lastRenderedPageBreak/>
        <w:t>объеме). Выплату получил</w:t>
      </w:r>
      <w:r w:rsidR="00F93F2A" w:rsidRPr="00E47AA9">
        <w:rPr>
          <w:rFonts w:ascii="Times New Roman" w:eastAsia="Times New Roman" w:hAnsi="Times New Roman" w:cs="Times New Roman"/>
          <w:sz w:val="28"/>
          <w:szCs w:val="28"/>
          <w:lang w:eastAsia="ru-RU"/>
        </w:rPr>
        <w:t>и</w:t>
      </w:r>
      <w:r w:rsidRPr="00E47AA9">
        <w:rPr>
          <w:rFonts w:ascii="Times New Roman" w:eastAsia="Times New Roman" w:hAnsi="Times New Roman" w:cs="Times New Roman"/>
          <w:sz w:val="28"/>
          <w:szCs w:val="28"/>
          <w:lang w:eastAsia="ru-RU"/>
        </w:rPr>
        <w:t xml:space="preserve"> 3 гражданина;</w:t>
      </w:r>
    </w:p>
    <w:p w14:paraId="1403E752"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предоставление денежной выплаты гражданам, жилые помещения которых утрачены в результате чрезвычайной ситуации, произошедшей в июле – сентябре 2022 года на территории Приморского края – 15,51 млн рублей (в полном объеме плановых назначений). Выплата предоставлена </w:t>
      </w:r>
      <w:r w:rsidRPr="00E47AA9">
        <w:rPr>
          <w:rFonts w:ascii="Times New Roman" w:eastAsia="Times New Roman" w:hAnsi="Times New Roman" w:cs="Times New Roman"/>
          <w:sz w:val="28"/>
          <w:szCs w:val="28"/>
          <w:lang w:eastAsia="ru-RU"/>
        </w:rPr>
        <w:br/>
      </w:r>
      <w:r w:rsidR="00F93F2A" w:rsidRPr="00E47AA9">
        <w:rPr>
          <w:rFonts w:ascii="Times New Roman" w:eastAsia="Times New Roman" w:hAnsi="Times New Roman" w:cs="Times New Roman"/>
          <w:sz w:val="28"/>
          <w:szCs w:val="28"/>
          <w:lang w:eastAsia="ru-RU"/>
        </w:rPr>
        <w:t>двум</w:t>
      </w:r>
      <w:r w:rsidRPr="00E47AA9">
        <w:rPr>
          <w:rFonts w:ascii="Times New Roman" w:eastAsia="Times New Roman" w:hAnsi="Times New Roman" w:cs="Times New Roman"/>
          <w:sz w:val="28"/>
          <w:szCs w:val="28"/>
          <w:lang w:eastAsia="ru-RU"/>
        </w:rPr>
        <w:t xml:space="preserve"> семьям;</w:t>
      </w:r>
    </w:p>
    <w:p w14:paraId="74CDFA3F"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предоставление денежной выплаты на приобретение жилого помещения на территории Приморского края лицам, удостоенным звания Героя Российской Федерации, за заслуги, проявленные в ходе участия в специальной военной операции на территориях Украины, Донецкой Народной Республики, Луганской Народной Республики, Запорожской области и Херсонской области</w:t>
      </w:r>
      <w:r w:rsidR="00F93F2A"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32,84 млн рублей, или 98,52 % от плана 33,33 млн рублей. Выплата предоставлена 4 гражданам;</w:t>
      </w:r>
    </w:p>
    <w:p w14:paraId="1D062B57"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предоставление денежной выплаты на приобретение жилого помещения на территории Приморского края лицам, удостоенным звания Героя Приморья за заслуги перед государством, связанные с совершением геройского подвига в ходе специальной военной операции на территориях Украины, Донецкой Народной Республики, Луганской Народной Республики, Запорожской области и Херсонской области – 4,97 млн рублей (в полном объеме плановых назначений). Выплата получена </w:t>
      </w:r>
      <w:r w:rsidR="00F93F2A" w:rsidRPr="00E47AA9">
        <w:rPr>
          <w:rFonts w:ascii="Times New Roman" w:eastAsia="Times New Roman" w:hAnsi="Times New Roman" w:cs="Times New Roman"/>
          <w:sz w:val="28"/>
          <w:szCs w:val="28"/>
          <w:lang w:eastAsia="ru-RU"/>
        </w:rPr>
        <w:t>одним</w:t>
      </w:r>
      <w:r w:rsidRPr="00E47AA9">
        <w:rPr>
          <w:rFonts w:ascii="Times New Roman" w:eastAsia="Times New Roman" w:hAnsi="Times New Roman" w:cs="Times New Roman"/>
          <w:sz w:val="28"/>
          <w:szCs w:val="28"/>
          <w:lang w:eastAsia="ru-RU"/>
        </w:rPr>
        <w:t xml:space="preserve"> человеком;</w:t>
      </w:r>
    </w:p>
    <w:p w14:paraId="10B9642D"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отдельным категориям гражданам на обеспечение жильем, установленным:</w:t>
      </w:r>
    </w:p>
    <w:p w14:paraId="3344D556"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Федеральным законом от 12.01.1995 № 5-ФЗ "О ветеранах" – 11,51 млн рублей, или 95,59 % (12,04 млн рублей). Жильем обеспечены 4 ветерана боевых действий;</w:t>
      </w:r>
    </w:p>
    <w:p w14:paraId="72B9068D" w14:textId="08328252"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Федеральным законом от 24.11.1995 № 181-ФЗ "О социальной защите инвалидов в Российской Федерации" – 25,89 млн рублей (план </w:t>
      </w:r>
      <w:r w:rsidR="00576C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37,501 млн рублей). В 2024 году обеспечено жильем 9 инвалидов.</w:t>
      </w:r>
    </w:p>
    <w:p w14:paraId="3F3D45E9"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связи с отсутствием обращений не предоставлена планируемая в 2024 году денежная выплата приемным семьям, жилые помещения которых признаны непригодными для проживания в результате пожара на территории Приморского края (1,00 млн рублей) и на приобретение жилых помещений по договору купли-продажи гражданам, чьи денежные средства привлечены для строительства многоквартирных домов на территории Партизанского городского округа Приморского края и чьи права нарушены (1,34 млн рублей).</w:t>
      </w:r>
    </w:p>
    <w:p w14:paraId="2CAFCAB2" w14:textId="306CE018" w:rsidR="008566E1" w:rsidRPr="00E47AA9" w:rsidRDefault="008566E1" w:rsidP="008566E1">
      <w:pPr>
        <w:pStyle w:val="ConsPlusNormal"/>
        <w:ind w:firstLine="708"/>
        <w:jc w:val="both"/>
        <w:rPr>
          <w:rFonts w:ascii="Times New Roman" w:hAnsi="Times New Roman" w:cs="Times New Roman"/>
          <w:sz w:val="28"/>
          <w:szCs w:val="28"/>
        </w:rPr>
      </w:pPr>
      <w:r w:rsidRPr="00E47AA9">
        <w:rPr>
          <w:rFonts w:ascii="Times New Roman" w:hAnsi="Times New Roman" w:cs="Times New Roman"/>
          <w:sz w:val="28"/>
          <w:szCs w:val="28"/>
          <w:u w:val="single"/>
        </w:rPr>
        <w:t>министерством имущественных и земельных отношений Приморского края</w:t>
      </w:r>
      <w:r w:rsidRPr="00E47AA9">
        <w:rPr>
          <w:rFonts w:ascii="Times New Roman" w:hAnsi="Times New Roman" w:cs="Times New Roman"/>
          <w:sz w:val="28"/>
          <w:szCs w:val="28"/>
        </w:rPr>
        <w:t xml:space="preserve"> – 70,88 млн рублей (план </w:t>
      </w:r>
      <w:r w:rsidR="0003778E" w:rsidRPr="00E47AA9">
        <w:rPr>
          <w:rFonts w:ascii="Times New Roman" w:hAnsi="Times New Roman" w:cs="Times New Roman"/>
          <w:sz w:val="28"/>
          <w:szCs w:val="28"/>
        </w:rPr>
        <w:t xml:space="preserve">– </w:t>
      </w:r>
      <w:r w:rsidRPr="00E47AA9">
        <w:rPr>
          <w:rFonts w:ascii="Times New Roman" w:hAnsi="Times New Roman" w:cs="Times New Roman"/>
          <w:sz w:val="28"/>
          <w:szCs w:val="28"/>
        </w:rPr>
        <w:t>71,17 млн рублей). Средства направлены в бюджеты 6 муниципальных образований края на предоставление гражданам, имеющим трех и более детей, иной меры социальной поддержки в виде единовременной денежной выплаты взамен предоставления земельного участка в собственность бесплатно. Выплаты получили 300 семей согласно представленным заявкам.</w:t>
      </w:r>
    </w:p>
    <w:p w14:paraId="6EFFDA57"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b/>
          <w:bCs/>
          <w:sz w:val="28"/>
          <w:szCs w:val="28"/>
          <w:lang w:eastAsia="ru-RU"/>
        </w:rPr>
      </w:pPr>
      <w:r w:rsidRPr="00E47AA9">
        <w:rPr>
          <w:rFonts w:ascii="Times New Roman" w:eastAsia="Times New Roman" w:hAnsi="Times New Roman" w:cs="Times New Roman"/>
          <w:b/>
          <w:bCs/>
          <w:sz w:val="28"/>
          <w:szCs w:val="28"/>
          <w:lang w:eastAsia="ru-RU"/>
        </w:rPr>
        <w:t xml:space="preserve">Подпрограмма "Развитие и модернизация социального обслуживания населения в Приморском крае" </w:t>
      </w:r>
    </w:p>
    <w:p w14:paraId="686826FA"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u w:val="single"/>
          <w:lang w:eastAsia="ru-RU"/>
        </w:rPr>
      </w:pPr>
      <w:r w:rsidRPr="00E47AA9">
        <w:rPr>
          <w:rFonts w:ascii="Times New Roman" w:eastAsia="Times New Roman" w:hAnsi="Times New Roman" w:cs="Times New Roman"/>
          <w:sz w:val="28"/>
          <w:szCs w:val="28"/>
          <w:u w:val="single"/>
          <w:lang w:eastAsia="ru-RU"/>
        </w:rPr>
        <w:lastRenderedPageBreak/>
        <w:t>Министерство труда и социальной политик</w:t>
      </w:r>
      <w:r w:rsidR="00F93F2A" w:rsidRPr="00E47AA9">
        <w:rPr>
          <w:rFonts w:ascii="Times New Roman" w:eastAsia="Times New Roman" w:hAnsi="Times New Roman" w:cs="Times New Roman"/>
          <w:sz w:val="28"/>
          <w:szCs w:val="28"/>
          <w:u w:val="single"/>
          <w:lang w:eastAsia="ru-RU"/>
        </w:rPr>
        <w:t>и</w:t>
      </w:r>
      <w:r w:rsidRPr="00E47AA9">
        <w:rPr>
          <w:rFonts w:ascii="Times New Roman" w:eastAsia="Times New Roman" w:hAnsi="Times New Roman" w:cs="Times New Roman"/>
          <w:sz w:val="28"/>
          <w:szCs w:val="28"/>
          <w:u w:val="single"/>
          <w:lang w:eastAsia="ru-RU"/>
        </w:rPr>
        <w:t xml:space="preserve"> Приморского края</w:t>
      </w:r>
    </w:p>
    <w:p w14:paraId="7EAC29E5" w14:textId="77777777" w:rsidR="008566E1" w:rsidRPr="00E47AA9" w:rsidRDefault="008566E1" w:rsidP="008566E1">
      <w:pPr>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 xml:space="preserve">В рамках подпрограммы в полном объеме плановых назначений реализованы мероприятия </w:t>
      </w:r>
      <w:r w:rsidRPr="00E47AA9">
        <w:rPr>
          <w:rFonts w:ascii="Times New Roman" w:eastAsia="Times New Roman" w:hAnsi="Times New Roman" w:cs="Times New Roman"/>
          <w:i/>
          <w:sz w:val="28"/>
          <w:szCs w:val="28"/>
          <w:lang w:eastAsia="ru-RU"/>
        </w:rPr>
        <w:t>региональных проектов НП "Демография"</w:t>
      </w:r>
      <w:r w:rsidRPr="00E47AA9">
        <w:rPr>
          <w:rFonts w:ascii="Times New Roman" w:eastAsia="Times New Roman" w:hAnsi="Times New Roman" w:cs="Times New Roman"/>
          <w:bCs/>
          <w:sz w:val="28"/>
          <w:szCs w:val="28"/>
          <w:lang w:eastAsia="ru-RU"/>
        </w:rPr>
        <w:t>:</w:t>
      </w:r>
    </w:p>
    <w:p w14:paraId="2DD037AB" w14:textId="77777777" w:rsidR="008566E1" w:rsidRPr="00E47AA9" w:rsidRDefault="008566E1" w:rsidP="008566E1">
      <w:pPr>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 xml:space="preserve"> </w:t>
      </w:r>
      <w:r w:rsidRPr="00E47AA9">
        <w:rPr>
          <w:rFonts w:ascii="Times New Roman" w:eastAsia="Times New Roman" w:hAnsi="Times New Roman" w:cs="Times New Roman"/>
          <w:bCs/>
          <w:i/>
          <w:sz w:val="28"/>
          <w:szCs w:val="28"/>
          <w:lang w:eastAsia="ru-RU"/>
        </w:rPr>
        <w:t>"Финансовая поддержка семей при рождении детей"</w:t>
      </w:r>
      <w:r w:rsidRPr="00E47AA9">
        <w:rPr>
          <w:rFonts w:ascii="Times New Roman" w:eastAsia="Times New Roman" w:hAnsi="Times New Roman" w:cs="Times New Roman"/>
          <w:bCs/>
          <w:sz w:val="28"/>
          <w:szCs w:val="28"/>
          <w:lang w:eastAsia="ru-RU"/>
        </w:rPr>
        <w:t xml:space="preserve"> – 1,06 млн рублей; </w:t>
      </w:r>
    </w:p>
    <w:p w14:paraId="27F4702B" w14:textId="77777777" w:rsidR="008566E1" w:rsidRPr="00E47AA9" w:rsidRDefault="008566E1" w:rsidP="008566E1">
      <w:pPr>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i/>
          <w:sz w:val="28"/>
          <w:szCs w:val="28"/>
          <w:lang w:eastAsia="ru-RU"/>
        </w:rPr>
        <w:t xml:space="preserve">"Разработка и реализация программы системной поддержки и повышения качества жизни граждан старшего поколения "Старшее поколение" на территории Приморского края" (далее </w:t>
      </w:r>
      <w:r w:rsidR="00C03919" w:rsidRPr="00E47AA9">
        <w:rPr>
          <w:rFonts w:ascii="Times New Roman" w:eastAsia="Times New Roman" w:hAnsi="Times New Roman" w:cs="Times New Roman"/>
          <w:i/>
          <w:sz w:val="28"/>
          <w:szCs w:val="28"/>
          <w:lang w:eastAsia="ru-RU"/>
        </w:rPr>
        <w:t>–</w:t>
      </w:r>
      <w:r w:rsidRPr="00E47AA9">
        <w:rPr>
          <w:rFonts w:ascii="Times New Roman" w:eastAsia="Times New Roman" w:hAnsi="Times New Roman" w:cs="Times New Roman"/>
          <w:i/>
          <w:sz w:val="28"/>
          <w:szCs w:val="28"/>
          <w:lang w:eastAsia="ru-RU"/>
        </w:rPr>
        <w:t xml:space="preserve"> "Старшее поколение")</w:t>
      </w:r>
      <w:r w:rsidR="00C03919" w:rsidRPr="00E47AA9">
        <w:rPr>
          <w:rFonts w:ascii="Times New Roman" w:eastAsia="Times New Roman" w:hAnsi="Times New Roman" w:cs="Times New Roman"/>
          <w:i/>
          <w:sz w:val="28"/>
          <w:szCs w:val="28"/>
          <w:lang w:eastAsia="ru-RU"/>
        </w:rPr>
        <w:t> </w:t>
      </w:r>
      <w:r w:rsidRPr="00E47AA9">
        <w:rPr>
          <w:rFonts w:ascii="Times New Roman" w:eastAsia="Times New Roman" w:hAnsi="Times New Roman" w:cs="Times New Roman"/>
          <w:sz w:val="28"/>
          <w:szCs w:val="28"/>
          <w:lang w:eastAsia="ru-RU"/>
        </w:rPr>
        <w:t>– 140,55 млн рублей.</w:t>
      </w:r>
    </w:p>
    <w:p w14:paraId="677FDB50" w14:textId="77777777" w:rsidR="008566E1" w:rsidRPr="00E47AA9" w:rsidRDefault="008566E1" w:rsidP="008566E1">
      <w:pPr>
        <w:pStyle w:val="ConsPlusNormal"/>
        <w:ind w:firstLine="708"/>
        <w:jc w:val="both"/>
        <w:rPr>
          <w:rFonts w:ascii="Times New Roman" w:hAnsi="Times New Roman" w:cs="Times New Roman"/>
          <w:bCs/>
          <w:sz w:val="28"/>
          <w:szCs w:val="28"/>
        </w:rPr>
      </w:pPr>
      <w:bookmarkStart w:id="19" w:name="_Hlk194318797"/>
      <w:r w:rsidRPr="00E47AA9">
        <w:rPr>
          <w:rFonts w:ascii="Times New Roman" w:hAnsi="Times New Roman" w:cs="Times New Roman"/>
          <w:bCs/>
          <w:sz w:val="28"/>
          <w:szCs w:val="28"/>
        </w:rPr>
        <w:t xml:space="preserve">В рамках подпрограммы исполнение </w:t>
      </w:r>
      <w:r w:rsidRPr="00E47AA9">
        <w:rPr>
          <w:rFonts w:ascii="Times New Roman" w:hAnsi="Times New Roman" w:cs="Times New Roman"/>
          <w:i/>
          <w:sz w:val="28"/>
          <w:szCs w:val="28"/>
        </w:rPr>
        <w:t>комплексов процессных мероприятий</w:t>
      </w:r>
      <w:r w:rsidRPr="00E47AA9">
        <w:rPr>
          <w:rFonts w:ascii="Times New Roman" w:hAnsi="Times New Roman" w:cs="Times New Roman"/>
          <w:sz w:val="28"/>
          <w:szCs w:val="28"/>
        </w:rPr>
        <w:t xml:space="preserve"> </w:t>
      </w:r>
      <w:r w:rsidRPr="00E47AA9">
        <w:rPr>
          <w:rFonts w:ascii="Times New Roman" w:hAnsi="Times New Roman" w:cs="Times New Roman"/>
          <w:bCs/>
          <w:sz w:val="28"/>
          <w:szCs w:val="28"/>
        </w:rPr>
        <w:t>сложилось следующим образом:</w:t>
      </w:r>
    </w:p>
    <w:bookmarkEnd w:id="19"/>
    <w:p w14:paraId="2F0D8705" w14:textId="6659BB56" w:rsidR="008566E1" w:rsidRPr="00E47AA9" w:rsidRDefault="008566E1" w:rsidP="008566E1">
      <w:pPr>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i/>
          <w:sz w:val="28"/>
          <w:szCs w:val="28"/>
          <w:lang w:eastAsia="ru-RU"/>
        </w:rPr>
        <w:t xml:space="preserve">КПМ "Социальное обслуживание граждан" </w:t>
      </w:r>
      <w:r w:rsidR="00C03919" w:rsidRPr="00E47AA9">
        <w:rPr>
          <w:rFonts w:ascii="Times New Roman" w:eastAsia="Times New Roman" w:hAnsi="Times New Roman" w:cs="Times New Roman"/>
          <w:bCs/>
          <w:sz w:val="28"/>
          <w:szCs w:val="28"/>
          <w:lang w:eastAsia="ru-RU"/>
        </w:rPr>
        <w:t>–</w:t>
      </w:r>
      <w:r w:rsidRPr="00E47AA9">
        <w:rPr>
          <w:rFonts w:ascii="Times New Roman" w:eastAsia="Times New Roman" w:hAnsi="Times New Roman" w:cs="Times New Roman"/>
          <w:bCs/>
          <w:sz w:val="28"/>
          <w:szCs w:val="28"/>
          <w:lang w:eastAsia="ru-RU"/>
        </w:rPr>
        <w:t xml:space="preserve"> 5085,25 млн рублей, или 99,95 % (план </w:t>
      </w:r>
      <w:r w:rsidR="0003778E" w:rsidRPr="00E47AA9">
        <w:rPr>
          <w:rFonts w:ascii="Times New Roman" w:eastAsia="Times New Roman" w:hAnsi="Times New Roman" w:cs="Times New Roman"/>
          <w:bCs/>
          <w:sz w:val="28"/>
          <w:szCs w:val="28"/>
          <w:lang w:eastAsia="ru-RU"/>
        </w:rPr>
        <w:t xml:space="preserve">– </w:t>
      </w:r>
      <w:r w:rsidRPr="00E47AA9">
        <w:rPr>
          <w:rFonts w:ascii="Times New Roman" w:eastAsia="Times New Roman" w:hAnsi="Times New Roman" w:cs="Times New Roman"/>
          <w:bCs/>
          <w:sz w:val="28"/>
          <w:szCs w:val="28"/>
          <w:lang w:eastAsia="ru-RU"/>
        </w:rPr>
        <w:t>5087,56 млн рублей), из них:</w:t>
      </w:r>
    </w:p>
    <w:p w14:paraId="3501A76E" w14:textId="6A08249D" w:rsidR="008566E1" w:rsidRPr="00E47AA9" w:rsidRDefault="008566E1" w:rsidP="008566E1">
      <w:pPr>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 xml:space="preserve">субсидии поставщикам социальных услуг на возмещение затрат, связанных с предоставлением социальных услуг, в том числе срочных социальных услуг – 96,84 млн рублей, или 97,73 % (план </w:t>
      </w:r>
      <w:r w:rsidR="0003778E" w:rsidRPr="00E47AA9">
        <w:rPr>
          <w:rFonts w:ascii="Times New Roman" w:eastAsia="Times New Roman" w:hAnsi="Times New Roman" w:cs="Times New Roman"/>
          <w:bCs/>
          <w:sz w:val="28"/>
          <w:szCs w:val="28"/>
          <w:lang w:eastAsia="ru-RU"/>
        </w:rPr>
        <w:t xml:space="preserve">– </w:t>
      </w:r>
      <w:r w:rsidRPr="00E47AA9">
        <w:rPr>
          <w:rFonts w:ascii="Times New Roman" w:eastAsia="Times New Roman" w:hAnsi="Times New Roman" w:cs="Times New Roman"/>
          <w:bCs/>
          <w:sz w:val="28"/>
          <w:szCs w:val="28"/>
          <w:lang w:eastAsia="ru-RU"/>
        </w:rPr>
        <w:t>99,08 млн рублей);</w:t>
      </w:r>
    </w:p>
    <w:p w14:paraId="1B80EDEC" w14:textId="77777777" w:rsidR="008566E1" w:rsidRPr="00E47AA9" w:rsidRDefault="008566E1" w:rsidP="008566E1">
      <w:pPr>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субсидии социально ориентированным некоммерческим организациям Приморского края, оказывающим услуги по:</w:t>
      </w:r>
    </w:p>
    <w:p w14:paraId="3C342ABC" w14:textId="77777777" w:rsidR="008566E1" w:rsidRPr="00E47AA9" w:rsidRDefault="008566E1" w:rsidP="008566E1">
      <w:pPr>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профилактике социального сиротства, поддержке материнства и детства</w:t>
      </w:r>
      <w:r w:rsidR="00C03919" w:rsidRPr="00E47AA9">
        <w:rPr>
          <w:rFonts w:ascii="Times New Roman" w:eastAsia="Times New Roman" w:hAnsi="Times New Roman" w:cs="Times New Roman"/>
          <w:bCs/>
          <w:sz w:val="28"/>
          <w:szCs w:val="28"/>
          <w:lang w:eastAsia="ru-RU"/>
        </w:rPr>
        <w:t> </w:t>
      </w:r>
      <w:r w:rsidRPr="00E47AA9">
        <w:rPr>
          <w:rFonts w:ascii="Times New Roman" w:eastAsia="Times New Roman" w:hAnsi="Times New Roman" w:cs="Times New Roman"/>
          <w:bCs/>
          <w:sz w:val="28"/>
          <w:szCs w:val="28"/>
          <w:lang w:eastAsia="ru-RU"/>
        </w:rPr>
        <w:t>– 0,87 млн рублей (96,30 % от плана 0,90 млн рублей);</w:t>
      </w:r>
    </w:p>
    <w:p w14:paraId="38584A62" w14:textId="77777777" w:rsidR="008566E1" w:rsidRPr="00E47AA9" w:rsidRDefault="008566E1" w:rsidP="008566E1">
      <w:pPr>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 xml:space="preserve">социальной адаптации инвалидов и их семей, в том числе профессиональной ориентации, содействию в трудоустройстве и сопровождению при содействии в трудоустройстве инвалидов – 0,58 млн рублей (в полном объеме). </w:t>
      </w:r>
    </w:p>
    <w:p w14:paraId="2E2A7482" w14:textId="61C80CF3" w:rsidR="008566E1" w:rsidRPr="00E47AA9" w:rsidRDefault="008566E1" w:rsidP="008566E1">
      <w:pPr>
        <w:spacing w:after="0" w:line="240" w:lineRule="auto"/>
        <w:ind w:firstLine="709"/>
        <w:jc w:val="both"/>
        <w:rPr>
          <w:rFonts w:ascii="Times New Roman" w:eastAsia="Times New Roman" w:hAnsi="Times New Roman" w:cs="Times New Roman"/>
          <w:bCs/>
          <w:iCs/>
          <w:sz w:val="28"/>
          <w:szCs w:val="28"/>
          <w:lang w:eastAsia="ru-RU"/>
        </w:rPr>
      </w:pPr>
      <w:r w:rsidRPr="00E47AA9">
        <w:rPr>
          <w:rFonts w:ascii="Times New Roman" w:eastAsia="Times New Roman" w:hAnsi="Times New Roman" w:cs="Times New Roman"/>
          <w:bCs/>
          <w:iCs/>
          <w:sz w:val="28"/>
          <w:szCs w:val="28"/>
          <w:lang w:eastAsia="ru-RU"/>
        </w:rPr>
        <w:t xml:space="preserve">Субсидии краевым государственным бюджетным и автономным учреждениям на иные цели – 33,29 млн рублей, или 99,93 % (план </w:t>
      </w:r>
      <w:r w:rsidR="00576C74" w:rsidRPr="00E47AA9">
        <w:rPr>
          <w:rFonts w:ascii="Times New Roman" w:eastAsia="Times New Roman" w:hAnsi="Times New Roman" w:cs="Times New Roman"/>
          <w:bCs/>
          <w:iCs/>
          <w:sz w:val="28"/>
          <w:szCs w:val="28"/>
          <w:lang w:eastAsia="ru-RU"/>
        </w:rPr>
        <w:t xml:space="preserve">– </w:t>
      </w:r>
      <w:r w:rsidRPr="00E47AA9">
        <w:rPr>
          <w:rFonts w:ascii="Times New Roman" w:eastAsia="Times New Roman" w:hAnsi="Times New Roman" w:cs="Times New Roman"/>
          <w:bCs/>
          <w:iCs/>
          <w:sz w:val="28"/>
          <w:szCs w:val="28"/>
          <w:lang w:eastAsia="ru-RU"/>
        </w:rPr>
        <w:t>33,31 млн рублей).</w:t>
      </w:r>
      <w:r w:rsidRPr="00E47AA9">
        <w:rPr>
          <w:rFonts w:ascii="Times New Roman" w:eastAsia="Times New Roman" w:hAnsi="Times New Roman" w:cs="Times New Roman"/>
          <w:sz w:val="28"/>
          <w:szCs w:val="28"/>
          <w:lang w:eastAsia="ru-RU"/>
        </w:rPr>
        <w:t xml:space="preserve"> </w:t>
      </w:r>
    </w:p>
    <w:p w14:paraId="2DC47013" w14:textId="77777777" w:rsidR="008566E1" w:rsidRPr="00E47AA9" w:rsidRDefault="008566E1" w:rsidP="008566E1">
      <w:pPr>
        <w:spacing w:after="0" w:line="240" w:lineRule="auto"/>
        <w:ind w:firstLine="709"/>
        <w:jc w:val="both"/>
        <w:rPr>
          <w:rFonts w:ascii="Times New Roman" w:eastAsia="Times New Roman" w:hAnsi="Times New Roman" w:cs="Times New Roman"/>
          <w:bCs/>
          <w:iCs/>
          <w:sz w:val="28"/>
          <w:szCs w:val="28"/>
          <w:lang w:eastAsia="ru-RU"/>
        </w:rPr>
      </w:pPr>
      <w:r w:rsidRPr="00E47AA9">
        <w:rPr>
          <w:rFonts w:ascii="Times New Roman" w:eastAsia="Times New Roman" w:hAnsi="Times New Roman" w:cs="Times New Roman"/>
          <w:bCs/>
          <w:iCs/>
          <w:sz w:val="28"/>
          <w:szCs w:val="28"/>
          <w:lang w:eastAsia="ru-RU"/>
        </w:rPr>
        <w:t>Расходы на обеспечение деятельности (оказание услуг, выполнение работ) краевых государственных учреждений произведены в полном объеме плановых назначений 4953,67 млн рублей;</w:t>
      </w:r>
    </w:p>
    <w:p w14:paraId="640C625D" w14:textId="77777777" w:rsidR="008566E1" w:rsidRPr="00E47AA9" w:rsidRDefault="008566E1" w:rsidP="008566E1">
      <w:pPr>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i/>
          <w:sz w:val="28"/>
          <w:szCs w:val="28"/>
          <w:lang w:eastAsia="ru-RU"/>
        </w:rPr>
        <w:t>КПМ "Обеспечение функций государственного органа в сфере социальной поддержки и содействия занятости населения"</w:t>
      </w:r>
      <w:r w:rsidRPr="00E47AA9">
        <w:rPr>
          <w:rFonts w:ascii="Times New Roman" w:eastAsia="Times New Roman" w:hAnsi="Times New Roman" w:cs="Times New Roman"/>
          <w:bCs/>
          <w:sz w:val="28"/>
          <w:szCs w:val="28"/>
          <w:lang w:eastAsia="ru-RU"/>
        </w:rPr>
        <w:t xml:space="preserve"> исполнен в сумме 1926,95 млн рублей, или 99,25 % (плановые бюджетные назначения – 1936,16 млн рублей); </w:t>
      </w:r>
    </w:p>
    <w:p w14:paraId="4A268557" w14:textId="77777777" w:rsidR="008566E1" w:rsidRPr="00E47AA9" w:rsidRDefault="008566E1" w:rsidP="008566E1">
      <w:pPr>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i/>
          <w:sz w:val="28"/>
          <w:szCs w:val="28"/>
          <w:lang w:eastAsia="ru-RU"/>
        </w:rPr>
        <w:t>КПМ "Оказание государственных услуг в социальной сфере путем формирования государственного социального заказа"</w:t>
      </w:r>
      <w:r w:rsidRPr="00E47AA9">
        <w:rPr>
          <w:rFonts w:ascii="Times New Roman" w:eastAsia="Times New Roman" w:hAnsi="Times New Roman" w:cs="Times New Roman"/>
          <w:bCs/>
          <w:sz w:val="28"/>
          <w:szCs w:val="28"/>
          <w:lang w:eastAsia="ru-RU"/>
        </w:rPr>
        <w:t xml:space="preserve"> </w:t>
      </w:r>
      <w:r w:rsidR="00C03919" w:rsidRPr="00E47AA9">
        <w:rPr>
          <w:rFonts w:ascii="Times New Roman" w:eastAsia="Times New Roman" w:hAnsi="Times New Roman" w:cs="Times New Roman"/>
          <w:bCs/>
          <w:sz w:val="28"/>
          <w:szCs w:val="28"/>
          <w:lang w:eastAsia="ru-RU"/>
        </w:rPr>
        <w:t>–</w:t>
      </w:r>
      <w:r w:rsidRPr="00E47AA9">
        <w:rPr>
          <w:rFonts w:ascii="Times New Roman" w:eastAsia="Times New Roman" w:hAnsi="Times New Roman" w:cs="Times New Roman"/>
          <w:bCs/>
          <w:sz w:val="28"/>
          <w:szCs w:val="28"/>
          <w:lang w:eastAsia="ru-RU"/>
        </w:rPr>
        <w:t xml:space="preserve"> 900,54 млн рублей, или 99,57 % от плана 904,45 млн рублей; </w:t>
      </w:r>
    </w:p>
    <w:p w14:paraId="42D6489A" w14:textId="4C26A113"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Cs/>
          <w:i/>
          <w:sz w:val="28"/>
          <w:szCs w:val="28"/>
          <w:lang w:eastAsia="ru-RU"/>
        </w:rPr>
        <w:t>КПМ "Государственное обеспечение детей-сирот и детей, оставшихся без попечения родителей"</w:t>
      </w:r>
      <w:r w:rsidRPr="00E47AA9">
        <w:rPr>
          <w:rFonts w:ascii="Times New Roman" w:eastAsia="Times New Roman" w:hAnsi="Times New Roman" w:cs="Times New Roman"/>
          <w:bCs/>
          <w:sz w:val="28"/>
          <w:szCs w:val="28"/>
          <w:lang w:eastAsia="ru-RU"/>
        </w:rPr>
        <w:t xml:space="preserve"> </w:t>
      </w:r>
      <w:r w:rsidR="00C03919" w:rsidRPr="00E47AA9">
        <w:rPr>
          <w:rFonts w:ascii="Times New Roman" w:eastAsia="Times New Roman" w:hAnsi="Times New Roman" w:cs="Times New Roman"/>
          <w:bCs/>
          <w:sz w:val="28"/>
          <w:szCs w:val="28"/>
          <w:lang w:eastAsia="ru-RU"/>
        </w:rPr>
        <w:t>–</w:t>
      </w:r>
      <w:r w:rsidRPr="00E47AA9">
        <w:rPr>
          <w:rFonts w:ascii="Times New Roman" w:eastAsia="Times New Roman" w:hAnsi="Times New Roman" w:cs="Times New Roman"/>
          <w:bCs/>
          <w:sz w:val="28"/>
          <w:szCs w:val="28"/>
          <w:lang w:eastAsia="ru-RU"/>
        </w:rPr>
        <w:t xml:space="preserve"> 1697,57 млн рублей, или 98,62 % (план</w:t>
      </w:r>
      <w:r w:rsidR="00576C74" w:rsidRPr="00E47AA9">
        <w:rPr>
          <w:rFonts w:ascii="Times New Roman" w:eastAsia="Times New Roman" w:hAnsi="Times New Roman" w:cs="Times New Roman"/>
          <w:bCs/>
          <w:sz w:val="28"/>
          <w:szCs w:val="28"/>
          <w:lang w:eastAsia="ru-RU"/>
        </w:rPr>
        <w:t> –</w:t>
      </w:r>
      <w:r w:rsidRPr="00E47AA9">
        <w:rPr>
          <w:rFonts w:ascii="Times New Roman" w:eastAsia="Times New Roman" w:hAnsi="Times New Roman" w:cs="Times New Roman"/>
          <w:bCs/>
          <w:sz w:val="28"/>
          <w:szCs w:val="28"/>
          <w:lang w:eastAsia="ru-RU"/>
        </w:rPr>
        <w:t>1721,25</w:t>
      </w:r>
      <w:r w:rsidR="00C03919" w:rsidRPr="00E47AA9">
        <w:rPr>
          <w:rFonts w:ascii="Times New Roman" w:eastAsia="Times New Roman" w:hAnsi="Times New Roman" w:cs="Times New Roman"/>
          <w:bCs/>
          <w:sz w:val="28"/>
          <w:szCs w:val="28"/>
          <w:lang w:eastAsia="ru-RU"/>
        </w:rPr>
        <w:t> </w:t>
      </w:r>
      <w:r w:rsidRPr="00E47AA9">
        <w:rPr>
          <w:rFonts w:ascii="Times New Roman" w:eastAsia="Times New Roman" w:hAnsi="Times New Roman" w:cs="Times New Roman"/>
          <w:bCs/>
          <w:sz w:val="28"/>
          <w:szCs w:val="28"/>
          <w:lang w:eastAsia="ru-RU"/>
        </w:rPr>
        <w:t>млн рублей), из них 1697,27 млн рублей – на обеспечение деятельности подведомственных центров содействия семейному устройству детей</w:t>
      </w:r>
      <w:r w:rsidR="00C03919" w:rsidRPr="00E47AA9">
        <w:rPr>
          <w:rFonts w:ascii="Times New Roman" w:eastAsia="Times New Roman" w:hAnsi="Times New Roman" w:cs="Times New Roman"/>
          <w:bCs/>
          <w:sz w:val="28"/>
          <w:szCs w:val="28"/>
          <w:lang w:eastAsia="ru-RU"/>
        </w:rPr>
        <w:t>-</w:t>
      </w:r>
      <w:r w:rsidRPr="00E47AA9">
        <w:rPr>
          <w:rFonts w:ascii="Times New Roman" w:eastAsia="Times New Roman" w:hAnsi="Times New Roman" w:cs="Times New Roman"/>
          <w:bCs/>
          <w:sz w:val="28"/>
          <w:szCs w:val="28"/>
          <w:lang w:eastAsia="ru-RU"/>
        </w:rPr>
        <w:t xml:space="preserve">сирот и детей, оставшихся без попечения родителей, </w:t>
      </w:r>
      <w:r w:rsidRPr="00E47AA9">
        <w:rPr>
          <w:rFonts w:ascii="Times New Roman" w:eastAsia="Times New Roman" w:hAnsi="Times New Roman" w:cs="Times New Roman"/>
          <w:sz w:val="28"/>
          <w:szCs w:val="28"/>
          <w:lang w:eastAsia="ru-RU"/>
        </w:rPr>
        <w:t>из них:</w:t>
      </w:r>
    </w:p>
    <w:p w14:paraId="31AC084C" w14:textId="5C01640B" w:rsidR="008566E1" w:rsidRPr="00E47AA9" w:rsidRDefault="008566E1" w:rsidP="008566E1">
      <w:pPr>
        <w:spacing w:after="0" w:line="240" w:lineRule="auto"/>
        <w:ind w:firstLine="709"/>
        <w:jc w:val="both"/>
        <w:rPr>
          <w:rFonts w:ascii="Times New Roman" w:eastAsia="Calibri" w:hAnsi="Times New Roman" w:cs="Times New Roman"/>
          <w:sz w:val="28"/>
          <w:szCs w:val="28"/>
          <w:lang w:eastAsia="ru-RU"/>
        </w:rPr>
      </w:pPr>
      <w:r w:rsidRPr="00E47AA9">
        <w:rPr>
          <w:rFonts w:ascii="Times New Roman" w:eastAsia="Times New Roman" w:hAnsi="Times New Roman" w:cs="Times New Roman"/>
          <w:sz w:val="28"/>
          <w:szCs w:val="28"/>
          <w:lang w:eastAsia="ru-RU"/>
        </w:rPr>
        <w:t>на выплаты персоналу – 1321,86 млн рублей, или на 99,06 % (1334,43 млн рублей). С</w:t>
      </w:r>
      <w:r w:rsidRPr="00E47AA9">
        <w:rPr>
          <w:rFonts w:ascii="Times New Roman" w:eastAsia="Times New Roman" w:hAnsi="Times New Roman" w:cs="Times New Roman"/>
          <w:sz w:val="28"/>
          <w:szCs w:val="24"/>
          <w:lang w:eastAsia="ru-RU"/>
        </w:rPr>
        <w:t xml:space="preserve">редняя заработная плата </w:t>
      </w:r>
      <w:r w:rsidRPr="00E47AA9">
        <w:rPr>
          <w:rFonts w:ascii="Times New Roman" w:eastAsia="Times New Roman" w:hAnsi="Times New Roman" w:cs="Times New Roman"/>
          <w:sz w:val="28"/>
          <w:szCs w:val="28"/>
          <w:lang w:eastAsia="ru-RU"/>
        </w:rPr>
        <w:t xml:space="preserve">педагогических работников, </w:t>
      </w:r>
      <w:r w:rsidRPr="00E47AA9">
        <w:rPr>
          <w:rFonts w:ascii="Times New Roman" w:eastAsia="Times New Roman" w:hAnsi="Times New Roman" w:cs="Times New Roman"/>
          <w:sz w:val="28"/>
          <w:szCs w:val="28"/>
          <w:lang w:eastAsia="ru-RU"/>
        </w:rPr>
        <w:lastRenderedPageBreak/>
        <w:t>оказывающих социальные услуги детям-сиротам и детям, оставшимся без попечения родителей,</w:t>
      </w:r>
      <w:r w:rsidRPr="00E47AA9">
        <w:rPr>
          <w:rFonts w:ascii="Times New Roman" w:eastAsia="Times New Roman" w:hAnsi="Times New Roman" w:cs="Times New Roman"/>
          <w:sz w:val="28"/>
          <w:szCs w:val="24"/>
          <w:lang w:eastAsia="ru-RU"/>
        </w:rPr>
        <w:t xml:space="preserve"> </w:t>
      </w:r>
      <w:r w:rsidRPr="00E47AA9">
        <w:rPr>
          <w:rFonts w:ascii="Times New Roman" w:eastAsia="Times New Roman" w:hAnsi="Times New Roman" w:cs="Times New Roman"/>
          <w:sz w:val="28"/>
          <w:szCs w:val="28"/>
          <w:lang w:eastAsia="ru-RU"/>
        </w:rPr>
        <w:t>в 2024 году составила 77122,8</w:t>
      </w:r>
      <w:r w:rsidR="00692144" w:rsidRPr="00E47AA9">
        <w:rPr>
          <w:rFonts w:ascii="Times New Roman" w:eastAsia="Times New Roman" w:hAnsi="Times New Roman" w:cs="Times New Roman"/>
          <w:sz w:val="28"/>
          <w:szCs w:val="28"/>
          <w:lang w:eastAsia="ru-RU"/>
        </w:rPr>
        <w:t>0</w:t>
      </w:r>
      <w:r w:rsidRPr="00E47AA9">
        <w:rPr>
          <w:rFonts w:ascii="Times New Roman" w:eastAsia="Times New Roman" w:hAnsi="Times New Roman" w:cs="Times New Roman"/>
          <w:sz w:val="28"/>
          <w:szCs w:val="28"/>
          <w:lang w:eastAsia="ru-RU"/>
        </w:rPr>
        <w:t> рублей, или 114,27 % от среднемесячного дохода от трудовой деятельности (67492,8 рублей);</w:t>
      </w:r>
    </w:p>
    <w:p w14:paraId="2FC728F9"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закупку товаров, работ и услуг для обеспечения государственных и муниципальных нужд – 366,12 млн рублей, или 97,56 % (375,15 млн рублей);</w:t>
      </w:r>
    </w:p>
    <w:p w14:paraId="067B9860" w14:textId="77777777" w:rsidR="008566E1" w:rsidRPr="00E47AA9" w:rsidRDefault="008566E1" w:rsidP="008566E1">
      <w:pPr>
        <w:spacing w:after="0" w:line="240" w:lineRule="auto"/>
        <w:ind w:firstLine="709"/>
        <w:contextualSpacing/>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sz w:val="28"/>
          <w:szCs w:val="28"/>
          <w:lang w:eastAsia="ru-RU"/>
        </w:rPr>
        <w:t>на социальное обеспечение и иные выплаты населению – 1,69 млн рублей, или 79,08 % (2,13 млн рублей). В соответствии с постановлением администрации Приморского края с 01.01.2024 предусмотрены</w:t>
      </w:r>
      <w:r w:rsidRPr="00E47AA9">
        <w:rPr>
          <w:rStyle w:val="a8"/>
          <w:rFonts w:ascii="Times New Roman" w:hAnsi="Times New Roman"/>
          <w:sz w:val="28"/>
          <w:szCs w:val="28"/>
          <w:lang w:eastAsia="ru-RU"/>
        </w:rPr>
        <w:footnoteReference w:id="37"/>
      </w:r>
      <w:r w:rsidRPr="00E47AA9">
        <w:rPr>
          <w:rFonts w:ascii="Times New Roman" w:eastAsia="Times New Roman" w:hAnsi="Times New Roman" w:cs="Times New Roman"/>
          <w:sz w:val="28"/>
          <w:szCs w:val="28"/>
          <w:lang w:eastAsia="ru-RU"/>
        </w:rPr>
        <w:t xml:space="preserve">: денежная компенсация взамен одежды, обуви, мягкого инвентаря и оборудования в сумме 52338 рублей, единовременное денежное пособие в сумме 2296 рублей. </w:t>
      </w:r>
    </w:p>
    <w:p w14:paraId="4E914C07" w14:textId="77777777" w:rsidR="008566E1" w:rsidRPr="00E47AA9" w:rsidRDefault="008566E1" w:rsidP="008566E1">
      <w:pPr>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 xml:space="preserve">В 2024 году ГКУ "Центр содействия семейному устройству детей-сирот и детей, оставшихся без попечения родителей, село </w:t>
      </w:r>
      <w:proofErr w:type="spellStart"/>
      <w:r w:rsidRPr="00E47AA9">
        <w:rPr>
          <w:rFonts w:ascii="Times New Roman" w:eastAsia="Times New Roman" w:hAnsi="Times New Roman" w:cs="Times New Roman"/>
          <w:bCs/>
          <w:sz w:val="28"/>
          <w:szCs w:val="28"/>
          <w:lang w:eastAsia="ru-RU"/>
        </w:rPr>
        <w:t>Сержантово</w:t>
      </w:r>
      <w:proofErr w:type="spellEnd"/>
      <w:r w:rsidRPr="00E47AA9">
        <w:rPr>
          <w:rFonts w:ascii="Times New Roman" w:eastAsia="Times New Roman" w:hAnsi="Times New Roman" w:cs="Times New Roman"/>
          <w:bCs/>
          <w:sz w:val="28"/>
          <w:szCs w:val="28"/>
          <w:lang w:eastAsia="ru-RU"/>
        </w:rPr>
        <w:t>" выигран конкурс лучших проектов для детей и молодежи "Конкурс первичных отделений Движения Первых".  Денежная премия в сумме 0,30 млн рублей использована на нужды учреждения в полном объеме (палатки универсальные, спальные мешки, коврики, столы).</w:t>
      </w:r>
    </w:p>
    <w:p w14:paraId="371E8861"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hAnsi="Times New Roman" w:cs="Times New Roman"/>
          <w:b/>
          <w:sz w:val="28"/>
          <w:szCs w:val="20"/>
        </w:rPr>
      </w:pPr>
      <w:r w:rsidRPr="00E47AA9">
        <w:rPr>
          <w:rFonts w:ascii="Times New Roman" w:hAnsi="Times New Roman" w:cs="Times New Roman"/>
          <w:b/>
          <w:sz w:val="28"/>
          <w:szCs w:val="20"/>
        </w:rPr>
        <w:t xml:space="preserve">Подпрограмма "Доступная среда" </w:t>
      </w:r>
    </w:p>
    <w:p w14:paraId="2962B0EE" w14:textId="77777777" w:rsidR="008566E1" w:rsidRPr="00E47AA9" w:rsidRDefault="008566E1" w:rsidP="008566E1">
      <w:pPr>
        <w:autoSpaceDE w:val="0"/>
        <w:autoSpaceDN w:val="0"/>
        <w:adjustRightInd w:val="0"/>
        <w:spacing w:after="0" w:line="240" w:lineRule="auto"/>
        <w:ind w:firstLine="708"/>
        <w:jc w:val="both"/>
        <w:rPr>
          <w:rFonts w:ascii="Times New Roman" w:hAnsi="Times New Roman" w:cs="Times New Roman"/>
          <w:sz w:val="28"/>
          <w:szCs w:val="20"/>
        </w:rPr>
      </w:pPr>
      <w:r w:rsidRPr="00E47AA9">
        <w:rPr>
          <w:rFonts w:ascii="Times New Roman" w:hAnsi="Times New Roman" w:cs="Times New Roman"/>
          <w:sz w:val="28"/>
          <w:szCs w:val="20"/>
        </w:rPr>
        <w:t xml:space="preserve">В рамках подпрограммы исполнение отдельных </w:t>
      </w:r>
      <w:r w:rsidRPr="00E47AA9">
        <w:rPr>
          <w:rFonts w:ascii="Times New Roman" w:hAnsi="Times New Roman" w:cs="Times New Roman"/>
          <w:bCs/>
          <w:i/>
          <w:sz w:val="28"/>
          <w:szCs w:val="20"/>
        </w:rPr>
        <w:t>комплексов процессных мероприятий</w:t>
      </w:r>
      <w:r w:rsidRPr="00E47AA9">
        <w:rPr>
          <w:rFonts w:ascii="Times New Roman" w:hAnsi="Times New Roman" w:cs="Times New Roman"/>
          <w:bCs/>
          <w:sz w:val="28"/>
          <w:szCs w:val="20"/>
        </w:rPr>
        <w:t xml:space="preserve"> </w:t>
      </w:r>
      <w:r w:rsidRPr="00E47AA9">
        <w:rPr>
          <w:rFonts w:ascii="Times New Roman" w:hAnsi="Times New Roman" w:cs="Times New Roman"/>
          <w:sz w:val="28"/>
          <w:szCs w:val="20"/>
        </w:rPr>
        <w:t>сложилось следующим образом:</w:t>
      </w:r>
    </w:p>
    <w:p w14:paraId="4A2A5D12" w14:textId="34ED0181" w:rsidR="008566E1" w:rsidRPr="00E47AA9" w:rsidRDefault="008566E1" w:rsidP="008566E1">
      <w:pPr>
        <w:autoSpaceDE w:val="0"/>
        <w:autoSpaceDN w:val="0"/>
        <w:adjustRightInd w:val="0"/>
        <w:spacing w:after="0" w:line="240" w:lineRule="auto"/>
        <w:ind w:firstLine="708"/>
        <w:jc w:val="both"/>
        <w:rPr>
          <w:rFonts w:ascii="Times New Roman" w:hAnsi="Times New Roman" w:cs="Times New Roman"/>
          <w:sz w:val="28"/>
          <w:szCs w:val="20"/>
        </w:rPr>
      </w:pPr>
      <w:r w:rsidRPr="00E47AA9">
        <w:rPr>
          <w:rFonts w:ascii="Times New Roman" w:hAnsi="Times New Roman" w:cs="Times New Roman"/>
          <w:i/>
          <w:sz w:val="28"/>
          <w:szCs w:val="20"/>
        </w:rPr>
        <w:t>КПМ "Мероприятия по адаптации объектов социальной, транспортной, инженерной инфраструктуры, в том числе приоритетных объектов в приоритетных сферах жизнедеятельности инвалидов, для обеспечения доступности и получения услуг инвалидами и другими маломобильными группами населения"</w:t>
      </w:r>
      <w:r w:rsidRPr="00E47AA9">
        <w:rPr>
          <w:rFonts w:ascii="Times New Roman" w:hAnsi="Times New Roman" w:cs="Times New Roman"/>
          <w:sz w:val="28"/>
          <w:szCs w:val="20"/>
        </w:rPr>
        <w:t xml:space="preserve"> – 46,87 млн рублей, или 99,75 % от плана 46,99 млн рублей, из них </w:t>
      </w:r>
      <w:r w:rsidRPr="00E47AA9">
        <w:rPr>
          <w:rFonts w:ascii="Times New Roman" w:hAnsi="Times New Roman" w:cs="Times New Roman"/>
          <w:sz w:val="28"/>
          <w:szCs w:val="20"/>
          <w:u w:val="single"/>
        </w:rPr>
        <w:t xml:space="preserve">министерством труда и социальной политики Приморского края </w:t>
      </w:r>
      <w:r w:rsidRPr="00E47AA9">
        <w:rPr>
          <w:rFonts w:ascii="Times New Roman" w:hAnsi="Times New Roman" w:cs="Times New Roman"/>
          <w:sz w:val="28"/>
          <w:szCs w:val="20"/>
        </w:rPr>
        <w:t xml:space="preserve">– 46,00 млн рублей, или 99,74 % от плана 46,12 млн рублей, из них в сумме 43,42 млн рублей, или 99,73 % (план </w:t>
      </w:r>
      <w:r w:rsidR="00576C74" w:rsidRPr="00E47AA9">
        <w:rPr>
          <w:rFonts w:ascii="Times New Roman" w:hAnsi="Times New Roman" w:cs="Times New Roman"/>
          <w:sz w:val="28"/>
          <w:szCs w:val="20"/>
        </w:rPr>
        <w:t xml:space="preserve">– </w:t>
      </w:r>
      <w:r w:rsidRPr="00E47AA9">
        <w:rPr>
          <w:rFonts w:ascii="Times New Roman" w:hAnsi="Times New Roman" w:cs="Times New Roman"/>
          <w:sz w:val="28"/>
          <w:szCs w:val="20"/>
        </w:rPr>
        <w:t>43,54 млн рублей) по заявлениям 226 граждан предоставлены дополнительные мер</w:t>
      </w:r>
      <w:r w:rsidR="008A0932" w:rsidRPr="00E47AA9">
        <w:rPr>
          <w:rFonts w:ascii="Times New Roman" w:hAnsi="Times New Roman" w:cs="Times New Roman"/>
          <w:sz w:val="28"/>
          <w:szCs w:val="20"/>
        </w:rPr>
        <w:t>ы</w:t>
      </w:r>
      <w:r w:rsidRPr="00E47AA9">
        <w:rPr>
          <w:rFonts w:ascii="Times New Roman" w:hAnsi="Times New Roman" w:cs="Times New Roman"/>
          <w:sz w:val="28"/>
          <w:szCs w:val="20"/>
        </w:rPr>
        <w:t xml:space="preserve"> социальной поддержки отдельным категориям инвалидов (детей</w:t>
      </w:r>
      <w:r w:rsidR="008A0932" w:rsidRPr="00E47AA9">
        <w:rPr>
          <w:rFonts w:ascii="Times New Roman" w:hAnsi="Times New Roman" w:cs="Times New Roman"/>
          <w:sz w:val="28"/>
          <w:szCs w:val="20"/>
        </w:rPr>
        <w:t>-</w:t>
      </w:r>
      <w:r w:rsidRPr="00E47AA9">
        <w:rPr>
          <w:rFonts w:ascii="Times New Roman" w:hAnsi="Times New Roman" w:cs="Times New Roman"/>
          <w:sz w:val="28"/>
          <w:szCs w:val="20"/>
        </w:rPr>
        <w:t xml:space="preserve">инвалидов) по приспособлению жилых помещений с учетом их потребностей и созданию условий индивидуальной мобильности. </w:t>
      </w:r>
    </w:p>
    <w:p w14:paraId="564167BC" w14:textId="77777777" w:rsidR="008566E1" w:rsidRPr="00E47AA9" w:rsidRDefault="008566E1" w:rsidP="008566E1">
      <w:pPr>
        <w:widowControl w:val="0"/>
        <w:tabs>
          <w:tab w:val="left" w:pos="1134"/>
        </w:tabs>
        <w:spacing w:after="0" w:line="240" w:lineRule="auto"/>
        <w:ind w:firstLine="709"/>
        <w:contextualSpacing/>
        <w:jc w:val="both"/>
        <w:rPr>
          <w:rFonts w:ascii="Times New Roman" w:hAnsi="Times New Roman" w:cs="Times New Roman"/>
          <w:sz w:val="28"/>
          <w:szCs w:val="20"/>
        </w:rPr>
      </w:pPr>
      <w:r w:rsidRPr="00E47AA9">
        <w:rPr>
          <w:rFonts w:ascii="Times New Roman" w:hAnsi="Times New Roman" w:cs="Times New Roman"/>
          <w:sz w:val="28"/>
          <w:szCs w:val="20"/>
        </w:rPr>
        <w:t>В полном объеме плановых назначений предоставлены субсидии на иные цели в сумме 2,42 млн рублей и направлены на выполнение мероприятий по повышению доступности на объектах КГБУСО "</w:t>
      </w:r>
      <w:proofErr w:type="spellStart"/>
      <w:r w:rsidRPr="00E47AA9">
        <w:rPr>
          <w:rFonts w:ascii="Times New Roman" w:hAnsi="Times New Roman" w:cs="Times New Roman"/>
          <w:sz w:val="28"/>
          <w:szCs w:val="20"/>
        </w:rPr>
        <w:t>Седанкинский</w:t>
      </w:r>
      <w:proofErr w:type="spellEnd"/>
      <w:r w:rsidRPr="00E47AA9">
        <w:rPr>
          <w:rFonts w:ascii="Times New Roman" w:hAnsi="Times New Roman" w:cs="Times New Roman"/>
          <w:sz w:val="28"/>
          <w:szCs w:val="20"/>
        </w:rPr>
        <w:t xml:space="preserve"> дом-интернат для престарелых и инвалидов" (приобретение систем вызова персонала в жилые помещения, в том числе: в жилые помещения корпуса лежачих больных, установка на раковинах в туалетных комнатах смесителей с совмещенным управлением подачей горячей и холодной воды (локтевых или сенсорных); КГБУСО "</w:t>
      </w:r>
      <w:proofErr w:type="spellStart"/>
      <w:r w:rsidRPr="00E47AA9">
        <w:rPr>
          <w:rFonts w:ascii="Times New Roman" w:hAnsi="Times New Roman" w:cs="Times New Roman"/>
          <w:sz w:val="28"/>
          <w:szCs w:val="20"/>
        </w:rPr>
        <w:t>Арсеньевский</w:t>
      </w:r>
      <w:proofErr w:type="spellEnd"/>
      <w:r w:rsidRPr="00E47AA9">
        <w:rPr>
          <w:rFonts w:ascii="Times New Roman" w:hAnsi="Times New Roman" w:cs="Times New Roman"/>
          <w:sz w:val="28"/>
          <w:szCs w:val="20"/>
        </w:rPr>
        <w:t xml:space="preserve"> психоневрологический интернат" (установка кнопки вызова персонала в жилые помещения, установка поручней, установка крючков для тростей и костылей, приобретение схемы </w:t>
      </w:r>
      <w:r w:rsidRPr="00E47AA9">
        <w:rPr>
          <w:rFonts w:ascii="Times New Roman" w:hAnsi="Times New Roman" w:cs="Times New Roman"/>
          <w:sz w:val="28"/>
          <w:szCs w:val="20"/>
        </w:rPr>
        <w:lastRenderedPageBreak/>
        <w:t>движения с установкой); КГБУСО "Партизанский психоневрологический интернат" (приобретение мнемосхемы помещений, кнопки вызова персонала, тактильной плитки); КГАУСО "</w:t>
      </w:r>
      <w:proofErr w:type="spellStart"/>
      <w:r w:rsidRPr="00E47AA9">
        <w:rPr>
          <w:rFonts w:ascii="Times New Roman" w:hAnsi="Times New Roman" w:cs="Times New Roman"/>
          <w:sz w:val="28"/>
          <w:szCs w:val="20"/>
        </w:rPr>
        <w:t>Арсеньевский</w:t>
      </w:r>
      <w:proofErr w:type="spellEnd"/>
      <w:r w:rsidRPr="00E47AA9">
        <w:rPr>
          <w:rFonts w:ascii="Times New Roman" w:hAnsi="Times New Roman" w:cs="Times New Roman"/>
          <w:sz w:val="28"/>
          <w:szCs w:val="20"/>
        </w:rPr>
        <w:t xml:space="preserve"> социально-реабилитационный центр "Ласточка" (установка наклонного подъемника для инвалидов (уличного).</w:t>
      </w:r>
    </w:p>
    <w:p w14:paraId="26357C3A" w14:textId="77777777" w:rsidR="008566E1" w:rsidRPr="00E47AA9" w:rsidRDefault="008566E1" w:rsidP="008566E1">
      <w:pPr>
        <w:widowControl w:val="0"/>
        <w:tabs>
          <w:tab w:val="left" w:pos="1134"/>
        </w:tabs>
        <w:spacing w:after="0" w:line="240" w:lineRule="auto"/>
        <w:ind w:firstLine="709"/>
        <w:contextualSpacing/>
        <w:jc w:val="both"/>
        <w:rPr>
          <w:rFonts w:ascii="Times New Roman" w:eastAsia="Calibri" w:hAnsi="Times New Roman" w:cs="Times New Roman"/>
          <w:sz w:val="28"/>
          <w:szCs w:val="28"/>
        </w:rPr>
      </w:pPr>
      <w:r w:rsidRPr="00E47AA9">
        <w:rPr>
          <w:rFonts w:ascii="Times New Roman" w:hAnsi="Times New Roman" w:cs="Times New Roman"/>
          <w:sz w:val="28"/>
          <w:szCs w:val="20"/>
        </w:rPr>
        <w:t xml:space="preserve">В полном объеме плановых назначений </w:t>
      </w:r>
      <w:r w:rsidRPr="00E47AA9">
        <w:rPr>
          <w:rFonts w:ascii="Times New Roman" w:hAnsi="Times New Roman" w:cs="Times New Roman"/>
          <w:sz w:val="28"/>
          <w:szCs w:val="20"/>
          <w:u w:val="single"/>
        </w:rPr>
        <w:t>министерством здравоохранения Приморского края</w:t>
      </w:r>
      <w:r w:rsidRPr="00E47AA9">
        <w:rPr>
          <w:rFonts w:ascii="Times New Roman" w:hAnsi="Times New Roman" w:cs="Times New Roman"/>
          <w:sz w:val="28"/>
          <w:szCs w:val="20"/>
        </w:rPr>
        <w:t xml:space="preserve"> (0,40 млн рублей) и </w:t>
      </w:r>
      <w:r w:rsidRPr="00E47AA9">
        <w:rPr>
          <w:rFonts w:ascii="Times New Roman" w:hAnsi="Times New Roman" w:cs="Times New Roman"/>
          <w:sz w:val="28"/>
          <w:szCs w:val="20"/>
          <w:u w:val="single"/>
        </w:rPr>
        <w:t>министерством профессионального образования и занятости населения Приморского края</w:t>
      </w:r>
      <w:r w:rsidRPr="00E47AA9">
        <w:rPr>
          <w:rFonts w:ascii="Times New Roman" w:hAnsi="Times New Roman" w:cs="Times New Roman"/>
          <w:sz w:val="28"/>
          <w:szCs w:val="20"/>
        </w:rPr>
        <w:t xml:space="preserve"> (0,47 млн рублей) осуществлены расходы </w:t>
      </w:r>
      <w:r w:rsidRPr="00E47AA9">
        <w:rPr>
          <w:rFonts w:ascii="Times New Roman" w:eastAsia="Calibri" w:hAnsi="Times New Roman" w:cs="Times New Roman"/>
          <w:sz w:val="28"/>
          <w:szCs w:val="28"/>
          <w:lang w:val="x-none"/>
        </w:rPr>
        <w:t xml:space="preserve">в целях проведения мероприятий по повышению доступности </w:t>
      </w:r>
      <w:r w:rsidRPr="00E47AA9">
        <w:rPr>
          <w:rFonts w:ascii="Times New Roman" w:eastAsia="Calibri" w:hAnsi="Times New Roman" w:cs="Times New Roman"/>
          <w:sz w:val="28"/>
          <w:szCs w:val="28"/>
        </w:rPr>
        <w:t xml:space="preserve">для инвалидов и других маломобильных групп населения </w:t>
      </w:r>
      <w:r w:rsidRPr="00E47AA9">
        <w:rPr>
          <w:rFonts w:ascii="Times New Roman" w:eastAsia="Calibri" w:hAnsi="Times New Roman" w:cs="Times New Roman"/>
          <w:sz w:val="28"/>
          <w:szCs w:val="28"/>
          <w:lang w:val="x-none"/>
        </w:rPr>
        <w:t>лечебн</w:t>
      </w:r>
      <w:r w:rsidRPr="00E47AA9">
        <w:rPr>
          <w:rFonts w:ascii="Times New Roman" w:eastAsia="Calibri" w:hAnsi="Times New Roman" w:cs="Times New Roman"/>
          <w:sz w:val="28"/>
          <w:szCs w:val="28"/>
        </w:rPr>
        <w:t>ых</w:t>
      </w:r>
      <w:r w:rsidRPr="00E47AA9">
        <w:rPr>
          <w:rFonts w:ascii="Times New Roman" w:eastAsia="Calibri" w:hAnsi="Times New Roman" w:cs="Times New Roman"/>
          <w:sz w:val="28"/>
          <w:szCs w:val="28"/>
          <w:lang w:val="x-none"/>
        </w:rPr>
        <w:t xml:space="preserve"> корпус</w:t>
      </w:r>
      <w:r w:rsidRPr="00E47AA9">
        <w:rPr>
          <w:rFonts w:ascii="Times New Roman" w:eastAsia="Calibri" w:hAnsi="Times New Roman" w:cs="Times New Roman"/>
          <w:sz w:val="28"/>
          <w:szCs w:val="28"/>
        </w:rPr>
        <w:t>ов</w:t>
      </w:r>
      <w:r w:rsidRPr="00E47AA9">
        <w:rPr>
          <w:rFonts w:ascii="Times New Roman" w:eastAsia="Calibri" w:hAnsi="Times New Roman" w:cs="Times New Roman"/>
          <w:sz w:val="28"/>
          <w:szCs w:val="28"/>
          <w:lang w:val="x-none"/>
        </w:rPr>
        <w:t xml:space="preserve"> № 2</w:t>
      </w:r>
      <w:r w:rsidRPr="00E47AA9">
        <w:rPr>
          <w:rFonts w:ascii="Times New Roman" w:eastAsia="Calibri" w:hAnsi="Times New Roman" w:cs="Times New Roman"/>
          <w:sz w:val="28"/>
          <w:szCs w:val="28"/>
        </w:rPr>
        <w:t>-7</w:t>
      </w:r>
      <w:r w:rsidRPr="00E47AA9">
        <w:rPr>
          <w:rFonts w:ascii="Times New Roman" w:eastAsia="Calibri" w:hAnsi="Times New Roman" w:cs="Times New Roman"/>
          <w:sz w:val="28"/>
          <w:szCs w:val="28"/>
          <w:lang w:val="x-none"/>
        </w:rPr>
        <w:t xml:space="preserve"> структурного подразделения</w:t>
      </w:r>
      <w:r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lang w:val="x-none"/>
        </w:rPr>
        <w:t xml:space="preserve">ГБУЗ </w:t>
      </w:r>
      <w:r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lang w:val="x-none"/>
        </w:rPr>
        <w:t>Краевая психиатрическая больница № 1</w:t>
      </w:r>
      <w:r w:rsidRPr="00E47AA9">
        <w:rPr>
          <w:rFonts w:ascii="Times New Roman" w:eastAsia="Calibri" w:hAnsi="Times New Roman" w:cs="Times New Roman"/>
          <w:sz w:val="28"/>
          <w:szCs w:val="28"/>
        </w:rPr>
        <w:t>" (установлены пандусы) и отделений КГКУ "Приморский центр занятости населения" (приобретены индукционная петля, кнопка вызова помощника с обратной связью на вход, контрастная лента для маркировки дверных проемов, вывеска с использованием шрифта Брайля, самоклеящаяся резиновая полоса против скольжения, пиктограмма, знаки доступности для инвалидов, кресла для инвалидов);</w:t>
      </w:r>
    </w:p>
    <w:p w14:paraId="6CEB8A3E" w14:textId="77777777" w:rsidR="008566E1" w:rsidRPr="00E47AA9" w:rsidRDefault="008566E1" w:rsidP="008566E1">
      <w:pPr>
        <w:autoSpaceDE w:val="0"/>
        <w:autoSpaceDN w:val="0"/>
        <w:adjustRightInd w:val="0"/>
        <w:spacing w:after="0" w:line="240" w:lineRule="auto"/>
        <w:ind w:firstLine="708"/>
        <w:jc w:val="both"/>
        <w:rPr>
          <w:rFonts w:ascii="Times New Roman" w:hAnsi="Times New Roman" w:cs="Times New Roman"/>
          <w:sz w:val="28"/>
          <w:szCs w:val="20"/>
        </w:rPr>
      </w:pPr>
      <w:r w:rsidRPr="00E47AA9">
        <w:rPr>
          <w:rFonts w:ascii="Times New Roman" w:hAnsi="Times New Roman" w:cs="Times New Roman"/>
          <w:i/>
          <w:sz w:val="28"/>
          <w:szCs w:val="20"/>
        </w:rPr>
        <w:t>КПМ "Организация альтернативного формата предоставления услуг маломобильным группам населения"</w:t>
      </w:r>
      <w:r w:rsidRPr="00E47AA9">
        <w:rPr>
          <w:rFonts w:ascii="Times New Roman" w:hAnsi="Times New Roman" w:cs="Times New Roman"/>
          <w:sz w:val="28"/>
          <w:szCs w:val="20"/>
        </w:rPr>
        <w:t xml:space="preserve"> – 10,74 млн рублей (в полном объеме плановых назначений).</w:t>
      </w:r>
      <w:r w:rsidRPr="00E47AA9">
        <w:rPr>
          <w:rFonts w:ascii="Times New Roman" w:hAnsi="Times New Roman" w:cs="Times New Roman"/>
        </w:rPr>
        <w:t xml:space="preserve"> </w:t>
      </w:r>
      <w:r w:rsidRPr="00E47AA9">
        <w:rPr>
          <w:rFonts w:ascii="Times New Roman" w:hAnsi="Times New Roman" w:cs="Times New Roman"/>
          <w:sz w:val="28"/>
          <w:szCs w:val="28"/>
          <w:u w:val="single"/>
        </w:rPr>
        <w:t>Министерством образования Приморского края</w:t>
      </w:r>
      <w:r w:rsidRPr="00E47AA9">
        <w:rPr>
          <w:rFonts w:ascii="Times New Roman" w:hAnsi="Times New Roman" w:cs="Times New Roman"/>
          <w:sz w:val="28"/>
          <w:szCs w:val="28"/>
        </w:rPr>
        <w:t xml:space="preserve"> субсидии</w:t>
      </w:r>
      <w:r w:rsidRPr="00E47AA9">
        <w:rPr>
          <w:rFonts w:ascii="Times New Roman" w:hAnsi="Times New Roman" w:cs="Times New Roman"/>
          <w:sz w:val="28"/>
          <w:szCs w:val="20"/>
        </w:rPr>
        <w:t xml:space="preserve"> на иные цели направлены КГОБУ "Коррекционная школа-интернат III-IV видов" на обеспечение дистанционного образования детей-инвалидов и детей с ограниченными возможностями здоровья. В ресурсном центре дистанционного образования обучается 118 детей-инвалидов, находящихся на индивидуальном обучении на дому;</w:t>
      </w:r>
    </w:p>
    <w:p w14:paraId="2323702D"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4"/>
          <w:lang w:eastAsia="ru-RU"/>
        </w:rPr>
      </w:pPr>
      <w:r w:rsidRPr="00E47AA9">
        <w:rPr>
          <w:rFonts w:ascii="Times New Roman" w:eastAsia="Times New Roman" w:hAnsi="Times New Roman" w:cs="Times New Roman"/>
          <w:i/>
          <w:sz w:val="28"/>
          <w:szCs w:val="24"/>
          <w:lang w:eastAsia="ru-RU"/>
        </w:rPr>
        <w:t>КПМ "Мероприятия, направленные на повышение доступности и качества реабилитационных услуг для инвалидов и детей-инвалидов"</w:t>
      </w:r>
      <w:r w:rsidRPr="00E47AA9">
        <w:rPr>
          <w:rFonts w:ascii="Times New Roman" w:eastAsia="Times New Roman" w:hAnsi="Times New Roman" w:cs="Times New Roman"/>
          <w:sz w:val="28"/>
          <w:szCs w:val="24"/>
          <w:lang w:eastAsia="ru-RU"/>
        </w:rPr>
        <w:t xml:space="preserve"> – 15,34 млн рублей (в полном объеме плановых назначений).</w:t>
      </w:r>
    </w:p>
    <w:p w14:paraId="2193275F"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4"/>
          <w:u w:val="single"/>
          <w:lang w:eastAsia="ru-RU"/>
        </w:rPr>
        <w:t>Министерством физической культуры и спорта Приморского края</w:t>
      </w:r>
      <w:r w:rsidRPr="00E47AA9">
        <w:rPr>
          <w:rFonts w:ascii="Times New Roman" w:eastAsia="Times New Roman" w:hAnsi="Times New Roman" w:cs="Times New Roman"/>
          <w:sz w:val="28"/>
          <w:szCs w:val="24"/>
          <w:lang w:eastAsia="ru-RU"/>
        </w:rPr>
        <w:t xml:space="preserve"> направлено на поддержку учреждений спортивной направленности по адаптивной физической культуре и спорту 8,24 млн рублей на </w:t>
      </w:r>
      <w:r w:rsidRPr="00E47AA9">
        <w:rPr>
          <w:rFonts w:ascii="Times New Roman" w:eastAsia="Calibri" w:hAnsi="Times New Roman" w:cs="Times New Roman"/>
          <w:sz w:val="28"/>
          <w:szCs w:val="28"/>
        </w:rPr>
        <w:t>оплату спортивного инвентаря и специализированного оборудования в целях организации занятий физической культурой и спортом инвалидов и лиц с ограниченными возможностями здоровья)</w:t>
      </w:r>
      <w:r w:rsidR="004D312A" w:rsidRPr="00E47AA9">
        <w:rPr>
          <w:rFonts w:ascii="Times New Roman" w:eastAsia="Times New Roman" w:hAnsi="Times New Roman" w:cs="Times New Roman"/>
          <w:sz w:val="28"/>
          <w:szCs w:val="24"/>
          <w:lang w:eastAsia="ru-RU"/>
        </w:rPr>
        <w:t>, а также на субсидии</w:t>
      </w:r>
      <w:r w:rsidRPr="00E47AA9">
        <w:rPr>
          <w:rFonts w:ascii="Times New Roman" w:eastAsia="Times New Roman" w:hAnsi="Times New Roman" w:cs="Times New Roman"/>
          <w:sz w:val="28"/>
          <w:szCs w:val="24"/>
          <w:lang w:eastAsia="ru-RU"/>
        </w:rPr>
        <w:t xml:space="preserve"> 8 юридическим лицам (за исключением субсидий государственным и муниципальным учреждениям), индивидуальным предпринимателям на возмещение затрат и (или) недополученных доходов, возникающих при обеспечении ими занятий адаптивной физической культурой и спортом инвалидов и лиц с </w:t>
      </w:r>
      <w:r w:rsidRPr="00E47AA9">
        <w:rPr>
          <w:rFonts w:ascii="Times New Roman" w:eastAsia="Times New Roman" w:hAnsi="Times New Roman" w:cs="Times New Roman"/>
          <w:sz w:val="28"/>
          <w:szCs w:val="28"/>
          <w:lang w:eastAsia="ru-RU"/>
        </w:rPr>
        <w:t>ограниченными возможностями здоровья (</w:t>
      </w:r>
      <w:r w:rsidRPr="00E47AA9">
        <w:rPr>
          <w:rFonts w:ascii="Times New Roman" w:eastAsia="Times New Roman" w:hAnsi="Times New Roman" w:cs="Times New Roman"/>
          <w:sz w:val="28"/>
          <w:szCs w:val="24"/>
          <w:lang w:eastAsia="ru-RU"/>
        </w:rPr>
        <w:t>7,10 млн рублей).</w:t>
      </w:r>
    </w:p>
    <w:p w14:paraId="255A23C2" w14:textId="77777777" w:rsidR="008566E1" w:rsidRPr="00E47AA9" w:rsidRDefault="008566E1" w:rsidP="008566E1">
      <w:pPr>
        <w:autoSpaceDE w:val="0"/>
        <w:autoSpaceDN w:val="0"/>
        <w:adjustRightInd w:val="0"/>
        <w:spacing w:after="0" w:line="240" w:lineRule="auto"/>
        <w:ind w:firstLine="708"/>
        <w:jc w:val="both"/>
        <w:rPr>
          <w:rFonts w:ascii="Times New Roman" w:hAnsi="Times New Roman" w:cs="Times New Roman"/>
          <w:b/>
          <w:sz w:val="28"/>
          <w:szCs w:val="20"/>
        </w:rPr>
      </w:pPr>
      <w:r w:rsidRPr="00E47AA9">
        <w:rPr>
          <w:rFonts w:ascii="Times New Roman" w:hAnsi="Times New Roman" w:cs="Times New Roman"/>
          <w:b/>
          <w:sz w:val="28"/>
          <w:szCs w:val="20"/>
        </w:rPr>
        <w:t xml:space="preserve">Подпрограмма "Формирование системы комплексной реабилитации и </w:t>
      </w:r>
      <w:proofErr w:type="spellStart"/>
      <w:r w:rsidRPr="00E47AA9">
        <w:rPr>
          <w:rFonts w:ascii="Times New Roman" w:hAnsi="Times New Roman" w:cs="Times New Roman"/>
          <w:b/>
          <w:sz w:val="28"/>
          <w:szCs w:val="20"/>
        </w:rPr>
        <w:t>абилитации</w:t>
      </w:r>
      <w:proofErr w:type="spellEnd"/>
      <w:r w:rsidRPr="00E47AA9">
        <w:rPr>
          <w:rFonts w:ascii="Times New Roman" w:hAnsi="Times New Roman" w:cs="Times New Roman"/>
          <w:b/>
          <w:sz w:val="28"/>
          <w:szCs w:val="20"/>
        </w:rPr>
        <w:t xml:space="preserve"> инвалидов, в том числе детей-инвалидов, в Приморском крае" </w:t>
      </w:r>
    </w:p>
    <w:p w14:paraId="0E1A7E74" w14:textId="77777777" w:rsidR="008566E1" w:rsidRPr="00E47AA9" w:rsidRDefault="008566E1" w:rsidP="008566E1">
      <w:pPr>
        <w:autoSpaceDE w:val="0"/>
        <w:autoSpaceDN w:val="0"/>
        <w:adjustRightInd w:val="0"/>
        <w:spacing w:after="0" w:line="240" w:lineRule="auto"/>
        <w:ind w:firstLine="708"/>
        <w:jc w:val="both"/>
        <w:rPr>
          <w:rFonts w:ascii="Times New Roman" w:hAnsi="Times New Roman" w:cs="Times New Roman"/>
          <w:sz w:val="28"/>
          <w:szCs w:val="20"/>
        </w:rPr>
      </w:pPr>
      <w:r w:rsidRPr="00E47AA9">
        <w:rPr>
          <w:rFonts w:ascii="Times New Roman" w:hAnsi="Times New Roman" w:cs="Times New Roman"/>
          <w:sz w:val="28"/>
          <w:szCs w:val="20"/>
        </w:rPr>
        <w:t xml:space="preserve">В рамках подпрограммы исполнение </w:t>
      </w:r>
      <w:r w:rsidRPr="00E47AA9">
        <w:rPr>
          <w:rFonts w:ascii="Times New Roman" w:hAnsi="Times New Roman" w:cs="Times New Roman"/>
          <w:bCs/>
          <w:i/>
          <w:sz w:val="28"/>
          <w:szCs w:val="20"/>
        </w:rPr>
        <w:t>комплексов процессных мероприятий</w:t>
      </w:r>
      <w:r w:rsidRPr="00E47AA9">
        <w:rPr>
          <w:rFonts w:ascii="Times New Roman" w:hAnsi="Times New Roman" w:cs="Times New Roman"/>
          <w:sz w:val="28"/>
          <w:szCs w:val="20"/>
        </w:rPr>
        <w:t xml:space="preserve"> сложилось следующим образом:</w:t>
      </w:r>
    </w:p>
    <w:p w14:paraId="2971EBBA" w14:textId="77777777" w:rsidR="008566E1" w:rsidRPr="00E47AA9" w:rsidRDefault="008566E1" w:rsidP="008566E1">
      <w:pPr>
        <w:autoSpaceDE w:val="0"/>
        <w:autoSpaceDN w:val="0"/>
        <w:adjustRightInd w:val="0"/>
        <w:spacing w:after="0" w:line="240" w:lineRule="auto"/>
        <w:ind w:firstLine="708"/>
        <w:jc w:val="both"/>
        <w:rPr>
          <w:rFonts w:ascii="Times New Roman" w:hAnsi="Times New Roman" w:cs="Times New Roman"/>
          <w:sz w:val="28"/>
          <w:szCs w:val="20"/>
        </w:rPr>
      </w:pPr>
      <w:r w:rsidRPr="00E47AA9">
        <w:rPr>
          <w:rFonts w:ascii="Times New Roman" w:hAnsi="Times New Roman" w:cs="Times New Roman"/>
          <w:i/>
          <w:sz w:val="28"/>
          <w:szCs w:val="20"/>
        </w:rPr>
        <w:lastRenderedPageBreak/>
        <w:t xml:space="preserve">КПМ "Формирование условий для развития системы комплексной реабилитации и </w:t>
      </w:r>
      <w:proofErr w:type="spellStart"/>
      <w:r w:rsidRPr="00E47AA9">
        <w:rPr>
          <w:rFonts w:ascii="Times New Roman" w:hAnsi="Times New Roman" w:cs="Times New Roman"/>
          <w:i/>
          <w:sz w:val="28"/>
          <w:szCs w:val="20"/>
        </w:rPr>
        <w:t>абилитации</w:t>
      </w:r>
      <w:proofErr w:type="spellEnd"/>
      <w:r w:rsidRPr="00E47AA9">
        <w:rPr>
          <w:rFonts w:ascii="Times New Roman" w:hAnsi="Times New Roman" w:cs="Times New Roman"/>
          <w:i/>
          <w:sz w:val="28"/>
          <w:szCs w:val="20"/>
        </w:rPr>
        <w:t xml:space="preserve"> инвалидов, в том числе детей-инвалидов, а также ранней помощи, сопровождаемого проживания инвалидов в Приморском крае"</w:t>
      </w:r>
      <w:r w:rsidRPr="00E47AA9">
        <w:rPr>
          <w:rFonts w:ascii="Times New Roman" w:hAnsi="Times New Roman" w:cs="Times New Roman"/>
          <w:sz w:val="28"/>
          <w:szCs w:val="20"/>
        </w:rPr>
        <w:t xml:space="preserve"> – 28,40 млн рублей (в полном объеме плановых назначений), из них</w:t>
      </w:r>
      <w:bookmarkStart w:id="20" w:name="_Hlk194323584"/>
      <w:r w:rsidRPr="00E47AA9">
        <w:rPr>
          <w:rFonts w:ascii="Times New Roman" w:hAnsi="Times New Roman" w:cs="Times New Roman"/>
          <w:sz w:val="28"/>
          <w:szCs w:val="20"/>
        </w:rPr>
        <w:t xml:space="preserve"> </w:t>
      </w:r>
      <w:r w:rsidRPr="00E47AA9">
        <w:rPr>
          <w:rFonts w:ascii="Times New Roman" w:hAnsi="Times New Roman" w:cs="Times New Roman"/>
          <w:sz w:val="28"/>
          <w:szCs w:val="20"/>
          <w:u w:val="single"/>
        </w:rPr>
        <w:t>министерством труда и социальной политики Приморского края</w:t>
      </w:r>
      <w:r w:rsidRPr="00E47AA9">
        <w:rPr>
          <w:rFonts w:ascii="Times New Roman" w:hAnsi="Times New Roman" w:cs="Times New Roman"/>
          <w:sz w:val="28"/>
          <w:szCs w:val="20"/>
        </w:rPr>
        <w:t xml:space="preserve"> </w:t>
      </w:r>
      <w:bookmarkEnd w:id="20"/>
      <w:r w:rsidRPr="00E47AA9">
        <w:rPr>
          <w:rFonts w:ascii="Times New Roman" w:hAnsi="Times New Roman" w:cs="Times New Roman"/>
          <w:sz w:val="28"/>
          <w:szCs w:val="20"/>
        </w:rPr>
        <w:t xml:space="preserve">– 23,87 млн рублей на мероприятия в сфере реабилитации и </w:t>
      </w:r>
      <w:proofErr w:type="spellStart"/>
      <w:r w:rsidRPr="00E47AA9">
        <w:rPr>
          <w:rFonts w:ascii="Times New Roman" w:hAnsi="Times New Roman" w:cs="Times New Roman"/>
          <w:sz w:val="28"/>
          <w:szCs w:val="20"/>
        </w:rPr>
        <w:t>абилитации</w:t>
      </w:r>
      <w:proofErr w:type="spellEnd"/>
      <w:r w:rsidRPr="00E47AA9">
        <w:rPr>
          <w:rFonts w:ascii="Times New Roman" w:hAnsi="Times New Roman" w:cs="Times New Roman"/>
          <w:sz w:val="28"/>
          <w:szCs w:val="20"/>
        </w:rPr>
        <w:t xml:space="preserve"> инвалидов, в том числе: на  инвалидов – 12,08 млн рублей, детей-инвалидов – 8,15 млн рублей, по формированию условий для развития ранней помощи – 2,35 млн рублей, по подготовке кадров – 1,29 млн рублей.</w:t>
      </w:r>
    </w:p>
    <w:p w14:paraId="126D1245" w14:textId="77777777" w:rsidR="008566E1" w:rsidRPr="00E47AA9" w:rsidRDefault="008566E1" w:rsidP="008566E1">
      <w:pPr>
        <w:autoSpaceDE w:val="0"/>
        <w:autoSpaceDN w:val="0"/>
        <w:adjustRightInd w:val="0"/>
        <w:spacing w:after="0" w:line="240" w:lineRule="auto"/>
        <w:ind w:firstLine="708"/>
        <w:jc w:val="both"/>
        <w:rPr>
          <w:rFonts w:ascii="Times New Roman" w:eastAsia="Times New Roman" w:hAnsi="Times New Roman" w:cs="Times New Roman"/>
          <w:b/>
          <w:i/>
          <w:sz w:val="28"/>
          <w:szCs w:val="28"/>
          <w:lang w:eastAsia="ru-RU"/>
        </w:rPr>
      </w:pPr>
      <w:r w:rsidRPr="00E47AA9">
        <w:rPr>
          <w:rFonts w:ascii="Times New Roman" w:eastAsia="Times New Roman" w:hAnsi="Times New Roman" w:cs="Times New Roman"/>
          <w:sz w:val="28"/>
          <w:szCs w:val="28"/>
          <w:lang w:eastAsia="ru-RU"/>
        </w:rPr>
        <w:t xml:space="preserve">Также в полном объеме плановых назначений </w:t>
      </w:r>
      <w:r w:rsidRPr="00E47AA9">
        <w:rPr>
          <w:rFonts w:ascii="Times New Roman" w:eastAsia="Times New Roman" w:hAnsi="Times New Roman" w:cs="Times New Roman"/>
          <w:sz w:val="28"/>
          <w:szCs w:val="28"/>
          <w:u w:val="single"/>
          <w:lang w:eastAsia="ru-RU"/>
        </w:rPr>
        <w:t>министерством образования Приморского края</w:t>
      </w:r>
      <w:r w:rsidRPr="00E47AA9">
        <w:rPr>
          <w:rFonts w:ascii="Times New Roman" w:eastAsia="Times New Roman" w:hAnsi="Times New Roman" w:cs="Times New Roman"/>
          <w:sz w:val="28"/>
          <w:szCs w:val="28"/>
          <w:lang w:eastAsia="ru-RU"/>
        </w:rPr>
        <w:t xml:space="preserve"> (2,10 млн рублей), </w:t>
      </w:r>
      <w:r w:rsidRPr="00E47AA9">
        <w:rPr>
          <w:rFonts w:ascii="Times New Roman" w:eastAsia="Times New Roman" w:hAnsi="Times New Roman" w:cs="Times New Roman"/>
          <w:sz w:val="28"/>
          <w:szCs w:val="28"/>
          <w:u w:val="single"/>
          <w:lang w:eastAsia="ru-RU"/>
        </w:rPr>
        <w:t>министерством физической культуры и спорта Приморского края</w:t>
      </w:r>
      <w:r w:rsidRPr="00E47AA9">
        <w:rPr>
          <w:rFonts w:ascii="Times New Roman" w:eastAsia="Times New Roman" w:hAnsi="Times New Roman" w:cs="Times New Roman"/>
          <w:sz w:val="28"/>
          <w:szCs w:val="28"/>
          <w:lang w:eastAsia="ru-RU"/>
        </w:rPr>
        <w:t xml:space="preserve"> (2,42 млн рублей) </w:t>
      </w:r>
      <w:r w:rsidRPr="00E47AA9">
        <w:rPr>
          <w:rFonts w:ascii="Times New Roman" w:eastAsia="Times New Roman" w:hAnsi="Times New Roman" w:cs="Times New Roman"/>
          <w:sz w:val="28"/>
          <w:szCs w:val="24"/>
          <w:lang w:eastAsia="ru-RU"/>
        </w:rPr>
        <w:t>направлены средства</w:t>
      </w:r>
      <w:r w:rsidRPr="00E47AA9">
        <w:rPr>
          <w:rFonts w:ascii="Times New Roman" w:eastAsia="Times New Roman" w:hAnsi="Times New Roman" w:cs="Times New Roman"/>
          <w:sz w:val="28"/>
          <w:szCs w:val="28"/>
          <w:lang w:eastAsia="ru-RU"/>
        </w:rPr>
        <w:t xml:space="preserve"> на реализацию мероприятий в сфере реабилитации и </w:t>
      </w:r>
      <w:proofErr w:type="spellStart"/>
      <w:r w:rsidRPr="00E47AA9">
        <w:rPr>
          <w:rFonts w:ascii="Times New Roman" w:eastAsia="Times New Roman" w:hAnsi="Times New Roman" w:cs="Times New Roman"/>
          <w:sz w:val="28"/>
          <w:szCs w:val="28"/>
          <w:lang w:eastAsia="ru-RU"/>
        </w:rPr>
        <w:t>абилитации</w:t>
      </w:r>
      <w:proofErr w:type="spellEnd"/>
      <w:r w:rsidRPr="00E47AA9">
        <w:rPr>
          <w:rFonts w:ascii="Times New Roman" w:eastAsia="Times New Roman" w:hAnsi="Times New Roman" w:cs="Times New Roman"/>
          <w:sz w:val="28"/>
          <w:szCs w:val="28"/>
          <w:lang w:eastAsia="ru-RU"/>
        </w:rPr>
        <w:t xml:space="preserve"> инвалидов;</w:t>
      </w:r>
    </w:p>
    <w:p w14:paraId="7D62906B" w14:textId="77777777" w:rsidR="008566E1" w:rsidRPr="00E47AA9" w:rsidRDefault="008566E1" w:rsidP="008566E1">
      <w:pPr>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i/>
          <w:sz w:val="28"/>
          <w:szCs w:val="28"/>
          <w:lang w:eastAsia="ru-RU"/>
        </w:rPr>
        <w:t>КПМ "Реализация инновационных социальных проектов (комплексов мер) Приморского края"</w:t>
      </w:r>
      <w:r w:rsidRPr="00E47AA9">
        <w:rPr>
          <w:rFonts w:ascii="Times New Roman" w:eastAsia="Times New Roman" w:hAnsi="Times New Roman" w:cs="Times New Roman"/>
          <w:bCs/>
          <w:sz w:val="28"/>
          <w:szCs w:val="28"/>
          <w:lang w:eastAsia="ru-RU"/>
        </w:rPr>
        <w:t xml:space="preserve"> </w:t>
      </w:r>
      <w:r w:rsidR="004D312A" w:rsidRPr="00E47AA9">
        <w:rPr>
          <w:rFonts w:ascii="Times New Roman" w:eastAsia="Times New Roman" w:hAnsi="Times New Roman" w:cs="Times New Roman"/>
          <w:bCs/>
          <w:sz w:val="28"/>
          <w:szCs w:val="28"/>
          <w:lang w:eastAsia="ru-RU"/>
        </w:rPr>
        <w:t>–</w:t>
      </w:r>
      <w:r w:rsidRPr="00E47AA9">
        <w:rPr>
          <w:rFonts w:ascii="Times New Roman" w:eastAsia="Times New Roman" w:hAnsi="Times New Roman" w:cs="Times New Roman"/>
          <w:bCs/>
          <w:sz w:val="28"/>
          <w:szCs w:val="28"/>
          <w:lang w:eastAsia="ru-RU"/>
        </w:rPr>
        <w:t xml:space="preserve"> 12,16 млн рублей, или 88,22 % от плана 13,78 млн рублей.</w:t>
      </w:r>
      <w:r w:rsidR="004D312A" w:rsidRPr="00E47AA9">
        <w:rPr>
          <w:rFonts w:ascii="Times New Roman" w:eastAsia="Times New Roman" w:hAnsi="Times New Roman" w:cs="Times New Roman"/>
          <w:bCs/>
          <w:sz w:val="28"/>
          <w:szCs w:val="28"/>
          <w:lang w:eastAsia="ru-RU"/>
        </w:rPr>
        <w:t xml:space="preserve"> </w:t>
      </w:r>
      <w:r w:rsidRPr="00E47AA9">
        <w:rPr>
          <w:rFonts w:ascii="Times New Roman" w:eastAsia="Times New Roman" w:hAnsi="Times New Roman" w:cs="Times New Roman"/>
          <w:bCs/>
          <w:sz w:val="28"/>
          <w:szCs w:val="28"/>
          <w:u w:val="single"/>
          <w:lang w:eastAsia="ru-RU"/>
        </w:rPr>
        <w:t>Министерством труда и социальной политики Приморского края</w:t>
      </w:r>
      <w:r w:rsidRPr="00E47AA9">
        <w:rPr>
          <w:rFonts w:ascii="Times New Roman" w:eastAsia="Times New Roman" w:hAnsi="Times New Roman" w:cs="Times New Roman"/>
          <w:bCs/>
          <w:sz w:val="28"/>
          <w:szCs w:val="28"/>
          <w:lang w:eastAsia="ru-RU"/>
        </w:rPr>
        <w:t xml:space="preserve"> предоставлены субсидии краевым государственным бюджетным и автономным учреждениям на иные цели. </w:t>
      </w:r>
    </w:p>
    <w:p w14:paraId="494B5148" w14:textId="77777777" w:rsidR="008566E1" w:rsidRPr="00E47AA9" w:rsidRDefault="008566E1" w:rsidP="008566E1">
      <w:pPr>
        <w:spacing w:after="0" w:line="240" w:lineRule="auto"/>
        <w:jc w:val="center"/>
        <w:rPr>
          <w:rFonts w:ascii="Times New Roman" w:eastAsia="Times New Roman" w:hAnsi="Times New Roman" w:cs="Times New Roman"/>
          <w:sz w:val="28"/>
          <w:szCs w:val="28"/>
          <w:lang w:eastAsia="ru-RU"/>
        </w:rPr>
      </w:pPr>
    </w:p>
    <w:p w14:paraId="697A0D19" w14:textId="77777777" w:rsidR="008566E1" w:rsidRPr="00E47AA9" w:rsidRDefault="008566E1" w:rsidP="00FD476E">
      <w:pPr>
        <w:tabs>
          <w:tab w:val="left" w:pos="0"/>
          <w:tab w:val="left" w:pos="8505"/>
        </w:tabs>
        <w:spacing w:after="0" w:line="240" w:lineRule="auto"/>
        <w:jc w:val="center"/>
        <w:rPr>
          <w:rFonts w:ascii="Times New Roman" w:eastAsia="Times New Roman" w:hAnsi="Times New Roman" w:cs="Times New Roman"/>
          <w:b/>
          <w:sz w:val="28"/>
          <w:szCs w:val="28"/>
        </w:rPr>
      </w:pPr>
      <w:r w:rsidRPr="00E47AA9">
        <w:rPr>
          <w:rFonts w:ascii="Times New Roman" w:eastAsia="Times New Roman" w:hAnsi="Times New Roman" w:cs="Times New Roman"/>
          <w:noProof/>
          <w:sz w:val="20"/>
          <w:szCs w:val="20"/>
          <w:lang w:eastAsia="ru-RU"/>
        </w:rPr>
        <w:drawing>
          <wp:anchor distT="0" distB="0" distL="114300" distR="114300" simplePos="0" relativeHeight="251677696" behindDoc="0" locked="0" layoutInCell="1" allowOverlap="1" wp14:anchorId="43FF81F8" wp14:editId="3C29E7C0">
            <wp:simplePos x="0" y="0"/>
            <wp:positionH relativeFrom="column">
              <wp:posOffset>0</wp:posOffset>
            </wp:positionH>
            <wp:positionV relativeFrom="paragraph">
              <wp:posOffset>183995</wp:posOffset>
            </wp:positionV>
            <wp:extent cx="1762125" cy="1111885"/>
            <wp:effectExtent l="0" t="0" r="9525" b="0"/>
            <wp:wrapSquare wrapText="bothSides"/>
            <wp:docPr id="3" name="Рисунок 3" descr="C:\Users\zavzyataya_sv\Desktop\Картинки к исполнению\ñ€ð°ð·ð»ð¸ñ‡ð½ñ‹ðµ-ð¿ñ€oñ„ðµñ ñ ð¸ð¸-ð»ñžð-ðµð¹-ð-oðºñ‚oñ€-ð¿oð¶ð°ñ€ð½ñ‹ð¹-ñƒñ‡ð¸ñ‚ðµð»ñœ-stewardess-ð¿oð²ð°ñ€-ð¸-141698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zavzyataya_sv\Desktop\Картинки к исполнению\ñ€ð°ð·ð»ð¸ñ‡ð½ñ‹ðµ-ð¿ñ€oñ„ðµñ ñ ð¸ð¸-ð»ñžð-ðµð¹-ð-oðºñ‚oñ€-ð¿oð¶ð°ñ€ð½ñ‹ð¹-ñƒñ‡ð¸ñ‚ðµð»ñœ-stewardess-ð¿oð²ð°ñ€-ð¸-141698168.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62125" cy="1111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AA9">
        <w:rPr>
          <w:rFonts w:ascii="Times New Roman" w:eastAsia="Times New Roman" w:hAnsi="Times New Roman" w:cs="Times New Roman"/>
          <w:b/>
          <w:sz w:val="28"/>
          <w:szCs w:val="28"/>
        </w:rPr>
        <w:t>5.2.4. Государственная программа Приморского края "Содействие занятости населения Приморского края"</w:t>
      </w:r>
    </w:p>
    <w:p w14:paraId="0A555F09" w14:textId="68226369" w:rsidR="008566E1" w:rsidRPr="00E47AA9" w:rsidRDefault="008566E1" w:rsidP="008566E1">
      <w:pPr>
        <w:tabs>
          <w:tab w:val="left" w:pos="1560"/>
          <w:tab w:val="left" w:pos="2410"/>
          <w:tab w:val="left" w:pos="8505"/>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Уточненные бюджетные назначения на 2024 год на реализацию программы (1800,6</w:t>
      </w:r>
      <w:r w:rsidR="00134A38" w:rsidRPr="00E47AA9">
        <w:rPr>
          <w:rFonts w:ascii="Times New Roman" w:eastAsia="Times New Roman" w:hAnsi="Times New Roman" w:cs="Times New Roman"/>
          <w:sz w:val="28"/>
          <w:szCs w:val="28"/>
        </w:rPr>
        <w:t>2</w:t>
      </w:r>
      <w:r w:rsidRPr="00E47AA9">
        <w:rPr>
          <w:rFonts w:ascii="Times New Roman" w:eastAsia="Times New Roman" w:hAnsi="Times New Roman" w:cs="Times New Roman"/>
          <w:sz w:val="28"/>
          <w:szCs w:val="28"/>
        </w:rPr>
        <w:t xml:space="preserve"> млн рублей) освоены практически в полном объеме плановых назначений (99,34 %) </w:t>
      </w:r>
      <w:r w:rsidR="004D312A"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1788,67 млн рублей, в том числе: за счет средств федерального бюджета – 736,84 млн рублей, краевого бюджета – 1051,8</w:t>
      </w:r>
      <w:r w:rsidR="00134A38" w:rsidRPr="00E47AA9">
        <w:rPr>
          <w:rFonts w:ascii="Times New Roman" w:eastAsia="Times New Roman" w:hAnsi="Times New Roman" w:cs="Times New Roman"/>
          <w:sz w:val="28"/>
          <w:szCs w:val="28"/>
        </w:rPr>
        <w:t>3</w:t>
      </w:r>
      <w:r w:rsidRPr="00E47AA9">
        <w:rPr>
          <w:rFonts w:ascii="Times New Roman" w:eastAsia="Times New Roman" w:hAnsi="Times New Roman" w:cs="Times New Roman"/>
          <w:sz w:val="28"/>
          <w:szCs w:val="28"/>
        </w:rPr>
        <w:t> млн рублей.</w:t>
      </w:r>
    </w:p>
    <w:p w14:paraId="082BA5C7" w14:textId="77777777" w:rsidR="008566E1" w:rsidRPr="00E47AA9" w:rsidRDefault="008566E1" w:rsidP="008566E1">
      <w:pPr>
        <w:tabs>
          <w:tab w:val="left" w:pos="1560"/>
          <w:tab w:val="left" w:pos="2410"/>
          <w:tab w:val="left" w:pos="8505"/>
        </w:tabs>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В соответствии с паспортом ГП ответственный исполнитель ГП</w:t>
      </w:r>
      <w:r w:rsidR="004D312A"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rPr>
        <w:t xml:space="preserve"> министерство профессионального образования и занятости населения Приморского края и соисполнители: министерство труда и социа</w:t>
      </w:r>
      <w:r w:rsidR="004D312A" w:rsidRPr="00E47AA9">
        <w:rPr>
          <w:rFonts w:ascii="Times New Roman" w:eastAsia="Times New Roman" w:hAnsi="Times New Roman" w:cs="Times New Roman"/>
          <w:sz w:val="28"/>
          <w:szCs w:val="28"/>
        </w:rPr>
        <w:t>льной политики Приморского края,</w:t>
      </w:r>
      <w:r w:rsidRPr="00E47AA9">
        <w:rPr>
          <w:rFonts w:ascii="Times New Roman" w:eastAsia="Times New Roman" w:hAnsi="Times New Roman" w:cs="Times New Roman"/>
          <w:sz w:val="28"/>
          <w:szCs w:val="28"/>
        </w:rPr>
        <w:t xml:space="preserve"> министерство финансов Приморского края</w:t>
      </w:r>
      <w:r w:rsidR="004D312A"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rPr>
        <w:t>агентство по делам молодежи Приморского края</w:t>
      </w:r>
      <w:r w:rsidR="004D312A"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министерство образования Приморского края.</w:t>
      </w:r>
    </w:p>
    <w:p w14:paraId="0D837E0A" w14:textId="77777777" w:rsidR="008566E1" w:rsidRPr="00E47AA9" w:rsidRDefault="008566E1" w:rsidP="008566E1">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2024 году расходы на реализацию мероприятий ГП осуществляли три ГРБС (представлено в таблице).</w:t>
      </w:r>
    </w:p>
    <w:tbl>
      <w:tblPr>
        <w:tblW w:w="9498" w:type="dxa"/>
        <w:tblLayout w:type="fixed"/>
        <w:tblLook w:val="04A0" w:firstRow="1" w:lastRow="0" w:firstColumn="1" w:lastColumn="0" w:noHBand="0" w:noVBand="1"/>
      </w:tblPr>
      <w:tblGrid>
        <w:gridCol w:w="2071"/>
        <w:gridCol w:w="906"/>
        <w:gridCol w:w="1134"/>
        <w:gridCol w:w="851"/>
        <w:gridCol w:w="992"/>
        <w:gridCol w:w="992"/>
        <w:gridCol w:w="1134"/>
        <w:gridCol w:w="1418"/>
      </w:tblGrid>
      <w:tr w:rsidR="00E47AA9" w:rsidRPr="00E47AA9" w14:paraId="2ED1D91E" w14:textId="77777777" w:rsidTr="00845A54">
        <w:trPr>
          <w:trHeight w:val="20"/>
          <w:tblHeader/>
        </w:trPr>
        <w:tc>
          <w:tcPr>
            <w:tcW w:w="9498" w:type="dxa"/>
            <w:gridSpan w:val="8"/>
            <w:tcBorders>
              <w:bottom w:val="single" w:sz="4" w:space="0" w:color="auto"/>
            </w:tcBorders>
            <w:shd w:val="clear" w:color="auto" w:fill="auto"/>
            <w:vAlign w:val="center"/>
          </w:tcPr>
          <w:p w14:paraId="3F655DF2"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sz w:val="24"/>
                <w:lang w:eastAsia="ru-RU"/>
              </w:rPr>
              <w:t>(млн рублей)</w:t>
            </w:r>
          </w:p>
        </w:tc>
      </w:tr>
      <w:tr w:rsidR="00E47AA9" w:rsidRPr="00E47AA9" w14:paraId="7753C4FB" w14:textId="77777777" w:rsidTr="00845A54">
        <w:trPr>
          <w:trHeight w:val="20"/>
          <w:tblHeader/>
        </w:trPr>
        <w:tc>
          <w:tcPr>
            <w:tcW w:w="20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832353"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Наименование </w:t>
            </w:r>
          </w:p>
        </w:tc>
        <w:tc>
          <w:tcPr>
            <w:tcW w:w="90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8EEEF50"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Ведомство</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15F8078"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Уточненные бюджетные назначения на 2024 год  </w:t>
            </w:r>
          </w:p>
        </w:tc>
        <w:tc>
          <w:tcPr>
            <w:tcW w:w="311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7D03C1B"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Исполнено за 2024 год</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EC0B5"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proofErr w:type="spellStart"/>
            <w:r w:rsidRPr="00E47AA9">
              <w:rPr>
                <w:rFonts w:ascii="Times New Roman" w:eastAsia="Times New Roman" w:hAnsi="Times New Roman" w:cs="Times New Roman"/>
                <w:lang w:eastAsia="ru-RU"/>
              </w:rPr>
              <w:t>Неиспол-ненные</w:t>
            </w:r>
            <w:proofErr w:type="spellEnd"/>
            <w:r w:rsidRPr="00E47AA9">
              <w:rPr>
                <w:rFonts w:ascii="Times New Roman" w:eastAsia="Times New Roman" w:hAnsi="Times New Roman" w:cs="Times New Roman"/>
                <w:lang w:eastAsia="ru-RU"/>
              </w:rPr>
              <w:t xml:space="preserve"> уточненные </w:t>
            </w:r>
            <w:proofErr w:type="gramStart"/>
            <w:r w:rsidRPr="00E47AA9">
              <w:rPr>
                <w:rFonts w:ascii="Times New Roman" w:eastAsia="Times New Roman" w:hAnsi="Times New Roman" w:cs="Times New Roman"/>
                <w:lang w:eastAsia="ru-RU"/>
              </w:rPr>
              <w:t>бюджетные  назначения</w:t>
            </w:r>
            <w:proofErr w:type="gramEnd"/>
          </w:p>
        </w:tc>
      </w:tr>
      <w:tr w:rsidR="00E47AA9" w:rsidRPr="00E47AA9" w14:paraId="0C5AF602" w14:textId="77777777" w:rsidTr="00845A54">
        <w:trPr>
          <w:trHeight w:val="20"/>
        </w:trPr>
        <w:tc>
          <w:tcPr>
            <w:tcW w:w="2071" w:type="dxa"/>
            <w:vMerge/>
            <w:tcBorders>
              <w:top w:val="single" w:sz="8" w:space="0" w:color="auto"/>
              <w:left w:val="single" w:sz="8" w:space="0" w:color="auto"/>
              <w:bottom w:val="single" w:sz="4" w:space="0" w:color="auto"/>
              <w:right w:val="single" w:sz="4" w:space="0" w:color="auto"/>
            </w:tcBorders>
            <w:vAlign w:val="center"/>
            <w:hideMark/>
          </w:tcPr>
          <w:p w14:paraId="63B8BA3B" w14:textId="77777777" w:rsidR="008566E1" w:rsidRPr="00E47AA9" w:rsidRDefault="008566E1" w:rsidP="00845A54">
            <w:pPr>
              <w:spacing w:after="0" w:line="240" w:lineRule="auto"/>
              <w:rPr>
                <w:rFonts w:ascii="Times New Roman" w:eastAsia="Times New Roman" w:hAnsi="Times New Roman" w:cs="Times New Roman"/>
                <w:lang w:eastAsia="ru-RU"/>
              </w:rPr>
            </w:pPr>
          </w:p>
        </w:tc>
        <w:tc>
          <w:tcPr>
            <w:tcW w:w="906" w:type="dxa"/>
            <w:vMerge/>
            <w:tcBorders>
              <w:top w:val="single" w:sz="8" w:space="0" w:color="auto"/>
              <w:left w:val="single" w:sz="8" w:space="0" w:color="auto"/>
              <w:bottom w:val="single" w:sz="4" w:space="0" w:color="auto"/>
              <w:right w:val="single" w:sz="8" w:space="0" w:color="auto"/>
            </w:tcBorders>
            <w:vAlign w:val="center"/>
          </w:tcPr>
          <w:p w14:paraId="40CD5CC0"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p>
        </w:tc>
        <w:tc>
          <w:tcPr>
            <w:tcW w:w="1134" w:type="dxa"/>
            <w:tcBorders>
              <w:top w:val="nil"/>
              <w:left w:val="single" w:sz="4" w:space="0" w:color="auto"/>
              <w:bottom w:val="single" w:sz="4" w:space="0" w:color="auto"/>
              <w:right w:val="single" w:sz="8" w:space="0" w:color="auto"/>
            </w:tcBorders>
            <w:shd w:val="clear" w:color="auto" w:fill="auto"/>
            <w:vAlign w:val="center"/>
            <w:hideMark/>
          </w:tcPr>
          <w:p w14:paraId="216BFA22"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сумма</w:t>
            </w:r>
          </w:p>
        </w:tc>
        <w:tc>
          <w:tcPr>
            <w:tcW w:w="851" w:type="dxa"/>
            <w:tcBorders>
              <w:top w:val="nil"/>
              <w:left w:val="nil"/>
              <w:bottom w:val="single" w:sz="4" w:space="0" w:color="auto"/>
              <w:right w:val="single" w:sz="8" w:space="0" w:color="auto"/>
            </w:tcBorders>
            <w:shd w:val="clear" w:color="auto" w:fill="auto"/>
            <w:vAlign w:val="center"/>
            <w:hideMark/>
          </w:tcPr>
          <w:p w14:paraId="4667AFA9"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удельный вес, %</w:t>
            </w:r>
          </w:p>
        </w:tc>
        <w:tc>
          <w:tcPr>
            <w:tcW w:w="992" w:type="dxa"/>
            <w:tcBorders>
              <w:top w:val="nil"/>
              <w:left w:val="nil"/>
              <w:bottom w:val="single" w:sz="4" w:space="0" w:color="auto"/>
              <w:right w:val="single" w:sz="8" w:space="0" w:color="auto"/>
            </w:tcBorders>
            <w:shd w:val="clear" w:color="auto" w:fill="auto"/>
            <w:vAlign w:val="center"/>
            <w:hideMark/>
          </w:tcPr>
          <w:p w14:paraId="12CAC0E9"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сумма</w:t>
            </w:r>
          </w:p>
        </w:tc>
        <w:tc>
          <w:tcPr>
            <w:tcW w:w="992" w:type="dxa"/>
            <w:tcBorders>
              <w:top w:val="nil"/>
              <w:left w:val="nil"/>
              <w:bottom w:val="single" w:sz="4" w:space="0" w:color="auto"/>
              <w:right w:val="single" w:sz="8" w:space="0" w:color="auto"/>
            </w:tcBorders>
            <w:shd w:val="clear" w:color="auto" w:fill="auto"/>
            <w:vAlign w:val="center"/>
            <w:hideMark/>
          </w:tcPr>
          <w:p w14:paraId="07576E4F"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 </w:t>
            </w:r>
            <w:proofErr w:type="spellStart"/>
            <w:proofErr w:type="gramStart"/>
            <w:r w:rsidRPr="00E47AA9">
              <w:rPr>
                <w:rFonts w:ascii="Times New Roman" w:eastAsia="Times New Roman" w:hAnsi="Times New Roman" w:cs="Times New Roman"/>
                <w:lang w:eastAsia="ru-RU"/>
              </w:rPr>
              <w:t>испол</w:t>
            </w:r>
            <w:proofErr w:type="spellEnd"/>
            <w:r w:rsidRPr="00E47AA9">
              <w:rPr>
                <w:rFonts w:ascii="Times New Roman" w:eastAsia="Times New Roman" w:hAnsi="Times New Roman" w:cs="Times New Roman"/>
                <w:lang w:eastAsia="ru-RU"/>
              </w:rPr>
              <w:t>-нения</w:t>
            </w:r>
            <w:proofErr w:type="gramEnd"/>
          </w:p>
        </w:tc>
        <w:tc>
          <w:tcPr>
            <w:tcW w:w="1134" w:type="dxa"/>
            <w:tcBorders>
              <w:top w:val="nil"/>
              <w:left w:val="nil"/>
              <w:bottom w:val="single" w:sz="4" w:space="0" w:color="auto"/>
              <w:right w:val="single" w:sz="8" w:space="0" w:color="auto"/>
            </w:tcBorders>
            <w:shd w:val="clear" w:color="auto" w:fill="auto"/>
            <w:vAlign w:val="center"/>
            <w:hideMark/>
          </w:tcPr>
          <w:p w14:paraId="402F8100"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proofErr w:type="spellStart"/>
            <w:proofErr w:type="gramStart"/>
            <w:r w:rsidRPr="00E47AA9">
              <w:rPr>
                <w:rFonts w:ascii="Times New Roman" w:eastAsia="Times New Roman" w:hAnsi="Times New Roman" w:cs="Times New Roman"/>
                <w:lang w:eastAsia="ru-RU"/>
              </w:rPr>
              <w:t>удель-ный</w:t>
            </w:r>
            <w:proofErr w:type="spellEnd"/>
            <w:proofErr w:type="gramEnd"/>
            <w:r w:rsidRPr="00E47AA9">
              <w:rPr>
                <w:rFonts w:ascii="Times New Roman" w:eastAsia="Times New Roman" w:hAnsi="Times New Roman" w:cs="Times New Roman"/>
                <w:lang w:eastAsia="ru-RU"/>
              </w:rPr>
              <w:t xml:space="preserve"> вес, %</w:t>
            </w:r>
          </w:p>
        </w:tc>
        <w:tc>
          <w:tcPr>
            <w:tcW w:w="1418" w:type="dxa"/>
            <w:vMerge/>
            <w:tcBorders>
              <w:top w:val="single" w:sz="8" w:space="0" w:color="auto"/>
              <w:left w:val="single" w:sz="8" w:space="0" w:color="auto"/>
              <w:bottom w:val="single" w:sz="4" w:space="0" w:color="auto"/>
              <w:right w:val="single" w:sz="8" w:space="0" w:color="auto"/>
            </w:tcBorders>
            <w:vAlign w:val="center"/>
            <w:hideMark/>
          </w:tcPr>
          <w:p w14:paraId="7974AE98" w14:textId="77777777" w:rsidR="008566E1" w:rsidRPr="00E47AA9" w:rsidRDefault="008566E1" w:rsidP="00845A54">
            <w:pPr>
              <w:spacing w:after="0" w:line="240" w:lineRule="auto"/>
              <w:rPr>
                <w:rFonts w:ascii="Times New Roman" w:eastAsia="Times New Roman" w:hAnsi="Times New Roman" w:cs="Times New Roman"/>
                <w:lang w:eastAsia="ru-RU"/>
              </w:rPr>
            </w:pPr>
          </w:p>
        </w:tc>
      </w:tr>
      <w:tr w:rsidR="00E47AA9" w:rsidRPr="00E47AA9" w14:paraId="3E109E4A" w14:textId="77777777" w:rsidTr="00845A54">
        <w:trPr>
          <w:trHeight w:val="20"/>
        </w:trPr>
        <w:tc>
          <w:tcPr>
            <w:tcW w:w="2071" w:type="dxa"/>
            <w:tcBorders>
              <w:top w:val="single" w:sz="4" w:space="0" w:color="auto"/>
              <w:left w:val="single" w:sz="4" w:space="0" w:color="auto"/>
              <w:bottom w:val="single" w:sz="4" w:space="0" w:color="auto"/>
              <w:right w:val="single" w:sz="4" w:space="0" w:color="auto"/>
            </w:tcBorders>
            <w:shd w:val="clear" w:color="auto" w:fill="auto"/>
          </w:tcPr>
          <w:p w14:paraId="189C56B6" w14:textId="77777777" w:rsidR="008566E1" w:rsidRPr="00E47AA9" w:rsidRDefault="008566E1" w:rsidP="00845A54">
            <w:pPr>
              <w:spacing w:after="0" w:line="240" w:lineRule="auto"/>
              <w:rPr>
                <w:rFonts w:ascii="Times New Roman" w:eastAsia="Times New Roman" w:hAnsi="Times New Roman" w:cs="Times New Roman"/>
                <w:b/>
                <w:lang w:eastAsia="ru-RU"/>
              </w:rPr>
            </w:pPr>
            <w:r w:rsidRPr="00E47AA9">
              <w:rPr>
                <w:rFonts w:ascii="Times New Roman" w:eastAsia="Times New Roman" w:hAnsi="Times New Roman" w:cs="Times New Roman"/>
                <w:b/>
                <w:lang w:eastAsia="ru-RU"/>
              </w:rPr>
              <w:t xml:space="preserve">Расходы по ГП всего, </w:t>
            </w:r>
          </w:p>
          <w:p w14:paraId="40B74F7F" w14:textId="77777777" w:rsidR="008566E1" w:rsidRPr="00E47AA9" w:rsidRDefault="008566E1" w:rsidP="004D312A">
            <w:pPr>
              <w:spacing w:after="0" w:line="240" w:lineRule="auto"/>
              <w:rPr>
                <w:rFonts w:ascii="Times New Roman" w:eastAsia="Times New Roman" w:hAnsi="Times New Roman" w:cs="Times New Roman"/>
                <w:bCs/>
                <w:lang w:eastAsia="ru-RU"/>
              </w:rPr>
            </w:pPr>
            <w:r w:rsidRPr="00E47AA9">
              <w:rPr>
                <w:rFonts w:ascii="Times New Roman" w:eastAsia="Times New Roman" w:hAnsi="Times New Roman" w:cs="Times New Roman"/>
                <w:bCs/>
                <w:lang w:eastAsia="ru-RU"/>
              </w:rPr>
              <w:lastRenderedPageBreak/>
              <w:t>в том числе</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53718AA3"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5E05E57" w14:textId="3B32AED7" w:rsidR="008566E1" w:rsidRPr="00E47AA9" w:rsidRDefault="008566E1" w:rsidP="00845A54">
            <w:pPr>
              <w:spacing w:after="0" w:line="240" w:lineRule="auto"/>
              <w:jc w:val="right"/>
              <w:rPr>
                <w:rFonts w:ascii="Times New Roman" w:eastAsia="Times New Roman" w:hAnsi="Times New Roman" w:cs="Times New Roman"/>
                <w:b/>
                <w:lang w:eastAsia="ru-RU"/>
              </w:rPr>
            </w:pPr>
            <w:r w:rsidRPr="00E47AA9">
              <w:rPr>
                <w:rFonts w:ascii="Times New Roman" w:hAnsi="Times New Roman" w:cs="Times New Roman"/>
                <w:b/>
                <w:bCs/>
                <w:sz w:val="20"/>
                <w:szCs w:val="20"/>
              </w:rPr>
              <w:t>1 800,6</w:t>
            </w:r>
            <w:r w:rsidR="00134A38" w:rsidRPr="00E47AA9">
              <w:rPr>
                <w:rFonts w:ascii="Times New Roman" w:hAnsi="Times New Roman" w:cs="Times New Roman"/>
                <w:b/>
                <w:bCs/>
                <w:sz w:val="20"/>
                <w:szCs w:val="20"/>
              </w:rPr>
              <w:t>2</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B900240" w14:textId="77777777" w:rsidR="008566E1" w:rsidRPr="00E47AA9" w:rsidRDefault="008566E1" w:rsidP="00845A54">
            <w:pPr>
              <w:spacing w:after="0" w:line="240" w:lineRule="auto"/>
              <w:jc w:val="right"/>
              <w:rPr>
                <w:rFonts w:ascii="Times New Roman" w:eastAsia="Times New Roman" w:hAnsi="Times New Roman" w:cs="Times New Roman"/>
                <w:b/>
                <w:lang w:eastAsia="ru-RU"/>
              </w:rPr>
            </w:pPr>
            <w:r w:rsidRPr="00E47AA9">
              <w:rPr>
                <w:rFonts w:ascii="Times New Roman" w:hAnsi="Times New Roman" w:cs="Times New Roman"/>
                <w:b/>
                <w:bCs/>
                <w:sz w:val="20"/>
                <w:szCs w:val="20"/>
              </w:rPr>
              <w:t>100,00</w:t>
            </w: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6EB33880" w14:textId="77777777" w:rsidR="008566E1" w:rsidRPr="00E47AA9" w:rsidRDefault="008566E1" w:rsidP="00845A54">
            <w:pPr>
              <w:spacing w:after="0" w:line="240" w:lineRule="auto"/>
              <w:jc w:val="right"/>
              <w:rPr>
                <w:rFonts w:ascii="Times New Roman" w:eastAsia="Times New Roman" w:hAnsi="Times New Roman" w:cs="Times New Roman"/>
                <w:b/>
                <w:bCs/>
                <w:lang w:eastAsia="ru-RU"/>
              </w:rPr>
            </w:pPr>
            <w:r w:rsidRPr="00E47AA9">
              <w:rPr>
                <w:rFonts w:ascii="Times New Roman" w:hAnsi="Times New Roman" w:cs="Times New Roman"/>
                <w:b/>
                <w:bCs/>
                <w:sz w:val="20"/>
                <w:szCs w:val="20"/>
              </w:rPr>
              <w:t>1 788,67</w:t>
            </w: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6C8B6BE0" w14:textId="77777777" w:rsidR="008566E1" w:rsidRPr="00E47AA9" w:rsidRDefault="008566E1" w:rsidP="00845A54">
            <w:pPr>
              <w:spacing w:after="0" w:line="240" w:lineRule="auto"/>
              <w:jc w:val="right"/>
              <w:rPr>
                <w:rFonts w:ascii="Times New Roman" w:eastAsia="Times New Roman" w:hAnsi="Times New Roman" w:cs="Times New Roman"/>
                <w:b/>
                <w:bCs/>
                <w:lang w:eastAsia="ru-RU"/>
              </w:rPr>
            </w:pPr>
            <w:r w:rsidRPr="00E47AA9">
              <w:rPr>
                <w:rFonts w:ascii="Times New Roman" w:hAnsi="Times New Roman" w:cs="Times New Roman"/>
                <w:b/>
                <w:bCs/>
                <w:sz w:val="20"/>
                <w:szCs w:val="20"/>
              </w:rPr>
              <w:t>99,34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3BB66770" w14:textId="77777777" w:rsidR="008566E1" w:rsidRPr="00E47AA9" w:rsidRDefault="008566E1" w:rsidP="00845A54">
            <w:pPr>
              <w:spacing w:after="0" w:line="240" w:lineRule="auto"/>
              <w:jc w:val="right"/>
              <w:rPr>
                <w:rFonts w:ascii="Times New Roman" w:eastAsia="Times New Roman" w:hAnsi="Times New Roman" w:cs="Times New Roman"/>
                <w:b/>
                <w:lang w:eastAsia="ru-RU"/>
              </w:rPr>
            </w:pPr>
            <w:r w:rsidRPr="00E47AA9">
              <w:rPr>
                <w:rFonts w:ascii="Times New Roman" w:hAnsi="Times New Roman" w:cs="Times New Roman"/>
                <w:b/>
                <w:bCs/>
                <w:sz w:val="20"/>
                <w:szCs w:val="20"/>
              </w:rPr>
              <w:t>100,00</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5FAAFF4A" w14:textId="77777777" w:rsidR="008566E1" w:rsidRPr="00E47AA9" w:rsidRDefault="008566E1" w:rsidP="00845A54">
            <w:pPr>
              <w:spacing w:after="0" w:line="240" w:lineRule="auto"/>
              <w:jc w:val="right"/>
              <w:rPr>
                <w:rFonts w:ascii="Times New Roman" w:eastAsia="Times New Roman" w:hAnsi="Times New Roman" w:cs="Times New Roman"/>
                <w:b/>
                <w:lang w:eastAsia="ru-RU"/>
              </w:rPr>
            </w:pPr>
            <w:r w:rsidRPr="00E47AA9">
              <w:rPr>
                <w:rFonts w:ascii="Times New Roman" w:hAnsi="Times New Roman" w:cs="Times New Roman"/>
                <w:b/>
                <w:bCs/>
                <w:sz w:val="20"/>
                <w:szCs w:val="20"/>
              </w:rPr>
              <w:t>11,95</w:t>
            </w:r>
          </w:p>
        </w:tc>
      </w:tr>
      <w:tr w:rsidR="00E47AA9" w:rsidRPr="00E47AA9" w14:paraId="68AEED0A" w14:textId="77777777" w:rsidTr="00845A54">
        <w:trPr>
          <w:trHeight w:val="20"/>
        </w:trPr>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E953FA5" w14:textId="77777777" w:rsidR="008566E1" w:rsidRPr="00E47AA9" w:rsidRDefault="008566E1"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Министерство труда и социальной политики Приморского края</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5EB770B6"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760</w:t>
            </w:r>
          </w:p>
        </w:tc>
        <w:tc>
          <w:tcPr>
            <w:tcW w:w="1134" w:type="dxa"/>
            <w:tcBorders>
              <w:top w:val="single" w:sz="4" w:space="0" w:color="auto"/>
              <w:left w:val="nil"/>
              <w:bottom w:val="single" w:sz="4" w:space="0" w:color="auto"/>
              <w:right w:val="single" w:sz="4" w:space="0" w:color="auto"/>
            </w:tcBorders>
            <w:shd w:val="clear" w:color="auto" w:fill="auto"/>
            <w:noWrap/>
          </w:tcPr>
          <w:p w14:paraId="3E6BD2CE"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49,68</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982F6C3"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sz w:val="20"/>
                <w:szCs w:val="20"/>
              </w:rPr>
              <w:t>2,76</w:t>
            </w: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40416D15"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sz w:val="20"/>
                <w:szCs w:val="20"/>
              </w:rPr>
              <w:t>47,28</w:t>
            </w: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29029B18"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sz w:val="20"/>
                <w:szCs w:val="20"/>
              </w:rPr>
              <w:t>95,17</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6404A0BD"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sz w:val="20"/>
                <w:szCs w:val="20"/>
              </w:rPr>
              <w:t>2,64</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20975545"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sz w:val="20"/>
                <w:szCs w:val="20"/>
              </w:rPr>
              <w:t>2,40</w:t>
            </w:r>
          </w:p>
        </w:tc>
      </w:tr>
      <w:tr w:rsidR="00E47AA9" w:rsidRPr="00E47AA9" w14:paraId="3567B06D" w14:textId="77777777" w:rsidTr="00845A54">
        <w:trPr>
          <w:trHeight w:val="20"/>
        </w:trPr>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C88296" w14:textId="77777777" w:rsidR="008566E1" w:rsidRPr="00E47AA9" w:rsidRDefault="008566E1"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Агентство по делам молодежи Приморского края</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3C4661D3"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774</w:t>
            </w:r>
          </w:p>
        </w:tc>
        <w:tc>
          <w:tcPr>
            <w:tcW w:w="1134" w:type="dxa"/>
            <w:tcBorders>
              <w:top w:val="single" w:sz="4" w:space="0" w:color="auto"/>
              <w:left w:val="nil"/>
              <w:bottom w:val="single" w:sz="4" w:space="0" w:color="auto"/>
              <w:right w:val="single" w:sz="4" w:space="0" w:color="auto"/>
            </w:tcBorders>
            <w:shd w:val="clear" w:color="auto" w:fill="auto"/>
            <w:noWrap/>
          </w:tcPr>
          <w:p w14:paraId="7323B15E"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0,71</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585B8F"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sz w:val="20"/>
                <w:szCs w:val="20"/>
              </w:rPr>
              <w:t>0,04</w:t>
            </w: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47BD52E4"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sz w:val="20"/>
                <w:szCs w:val="20"/>
              </w:rPr>
              <w:t>0,71</w:t>
            </w: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4521DBC8"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3EF95129"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sz w:val="20"/>
                <w:szCs w:val="20"/>
              </w:rPr>
              <w:t>0,04</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7DAB7300"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sz w:val="20"/>
                <w:szCs w:val="20"/>
              </w:rPr>
              <w:t>0,00</w:t>
            </w:r>
          </w:p>
        </w:tc>
      </w:tr>
      <w:tr w:rsidR="008566E1" w:rsidRPr="00E47AA9" w14:paraId="3043AA39" w14:textId="77777777" w:rsidTr="00845A54">
        <w:trPr>
          <w:trHeight w:val="20"/>
        </w:trPr>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65E80EF3" w14:textId="77777777" w:rsidR="008566E1" w:rsidRPr="00E47AA9" w:rsidRDefault="008566E1"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Министерство профессионального образования и занятости населения Приморского края</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129279D0"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810</w:t>
            </w:r>
          </w:p>
        </w:tc>
        <w:tc>
          <w:tcPr>
            <w:tcW w:w="1134" w:type="dxa"/>
            <w:tcBorders>
              <w:top w:val="single" w:sz="4" w:space="0" w:color="auto"/>
              <w:left w:val="nil"/>
              <w:bottom w:val="single" w:sz="4" w:space="0" w:color="auto"/>
              <w:right w:val="single" w:sz="4" w:space="0" w:color="auto"/>
            </w:tcBorders>
            <w:shd w:val="clear" w:color="auto" w:fill="auto"/>
            <w:noWrap/>
          </w:tcPr>
          <w:p w14:paraId="1857EBDE"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1 750,22</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006C2F"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sz w:val="20"/>
                <w:szCs w:val="20"/>
              </w:rPr>
              <w:t>97,20</w:t>
            </w: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2B42F3F5"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sz w:val="20"/>
                <w:szCs w:val="20"/>
              </w:rPr>
              <w:t>1 740,67</w:t>
            </w: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4295D047"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sz w:val="20"/>
                <w:szCs w:val="20"/>
              </w:rPr>
              <w:t>99,45</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086405FE"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sz w:val="20"/>
                <w:szCs w:val="20"/>
              </w:rPr>
              <w:t>97,32</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00469EB8"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sz w:val="20"/>
                <w:szCs w:val="20"/>
              </w:rPr>
              <w:t>9,55</w:t>
            </w:r>
          </w:p>
        </w:tc>
      </w:tr>
    </w:tbl>
    <w:p w14:paraId="2EE61B16" w14:textId="77777777" w:rsidR="008566E1" w:rsidRPr="00E47AA9" w:rsidRDefault="008566E1" w:rsidP="008566E1">
      <w:pPr>
        <w:spacing w:after="0" w:line="240" w:lineRule="auto"/>
        <w:ind w:firstLine="708"/>
        <w:jc w:val="both"/>
        <w:rPr>
          <w:rFonts w:ascii="Times New Roman" w:eastAsia="Times New Roman" w:hAnsi="Times New Roman" w:cs="Times New Roman"/>
          <w:sz w:val="28"/>
          <w:szCs w:val="28"/>
          <w:lang w:eastAsia="ru-RU"/>
        </w:rPr>
      </w:pPr>
    </w:p>
    <w:p w14:paraId="4CA9DCB4" w14:textId="77777777" w:rsidR="008566E1" w:rsidRPr="00E47AA9" w:rsidRDefault="008566E1" w:rsidP="008566E1">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Структура ГП в разрезе структурных элементов и включенных в их состав региональных проектов представлена в таблице.</w:t>
      </w:r>
    </w:p>
    <w:tbl>
      <w:tblPr>
        <w:tblW w:w="9324" w:type="dxa"/>
        <w:tblInd w:w="-142" w:type="dxa"/>
        <w:tblLook w:val="04A0" w:firstRow="1" w:lastRow="0" w:firstColumn="1" w:lastColumn="0" w:noHBand="0" w:noVBand="1"/>
      </w:tblPr>
      <w:tblGrid>
        <w:gridCol w:w="2977"/>
        <w:gridCol w:w="1980"/>
        <w:gridCol w:w="1425"/>
        <w:gridCol w:w="1220"/>
        <w:gridCol w:w="1722"/>
      </w:tblGrid>
      <w:tr w:rsidR="00E47AA9" w:rsidRPr="00E47AA9" w14:paraId="2060D852" w14:textId="77777777" w:rsidTr="00845A54">
        <w:trPr>
          <w:trHeight w:val="354"/>
          <w:tblHeader/>
        </w:trPr>
        <w:tc>
          <w:tcPr>
            <w:tcW w:w="9324" w:type="dxa"/>
            <w:gridSpan w:val="5"/>
            <w:tcBorders>
              <w:bottom w:val="single" w:sz="4" w:space="0" w:color="auto"/>
            </w:tcBorders>
            <w:shd w:val="clear" w:color="auto" w:fill="auto"/>
            <w:vAlign w:val="center"/>
          </w:tcPr>
          <w:p w14:paraId="2B84CAB2"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(млн рублей)</w:t>
            </w:r>
          </w:p>
        </w:tc>
      </w:tr>
      <w:tr w:rsidR="00E47AA9" w:rsidRPr="00E47AA9" w14:paraId="4FB56B7B" w14:textId="77777777" w:rsidTr="00845A54">
        <w:trPr>
          <w:trHeight w:val="1006"/>
          <w:tblHeader/>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78A78"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Наименование </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7FEC7"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Уточненные бюджетные назначения на 2024 год</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A5E253"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Исполнено за 2024 год</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84F4F"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исп.</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377CA4"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Неисполненные бюджетные назначения</w:t>
            </w:r>
          </w:p>
        </w:tc>
      </w:tr>
      <w:tr w:rsidR="00E47AA9" w:rsidRPr="00E47AA9" w14:paraId="3D54AC22" w14:textId="77777777" w:rsidTr="00845A54">
        <w:trPr>
          <w:trHeight w:val="315"/>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E92798" w14:textId="77777777" w:rsidR="008566E1" w:rsidRPr="00E47AA9" w:rsidRDefault="008566E1" w:rsidP="00845A54">
            <w:pPr>
              <w:spacing w:after="0" w:line="240" w:lineRule="auto"/>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 xml:space="preserve">Расходы по ГП всего, </w:t>
            </w:r>
          </w:p>
          <w:p w14:paraId="74A0F138" w14:textId="77777777" w:rsidR="008566E1" w:rsidRPr="00E47AA9" w:rsidRDefault="008566E1" w:rsidP="004D312A">
            <w:pPr>
              <w:spacing w:after="0" w:line="240" w:lineRule="auto"/>
              <w:rPr>
                <w:rFonts w:ascii="Times New Roman" w:eastAsia="Times New Roman" w:hAnsi="Times New Roman" w:cs="Times New Roman"/>
                <w:bCs/>
                <w:lang w:eastAsia="ru-RU"/>
              </w:rPr>
            </w:pPr>
            <w:r w:rsidRPr="00E47AA9">
              <w:rPr>
                <w:rFonts w:ascii="Times New Roman" w:eastAsia="Times New Roman" w:hAnsi="Times New Roman" w:cs="Times New Roman"/>
                <w:bCs/>
                <w:lang w:eastAsia="ru-RU"/>
              </w:rPr>
              <w:t xml:space="preserve">в том числе </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5D52ED0D" w14:textId="61AD569A" w:rsidR="008566E1" w:rsidRPr="00E47AA9" w:rsidRDefault="008566E1" w:rsidP="00845A54">
            <w:pPr>
              <w:spacing w:after="0" w:line="240" w:lineRule="auto"/>
              <w:jc w:val="right"/>
              <w:rPr>
                <w:rFonts w:ascii="Times New Roman" w:eastAsia="Times New Roman" w:hAnsi="Times New Roman" w:cs="Times New Roman"/>
                <w:b/>
                <w:bCs/>
                <w:lang w:eastAsia="ru-RU"/>
              </w:rPr>
            </w:pPr>
            <w:r w:rsidRPr="00E47AA9">
              <w:rPr>
                <w:rFonts w:ascii="Times New Roman" w:hAnsi="Times New Roman" w:cs="Times New Roman"/>
                <w:b/>
                <w:bCs/>
              </w:rPr>
              <w:t>1 800,6</w:t>
            </w:r>
            <w:r w:rsidR="00134A38" w:rsidRPr="00E47AA9">
              <w:rPr>
                <w:rFonts w:ascii="Times New Roman" w:hAnsi="Times New Roman" w:cs="Times New Roman"/>
                <w:b/>
                <w:bCs/>
              </w:rPr>
              <w:t>2</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14:paraId="515CE15D" w14:textId="77777777" w:rsidR="008566E1" w:rsidRPr="00E47AA9" w:rsidRDefault="008566E1" w:rsidP="00845A54">
            <w:pPr>
              <w:spacing w:after="0" w:line="240" w:lineRule="auto"/>
              <w:jc w:val="right"/>
              <w:rPr>
                <w:rFonts w:ascii="Times New Roman" w:eastAsia="Times New Roman" w:hAnsi="Times New Roman" w:cs="Times New Roman"/>
                <w:b/>
                <w:bCs/>
                <w:lang w:eastAsia="ru-RU"/>
              </w:rPr>
            </w:pPr>
            <w:r w:rsidRPr="00E47AA9">
              <w:rPr>
                <w:rFonts w:ascii="Times New Roman" w:hAnsi="Times New Roman" w:cs="Times New Roman"/>
                <w:b/>
                <w:bCs/>
              </w:rPr>
              <w:t>1 788,67</w:t>
            </w:r>
          </w:p>
        </w:tc>
        <w:tc>
          <w:tcPr>
            <w:tcW w:w="12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E9E39" w14:textId="77777777" w:rsidR="008566E1" w:rsidRPr="00E47AA9" w:rsidRDefault="008566E1" w:rsidP="00845A54">
            <w:pPr>
              <w:spacing w:after="0" w:line="240" w:lineRule="auto"/>
              <w:jc w:val="right"/>
              <w:rPr>
                <w:rFonts w:ascii="Times New Roman" w:eastAsia="Times New Roman" w:hAnsi="Times New Roman" w:cs="Times New Roman"/>
                <w:b/>
                <w:bCs/>
                <w:lang w:eastAsia="ru-RU"/>
              </w:rPr>
            </w:pPr>
            <w:r w:rsidRPr="00E47AA9">
              <w:rPr>
                <w:rFonts w:ascii="Times New Roman" w:hAnsi="Times New Roman" w:cs="Times New Roman"/>
                <w:b/>
                <w:bCs/>
              </w:rPr>
              <w:t>99,34</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4448F10F" w14:textId="77777777" w:rsidR="008566E1" w:rsidRPr="00E47AA9" w:rsidRDefault="008566E1" w:rsidP="00845A54">
            <w:pPr>
              <w:spacing w:after="0" w:line="240" w:lineRule="auto"/>
              <w:jc w:val="right"/>
              <w:rPr>
                <w:rFonts w:ascii="Times New Roman" w:eastAsia="Times New Roman" w:hAnsi="Times New Roman" w:cs="Times New Roman"/>
                <w:b/>
                <w:bCs/>
                <w:lang w:eastAsia="ru-RU"/>
              </w:rPr>
            </w:pPr>
            <w:r w:rsidRPr="00E47AA9">
              <w:rPr>
                <w:rFonts w:ascii="Times New Roman" w:hAnsi="Times New Roman" w:cs="Times New Roman"/>
                <w:b/>
                <w:bCs/>
              </w:rPr>
              <w:t>11,94</w:t>
            </w:r>
          </w:p>
        </w:tc>
      </w:tr>
      <w:tr w:rsidR="00E47AA9" w:rsidRPr="00E47AA9" w14:paraId="504441B9" w14:textId="77777777" w:rsidTr="00845A54">
        <w:trPr>
          <w:trHeight w:val="232"/>
        </w:trPr>
        <w:tc>
          <w:tcPr>
            <w:tcW w:w="297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45C6C77" w14:textId="77777777" w:rsidR="008566E1" w:rsidRPr="00E47AA9" w:rsidRDefault="008566E1" w:rsidP="004D312A">
            <w:pPr>
              <w:spacing w:after="0" w:line="240" w:lineRule="auto"/>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проектные мероприятия</w:t>
            </w: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A0273" w14:textId="77777777" w:rsidR="008566E1" w:rsidRPr="00E47AA9" w:rsidRDefault="008566E1" w:rsidP="00845A54">
            <w:pPr>
              <w:spacing w:after="0" w:line="240" w:lineRule="auto"/>
              <w:jc w:val="right"/>
              <w:rPr>
                <w:rFonts w:ascii="Times New Roman" w:eastAsia="Times New Roman" w:hAnsi="Times New Roman" w:cs="Times New Roman"/>
                <w:b/>
                <w:lang w:eastAsia="ru-RU"/>
              </w:rPr>
            </w:pPr>
            <w:r w:rsidRPr="00E47AA9">
              <w:rPr>
                <w:rFonts w:ascii="Times New Roman" w:hAnsi="Times New Roman" w:cs="Times New Roman"/>
              </w:rPr>
              <w:t>185,96</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FCBAF0" w14:textId="77777777" w:rsidR="008566E1" w:rsidRPr="00E47AA9" w:rsidRDefault="008566E1" w:rsidP="00845A54">
            <w:pPr>
              <w:spacing w:after="0" w:line="240" w:lineRule="auto"/>
              <w:jc w:val="right"/>
              <w:rPr>
                <w:rFonts w:ascii="Times New Roman" w:eastAsia="Times New Roman" w:hAnsi="Times New Roman" w:cs="Times New Roman"/>
                <w:b/>
                <w:lang w:eastAsia="ru-RU"/>
              </w:rPr>
            </w:pPr>
            <w:r w:rsidRPr="00E47AA9">
              <w:rPr>
                <w:rFonts w:ascii="Times New Roman" w:hAnsi="Times New Roman" w:cs="Times New Roman"/>
              </w:rPr>
              <w:t>185,92</w:t>
            </w:r>
          </w:p>
        </w:tc>
        <w:tc>
          <w:tcPr>
            <w:tcW w:w="12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9C55C4"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99,98</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1C930C1C"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0,04</w:t>
            </w:r>
          </w:p>
        </w:tc>
      </w:tr>
      <w:tr w:rsidR="00E47AA9" w:rsidRPr="00E47AA9" w14:paraId="5627119C" w14:textId="77777777" w:rsidTr="00845A54">
        <w:trPr>
          <w:trHeight w:val="293"/>
        </w:trPr>
        <w:tc>
          <w:tcPr>
            <w:tcW w:w="297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59A2ED8" w14:textId="77777777" w:rsidR="008566E1" w:rsidRPr="00E47AA9" w:rsidRDefault="008566E1" w:rsidP="00845A54">
            <w:pPr>
              <w:spacing w:after="0" w:line="240" w:lineRule="auto"/>
              <w:rPr>
                <w:rFonts w:ascii="Times New Roman" w:eastAsia="Times New Roman" w:hAnsi="Times New Roman" w:cs="Times New Roman"/>
                <w:b/>
                <w:i/>
                <w:iCs/>
                <w:lang w:eastAsia="ru-RU"/>
              </w:rPr>
            </w:pPr>
            <w:r w:rsidRPr="00E47AA9">
              <w:rPr>
                <w:rFonts w:ascii="Times New Roman" w:eastAsia="Times New Roman" w:hAnsi="Times New Roman" w:cs="Times New Roman"/>
                <w:b/>
                <w:i/>
                <w:iCs/>
                <w:lang w:eastAsia="ru-RU"/>
              </w:rPr>
              <w:t>РП, входящие в состав НП</w:t>
            </w: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041019" w14:textId="77777777" w:rsidR="008566E1" w:rsidRPr="00E47AA9" w:rsidRDefault="008566E1" w:rsidP="00845A54">
            <w:pPr>
              <w:spacing w:after="0" w:line="240" w:lineRule="auto"/>
              <w:jc w:val="right"/>
              <w:rPr>
                <w:rFonts w:ascii="Times New Roman" w:eastAsia="Times New Roman" w:hAnsi="Times New Roman" w:cs="Times New Roman"/>
                <w:b/>
                <w:i/>
                <w:iCs/>
                <w:lang w:eastAsia="ru-RU"/>
              </w:rPr>
            </w:pPr>
            <w:r w:rsidRPr="00E47AA9">
              <w:rPr>
                <w:rFonts w:ascii="Times New Roman" w:hAnsi="Times New Roman" w:cs="Times New Roman"/>
                <w:i/>
                <w:iCs/>
              </w:rPr>
              <w:t>185,96</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EA840C" w14:textId="77777777" w:rsidR="008566E1" w:rsidRPr="00E47AA9" w:rsidRDefault="008566E1" w:rsidP="00845A54">
            <w:pPr>
              <w:spacing w:after="0" w:line="240" w:lineRule="auto"/>
              <w:jc w:val="right"/>
              <w:rPr>
                <w:rFonts w:ascii="Times New Roman" w:eastAsia="Times New Roman" w:hAnsi="Times New Roman" w:cs="Times New Roman"/>
                <w:b/>
                <w:i/>
                <w:iCs/>
                <w:lang w:eastAsia="ru-RU"/>
              </w:rPr>
            </w:pPr>
            <w:r w:rsidRPr="00E47AA9">
              <w:rPr>
                <w:rFonts w:ascii="Times New Roman" w:hAnsi="Times New Roman" w:cs="Times New Roman"/>
                <w:i/>
                <w:iCs/>
              </w:rPr>
              <w:t>185,92</w:t>
            </w:r>
          </w:p>
        </w:tc>
        <w:tc>
          <w:tcPr>
            <w:tcW w:w="12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88897" w14:textId="77777777" w:rsidR="008566E1" w:rsidRPr="00E47AA9" w:rsidRDefault="008566E1" w:rsidP="00845A54">
            <w:pPr>
              <w:spacing w:after="0" w:line="240" w:lineRule="auto"/>
              <w:jc w:val="right"/>
              <w:rPr>
                <w:rFonts w:ascii="Times New Roman" w:eastAsia="Times New Roman" w:hAnsi="Times New Roman" w:cs="Times New Roman"/>
                <w:i/>
                <w:lang w:eastAsia="ru-RU"/>
              </w:rPr>
            </w:pPr>
            <w:r w:rsidRPr="00E47AA9">
              <w:rPr>
                <w:rFonts w:ascii="Times New Roman" w:hAnsi="Times New Roman" w:cs="Times New Roman"/>
              </w:rPr>
              <w:t>99,98</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59FCE697" w14:textId="77777777" w:rsidR="008566E1" w:rsidRPr="00E47AA9" w:rsidRDefault="008566E1" w:rsidP="00845A54">
            <w:pPr>
              <w:spacing w:after="0" w:line="240" w:lineRule="auto"/>
              <w:jc w:val="right"/>
              <w:rPr>
                <w:rFonts w:ascii="Times New Roman" w:eastAsia="Times New Roman" w:hAnsi="Times New Roman" w:cs="Times New Roman"/>
                <w:i/>
                <w:lang w:eastAsia="ru-RU"/>
              </w:rPr>
            </w:pPr>
            <w:r w:rsidRPr="00E47AA9">
              <w:rPr>
                <w:rFonts w:ascii="Times New Roman" w:hAnsi="Times New Roman" w:cs="Times New Roman"/>
              </w:rPr>
              <w:t>0,04</w:t>
            </w:r>
          </w:p>
        </w:tc>
      </w:tr>
      <w:tr w:rsidR="00E47AA9" w:rsidRPr="00E47AA9" w14:paraId="5FD2D402" w14:textId="77777777" w:rsidTr="00845A54">
        <w:trPr>
          <w:trHeight w:val="315"/>
        </w:trPr>
        <w:tc>
          <w:tcPr>
            <w:tcW w:w="2977" w:type="dxa"/>
            <w:tcBorders>
              <w:top w:val="single" w:sz="4" w:space="0" w:color="auto"/>
              <w:left w:val="single" w:sz="4" w:space="0" w:color="auto"/>
              <w:bottom w:val="single" w:sz="4" w:space="0" w:color="auto"/>
              <w:right w:val="single" w:sz="4" w:space="0" w:color="auto"/>
            </w:tcBorders>
            <w:shd w:val="clear" w:color="000000" w:fill="FFFFFF"/>
            <w:vAlign w:val="center"/>
          </w:tcPr>
          <w:p w14:paraId="33DB76F2" w14:textId="77777777" w:rsidR="008566E1" w:rsidRPr="00E47AA9" w:rsidRDefault="008566E1" w:rsidP="00845A54">
            <w:pPr>
              <w:spacing w:after="0" w:line="240" w:lineRule="auto"/>
              <w:rPr>
                <w:rFonts w:ascii="Times New Roman" w:eastAsia="Times New Roman" w:hAnsi="Times New Roman" w:cs="Times New Roman"/>
                <w:b/>
                <w:i/>
                <w:lang w:eastAsia="ru-RU"/>
              </w:rPr>
            </w:pPr>
            <w:r w:rsidRPr="00E47AA9">
              <w:rPr>
                <w:rFonts w:ascii="Times New Roman" w:eastAsia="Times New Roman" w:hAnsi="Times New Roman" w:cs="Times New Roman"/>
                <w:b/>
                <w:i/>
                <w:lang w:eastAsia="ru-RU"/>
              </w:rPr>
              <w:t>НП "Демография"</w:t>
            </w: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F03A0" w14:textId="77777777" w:rsidR="008566E1" w:rsidRPr="00E47AA9" w:rsidRDefault="008566E1" w:rsidP="00845A54">
            <w:pPr>
              <w:spacing w:after="0" w:line="240" w:lineRule="auto"/>
              <w:jc w:val="right"/>
              <w:rPr>
                <w:rFonts w:ascii="Times New Roman" w:eastAsia="Times New Roman" w:hAnsi="Times New Roman" w:cs="Times New Roman"/>
                <w:b/>
                <w:i/>
                <w:iCs/>
                <w:lang w:eastAsia="ru-RU"/>
              </w:rPr>
            </w:pPr>
            <w:r w:rsidRPr="00E47AA9">
              <w:rPr>
                <w:rFonts w:ascii="Times New Roman" w:hAnsi="Times New Roman" w:cs="Times New Roman"/>
                <w:i/>
                <w:iCs/>
              </w:rPr>
              <w:t>185,96</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ABF36" w14:textId="77777777" w:rsidR="008566E1" w:rsidRPr="00E47AA9" w:rsidRDefault="008566E1" w:rsidP="00845A54">
            <w:pPr>
              <w:spacing w:after="0" w:line="240" w:lineRule="auto"/>
              <w:jc w:val="right"/>
              <w:rPr>
                <w:rFonts w:ascii="Times New Roman" w:eastAsia="Times New Roman" w:hAnsi="Times New Roman" w:cs="Times New Roman"/>
                <w:b/>
                <w:i/>
                <w:iCs/>
                <w:lang w:eastAsia="ru-RU"/>
              </w:rPr>
            </w:pPr>
            <w:r w:rsidRPr="00E47AA9">
              <w:rPr>
                <w:rFonts w:ascii="Times New Roman" w:hAnsi="Times New Roman" w:cs="Times New Roman"/>
                <w:i/>
                <w:iCs/>
              </w:rPr>
              <w:t>185,92</w:t>
            </w:r>
          </w:p>
        </w:tc>
        <w:tc>
          <w:tcPr>
            <w:tcW w:w="12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622ED" w14:textId="77777777" w:rsidR="008566E1" w:rsidRPr="00E47AA9" w:rsidRDefault="008566E1" w:rsidP="00845A54">
            <w:pPr>
              <w:spacing w:after="0" w:line="240" w:lineRule="auto"/>
              <w:jc w:val="right"/>
              <w:rPr>
                <w:rFonts w:ascii="Times New Roman" w:eastAsia="Times New Roman" w:hAnsi="Times New Roman" w:cs="Times New Roman"/>
                <w:i/>
                <w:lang w:eastAsia="ru-RU"/>
              </w:rPr>
            </w:pPr>
            <w:r w:rsidRPr="00E47AA9">
              <w:rPr>
                <w:rFonts w:ascii="Times New Roman" w:hAnsi="Times New Roman" w:cs="Times New Roman"/>
              </w:rPr>
              <w:t>99,98</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0C66D3AA" w14:textId="77777777" w:rsidR="008566E1" w:rsidRPr="00E47AA9" w:rsidRDefault="008566E1" w:rsidP="00845A54">
            <w:pPr>
              <w:spacing w:after="0" w:line="240" w:lineRule="auto"/>
              <w:jc w:val="right"/>
              <w:rPr>
                <w:rFonts w:ascii="Times New Roman" w:eastAsia="Times New Roman" w:hAnsi="Times New Roman" w:cs="Times New Roman"/>
                <w:i/>
                <w:lang w:eastAsia="ru-RU"/>
              </w:rPr>
            </w:pPr>
            <w:r w:rsidRPr="00E47AA9">
              <w:rPr>
                <w:rFonts w:ascii="Times New Roman" w:hAnsi="Times New Roman" w:cs="Times New Roman"/>
              </w:rPr>
              <w:t>0,04</w:t>
            </w:r>
          </w:p>
        </w:tc>
      </w:tr>
      <w:tr w:rsidR="00E47AA9" w:rsidRPr="00E47AA9" w14:paraId="640EAB88" w14:textId="77777777" w:rsidTr="00845A54">
        <w:trPr>
          <w:trHeight w:val="315"/>
        </w:trPr>
        <w:tc>
          <w:tcPr>
            <w:tcW w:w="297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61C33DC" w14:textId="77777777" w:rsidR="008566E1" w:rsidRPr="00E47AA9" w:rsidRDefault="008566E1"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"Содействие занятости"</w:t>
            </w: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E3E4F"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i/>
                <w:iCs/>
              </w:rPr>
              <w:t>185,96</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9502B"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i/>
                <w:iCs/>
              </w:rPr>
              <w:t>185,92</w:t>
            </w:r>
          </w:p>
        </w:tc>
        <w:tc>
          <w:tcPr>
            <w:tcW w:w="12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7531A6"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99,98</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0AFE97B5"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0,04</w:t>
            </w:r>
          </w:p>
        </w:tc>
      </w:tr>
      <w:tr w:rsidR="00E47AA9" w:rsidRPr="00E47AA9" w14:paraId="188DF673" w14:textId="77777777" w:rsidTr="00845A54">
        <w:trPr>
          <w:trHeight w:val="585"/>
        </w:trPr>
        <w:tc>
          <w:tcPr>
            <w:tcW w:w="297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1D763C3" w14:textId="77777777" w:rsidR="008566E1" w:rsidRPr="00E47AA9" w:rsidRDefault="008566E1" w:rsidP="00845A54">
            <w:pPr>
              <w:spacing w:after="0" w:line="240" w:lineRule="auto"/>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комплексы процессных мероприятий</w:t>
            </w: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1B0422"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1 614,65</w:t>
            </w:r>
          </w:p>
        </w:tc>
        <w:tc>
          <w:tcPr>
            <w:tcW w:w="1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7A7374"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1 602,75</w:t>
            </w:r>
          </w:p>
        </w:tc>
        <w:tc>
          <w:tcPr>
            <w:tcW w:w="12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C0095"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99,26</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7F9F2CFE"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11,90</w:t>
            </w:r>
          </w:p>
        </w:tc>
      </w:tr>
    </w:tbl>
    <w:p w14:paraId="19345C17" w14:textId="77777777" w:rsidR="008566E1" w:rsidRPr="00E47AA9" w:rsidRDefault="008566E1" w:rsidP="008566E1">
      <w:pPr>
        <w:widowControl w:val="0"/>
        <w:spacing w:after="0" w:line="240" w:lineRule="auto"/>
        <w:ind w:firstLine="720"/>
        <w:jc w:val="both"/>
        <w:rPr>
          <w:rFonts w:ascii="Times New Roman" w:hAnsi="Times New Roman" w:cs="Times New Roman"/>
          <w:i/>
          <w:sz w:val="28"/>
        </w:rPr>
      </w:pPr>
    </w:p>
    <w:p w14:paraId="0D7D62ED" w14:textId="01930E5F" w:rsidR="00F31808" w:rsidRPr="00E47AA9" w:rsidRDefault="0003778E" w:rsidP="008566E1">
      <w:pPr>
        <w:widowControl w:val="0"/>
        <w:spacing w:after="0" w:line="240" w:lineRule="auto"/>
        <w:ind w:firstLine="720"/>
        <w:jc w:val="both"/>
        <w:rPr>
          <w:rFonts w:ascii="Times New Roman" w:hAnsi="Times New Roman" w:cs="Times New Roman"/>
          <w:sz w:val="28"/>
        </w:rPr>
      </w:pPr>
      <w:r w:rsidRPr="00E47AA9">
        <w:rPr>
          <w:rFonts w:ascii="Times New Roman" w:hAnsi="Times New Roman" w:cs="Times New Roman"/>
          <w:sz w:val="28"/>
        </w:rPr>
        <w:t>Согласно</w:t>
      </w:r>
      <w:r w:rsidR="00F31808" w:rsidRPr="00E47AA9">
        <w:rPr>
          <w:rFonts w:ascii="Times New Roman" w:hAnsi="Times New Roman" w:cs="Times New Roman"/>
          <w:sz w:val="28"/>
        </w:rPr>
        <w:t xml:space="preserve"> Сводн</w:t>
      </w:r>
      <w:r w:rsidRPr="00E47AA9">
        <w:rPr>
          <w:rFonts w:ascii="Times New Roman" w:hAnsi="Times New Roman" w:cs="Times New Roman"/>
          <w:sz w:val="28"/>
        </w:rPr>
        <w:t>ому</w:t>
      </w:r>
      <w:r w:rsidR="00F31808" w:rsidRPr="00E47AA9">
        <w:rPr>
          <w:rFonts w:ascii="Times New Roman" w:hAnsi="Times New Roman" w:cs="Times New Roman"/>
          <w:sz w:val="28"/>
        </w:rPr>
        <w:t xml:space="preserve"> годов</w:t>
      </w:r>
      <w:r w:rsidRPr="00E47AA9">
        <w:rPr>
          <w:rFonts w:ascii="Times New Roman" w:hAnsi="Times New Roman" w:cs="Times New Roman"/>
          <w:sz w:val="28"/>
        </w:rPr>
        <w:t>о</w:t>
      </w:r>
      <w:r w:rsidR="00F31808" w:rsidRPr="00E47AA9">
        <w:rPr>
          <w:rFonts w:ascii="Times New Roman" w:hAnsi="Times New Roman" w:cs="Times New Roman"/>
          <w:sz w:val="28"/>
        </w:rPr>
        <w:t>м</w:t>
      </w:r>
      <w:r w:rsidRPr="00E47AA9">
        <w:rPr>
          <w:rFonts w:ascii="Times New Roman" w:hAnsi="Times New Roman" w:cs="Times New Roman"/>
          <w:sz w:val="28"/>
        </w:rPr>
        <w:t>у</w:t>
      </w:r>
      <w:r w:rsidR="00F31808" w:rsidRPr="00E47AA9">
        <w:rPr>
          <w:rFonts w:ascii="Times New Roman" w:hAnsi="Times New Roman" w:cs="Times New Roman"/>
          <w:sz w:val="28"/>
        </w:rPr>
        <w:t xml:space="preserve"> доклад</w:t>
      </w:r>
      <w:r w:rsidRPr="00E47AA9">
        <w:rPr>
          <w:rFonts w:ascii="Times New Roman" w:hAnsi="Times New Roman" w:cs="Times New Roman"/>
          <w:sz w:val="28"/>
        </w:rPr>
        <w:t>у</w:t>
      </w:r>
      <w:r w:rsidR="00F31808" w:rsidRPr="00E47AA9">
        <w:rPr>
          <w:rFonts w:ascii="Times New Roman" w:hAnsi="Times New Roman" w:cs="Times New Roman"/>
          <w:sz w:val="28"/>
        </w:rPr>
        <w:t>:</w:t>
      </w:r>
    </w:p>
    <w:p w14:paraId="51682352" w14:textId="28D6761B" w:rsidR="00F31808" w:rsidRPr="00E47AA9" w:rsidRDefault="00F31808" w:rsidP="00F31808">
      <w:pPr>
        <w:widowControl w:val="0"/>
        <w:spacing w:after="0" w:line="240" w:lineRule="auto"/>
        <w:ind w:firstLine="720"/>
        <w:jc w:val="both"/>
        <w:rPr>
          <w:rFonts w:ascii="Times New Roman" w:hAnsi="Times New Roman" w:cs="Times New Roman"/>
          <w:sz w:val="28"/>
        </w:rPr>
      </w:pPr>
      <w:r w:rsidRPr="00E47AA9">
        <w:rPr>
          <w:rFonts w:ascii="Times New Roman" w:hAnsi="Times New Roman" w:cs="Times New Roman"/>
          <w:sz w:val="28"/>
        </w:rPr>
        <w:t>из 46 мероприятий государственной программы, запланированных к выполнению в 2024 году, выполнено в полном объеме 41 мероприятие,</w:t>
      </w:r>
      <w:r w:rsidR="00CC32E7" w:rsidRPr="00E47AA9">
        <w:rPr>
          <w:rFonts w:ascii="Times New Roman" w:hAnsi="Times New Roman" w:cs="Times New Roman"/>
          <w:sz w:val="28"/>
        </w:rPr>
        <w:t xml:space="preserve"> </w:t>
      </w:r>
      <w:r w:rsidR="00CC32E7" w:rsidRPr="00E47AA9">
        <w:rPr>
          <w:rFonts w:ascii="Times New Roman" w:hAnsi="Times New Roman" w:cs="Times New Roman"/>
          <w:sz w:val="28"/>
        </w:rPr>
        <w:br/>
      </w:r>
      <w:r w:rsidRPr="00E47AA9">
        <w:rPr>
          <w:rFonts w:ascii="Times New Roman" w:hAnsi="Times New Roman" w:cs="Times New Roman"/>
          <w:sz w:val="28"/>
        </w:rPr>
        <w:t>3 мероприятия выполнены не в полном объеме, 1 мероприятие не выполнено, 1 мероприятие исключено из плана реализации;</w:t>
      </w:r>
    </w:p>
    <w:p w14:paraId="6A8106AE" w14:textId="467DB377" w:rsidR="00F31808" w:rsidRPr="00E47AA9" w:rsidRDefault="00F31808" w:rsidP="00F31808">
      <w:pPr>
        <w:widowControl w:val="0"/>
        <w:spacing w:after="0" w:line="240" w:lineRule="auto"/>
        <w:ind w:firstLine="720"/>
        <w:jc w:val="both"/>
        <w:rPr>
          <w:rFonts w:ascii="Times New Roman" w:hAnsi="Times New Roman" w:cs="Times New Roman"/>
          <w:sz w:val="28"/>
        </w:rPr>
      </w:pPr>
      <w:r w:rsidRPr="00E47AA9">
        <w:rPr>
          <w:rFonts w:ascii="Times New Roman" w:hAnsi="Times New Roman" w:cs="Times New Roman"/>
          <w:sz w:val="28"/>
        </w:rPr>
        <w:t xml:space="preserve">из 43 показателей государственной программы 34 достигли планового значения, 8 показателей достигнуты не в полном объеме, не достигнут </w:t>
      </w:r>
      <w:r w:rsidR="00CC32E7" w:rsidRPr="00E47AA9">
        <w:rPr>
          <w:rFonts w:ascii="Times New Roman" w:hAnsi="Times New Roman" w:cs="Times New Roman"/>
          <w:sz w:val="28"/>
        </w:rPr>
        <w:br/>
      </w:r>
      <w:r w:rsidRPr="00E47AA9">
        <w:rPr>
          <w:rFonts w:ascii="Times New Roman" w:hAnsi="Times New Roman" w:cs="Times New Roman"/>
          <w:sz w:val="28"/>
        </w:rPr>
        <w:t>1 показатель;</w:t>
      </w:r>
    </w:p>
    <w:p w14:paraId="68CD0437" w14:textId="019B14AD" w:rsidR="00F31808" w:rsidRPr="00E47AA9" w:rsidRDefault="00F31808" w:rsidP="00F31808">
      <w:pPr>
        <w:widowControl w:val="0"/>
        <w:spacing w:after="0" w:line="240" w:lineRule="auto"/>
        <w:ind w:firstLine="720"/>
        <w:jc w:val="both"/>
        <w:rPr>
          <w:rFonts w:ascii="Times New Roman" w:hAnsi="Times New Roman" w:cs="Times New Roman"/>
          <w:sz w:val="28"/>
        </w:rPr>
      </w:pPr>
      <w:r w:rsidRPr="00E47AA9">
        <w:rPr>
          <w:rFonts w:ascii="Times New Roman" w:hAnsi="Times New Roman" w:cs="Times New Roman"/>
          <w:sz w:val="28"/>
        </w:rPr>
        <w:t>эффективность реализации государственной программы составила 90,3</w:t>
      </w:r>
      <w:r w:rsidR="0003778E" w:rsidRPr="00E47AA9">
        <w:rPr>
          <w:rFonts w:ascii="Times New Roman" w:hAnsi="Times New Roman" w:cs="Times New Roman"/>
          <w:sz w:val="28"/>
        </w:rPr>
        <w:t> </w:t>
      </w:r>
      <w:r w:rsidRPr="00E47AA9">
        <w:rPr>
          <w:rFonts w:ascii="Times New Roman" w:hAnsi="Times New Roman" w:cs="Times New Roman"/>
          <w:sz w:val="28"/>
        </w:rPr>
        <w:t>% (ниже среднего уровня).</w:t>
      </w:r>
    </w:p>
    <w:p w14:paraId="08BDAEAF" w14:textId="62A42796" w:rsidR="008566E1" w:rsidRPr="00E47AA9" w:rsidRDefault="008566E1" w:rsidP="008566E1">
      <w:pPr>
        <w:widowControl w:val="0"/>
        <w:spacing w:after="0" w:line="240" w:lineRule="auto"/>
        <w:ind w:firstLine="720"/>
        <w:jc w:val="both"/>
        <w:rPr>
          <w:rFonts w:ascii="Times New Roman" w:hAnsi="Times New Roman" w:cs="Times New Roman"/>
          <w:sz w:val="28"/>
        </w:rPr>
      </w:pPr>
      <w:r w:rsidRPr="00E47AA9">
        <w:rPr>
          <w:rFonts w:ascii="Times New Roman" w:hAnsi="Times New Roman" w:cs="Times New Roman"/>
          <w:sz w:val="28"/>
        </w:rPr>
        <w:t>Мероприятия</w:t>
      </w:r>
      <w:r w:rsidRPr="00E47AA9">
        <w:rPr>
          <w:rFonts w:ascii="Times New Roman" w:hAnsi="Times New Roman" w:cs="Times New Roman"/>
          <w:i/>
          <w:sz w:val="28"/>
        </w:rPr>
        <w:t xml:space="preserve"> РП "Содействие занятости"</w:t>
      </w:r>
      <w:r w:rsidRPr="00E47AA9">
        <w:rPr>
          <w:rFonts w:ascii="Times New Roman" w:hAnsi="Times New Roman" w:cs="Times New Roman"/>
          <w:sz w:val="28"/>
        </w:rPr>
        <w:t xml:space="preserve"> в целях реализации </w:t>
      </w:r>
      <w:r w:rsidRPr="00E47AA9">
        <w:rPr>
          <w:rFonts w:ascii="Times New Roman" w:hAnsi="Times New Roman" w:cs="Times New Roman"/>
          <w:sz w:val="28"/>
        </w:rPr>
        <w:lastRenderedPageBreak/>
        <w:t xml:space="preserve">НП "Демография" </w:t>
      </w:r>
      <w:bookmarkStart w:id="21" w:name="_Hlk194908769"/>
      <w:r w:rsidRPr="00E47AA9">
        <w:rPr>
          <w:rFonts w:ascii="Times New Roman" w:eastAsia="Times New Roman" w:hAnsi="Times New Roman" w:cs="Times New Roman"/>
          <w:sz w:val="28"/>
          <w:szCs w:val="28"/>
          <w:u w:val="single"/>
        </w:rPr>
        <w:t>министерством профессионального образования и занятости населения Приморского края</w:t>
      </w:r>
      <w:r w:rsidRPr="00E47AA9">
        <w:rPr>
          <w:rFonts w:ascii="Times New Roman" w:eastAsia="Times New Roman" w:hAnsi="Times New Roman" w:cs="Times New Roman"/>
          <w:sz w:val="28"/>
          <w:szCs w:val="28"/>
        </w:rPr>
        <w:t xml:space="preserve"> </w:t>
      </w:r>
      <w:bookmarkEnd w:id="21"/>
      <w:r w:rsidRPr="00E47AA9">
        <w:rPr>
          <w:rFonts w:ascii="Times New Roman" w:hAnsi="Times New Roman" w:cs="Times New Roman"/>
          <w:sz w:val="28"/>
        </w:rPr>
        <w:t xml:space="preserve">исполнены практически в полном объеме плановых назначений 185,92 млн рублей (план </w:t>
      </w:r>
      <w:r w:rsidR="0003778E" w:rsidRPr="00E47AA9">
        <w:rPr>
          <w:rFonts w:ascii="Times New Roman" w:hAnsi="Times New Roman" w:cs="Times New Roman"/>
          <w:sz w:val="28"/>
        </w:rPr>
        <w:t xml:space="preserve">– </w:t>
      </w:r>
      <w:r w:rsidRPr="00E47AA9">
        <w:rPr>
          <w:rFonts w:ascii="Times New Roman" w:hAnsi="Times New Roman" w:cs="Times New Roman"/>
          <w:sz w:val="28"/>
        </w:rPr>
        <w:t>185,96 млн рублей). Подробнее анализ исполнения мероприятий РП отражен в приложении 3 к заключению.</w:t>
      </w:r>
    </w:p>
    <w:p w14:paraId="6FE31842" w14:textId="77777777" w:rsidR="008566E1" w:rsidRPr="00E47AA9" w:rsidRDefault="008566E1" w:rsidP="008566E1">
      <w:pPr>
        <w:widowControl w:val="0"/>
        <w:spacing w:after="0" w:line="240" w:lineRule="auto"/>
        <w:ind w:firstLine="720"/>
        <w:jc w:val="both"/>
        <w:rPr>
          <w:rFonts w:ascii="Times New Roman" w:eastAsia="Times New Roman" w:hAnsi="Times New Roman" w:cs="Times New Roman"/>
          <w:b/>
          <w:sz w:val="28"/>
          <w:szCs w:val="28"/>
        </w:rPr>
      </w:pPr>
      <w:r w:rsidRPr="00E47AA9">
        <w:rPr>
          <w:rFonts w:ascii="Times New Roman" w:eastAsia="Times New Roman" w:hAnsi="Times New Roman" w:cs="Times New Roman"/>
          <w:b/>
          <w:sz w:val="28"/>
          <w:szCs w:val="28"/>
        </w:rPr>
        <w:t>Подпрограмма "Мероприятия в сфере занятости населения"</w:t>
      </w:r>
    </w:p>
    <w:p w14:paraId="76268E04" w14:textId="77777777" w:rsidR="008566E1" w:rsidRPr="00E47AA9" w:rsidRDefault="008566E1" w:rsidP="008566E1">
      <w:pPr>
        <w:widowControl w:val="0"/>
        <w:spacing w:after="0" w:line="240" w:lineRule="auto"/>
        <w:ind w:firstLine="720"/>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u w:val="single"/>
        </w:rPr>
        <w:t>Министерство профессионального образования и занятости населения Приморского края</w:t>
      </w:r>
      <w:r w:rsidRPr="00E47AA9">
        <w:rPr>
          <w:rFonts w:ascii="Times New Roman" w:eastAsia="Times New Roman" w:hAnsi="Times New Roman" w:cs="Times New Roman"/>
          <w:sz w:val="28"/>
          <w:szCs w:val="28"/>
        </w:rPr>
        <w:t xml:space="preserve"> </w:t>
      </w:r>
    </w:p>
    <w:p w14:paraId="40231AFA" w14:textId="77777777" w:rsidR="008566E1" w:rsidRPr="00E47AA9" w:rsidRDefault="008566E1" w:rsidP="008566E1">
      <w:pPr>
        <w:widowControl w:val="0"/>
        <w:spacing w:after="0" w:line="240" w:lineRule="auto"/>
        <w:ind w:firstLine="720"/>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Наибольший объем бюджетных ассигнований по министерству приходится на </w:t>
      </w:r>
      <w:r w:rsidRPr="00E47AA9">
        <w:rPr>
          <w:rFonts w:ascii="Times New Roman" w:eastAsia="Times New Roman" w:hAnsi="Times New Roman" w:cs="Times New Roman"/>
          <w:i/>
          <w:sz w:val="28"/>
          <w:szCs w:val="28"/>
        </w:rPr>
        <w:t>КПМ</w:t>
      </w:r>
      <w:r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i/>
          <w:sz w:val="28"/>
          <w:szCs w:val="28"/>
        </w:rPr>
        <w:t>"Активная политика занятости населения и социальная поддержка безработных граждан"</w:t>
      </w:r>
      <w:r w:rsidRPr="00E47AA9">
        <w:rPr>
          <w:rFonts w:ascii="Times New Roman" w:eastAsia="Times New Roman" w:hAnsi="Times New Roman" w:cs="Times New Roman"/>
          <w:sz w:val="28"/>
          <w:szCs w:val="28"/>
        </w:rPr>
        <w:t>. Освоено 1415,46 млн рублей, или 99,42 % от плана (1423,67 млн рублей).</w:t>
      </w:r>
    </w:p>
    <w:p w14:paraId="1DCEB579" w14:textId="77777777" w:rsidR="008566E1" w:rsidRPr="00E47AA9" w:rsidRDefault="008566E1" w:rsidP="008566E1">
      <w:pPr>
        <w:widowControl w:val="0"/>
        <w:spacing w:after="0" w:line="240" w:lineRule="auto"/>
        <w:ind w:firstLine="720"/>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Основной объем занимают расходы на обеспечение деятельности КГКУ "Приморский центр занятости населения" – 717,39 млн рублей, или 99,74 % от плана 719,29 млн рублей.</w:t>
      </w:r>
      <w:r w:rsidRPr="00E47AA9">
        <w:rPr>
          <w:rFonts w:ascii="Times New Roman" w:eastAsia="Times New Roman" w:hAnsi="Times New Roman" w:cs="Times New Roman"/>
          <w:sz w:val="28"/>
          <w:szCs w:val="28"/>
        </w:rPr>
        <w:tab/>
      </w:r>
    </w:p>
    <w:p w14:paraId="1E14B5D5" w14:textId="77777777" w:rsidR="008566E1" w:rsidRPr="00E47AA9" w:rsidRDefault="008566E1" w:rsidP="008566E1">
      <w:pPr>
        <w:widowControl w:val="0"/>
        <w:spacing w:after="0" w:line="240" w:lineRule="auto"/>
        <w:ind w:firstLine="720"/>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В полном или практически в полном объеме плановых назначений исполнены следующие расходы в рамках данного комплекса:</w:t>
      </w:r>
    </w:p>
    <w:p w14:paraId="1B905BD0" w14:textId="77777777" w:rsidR="008566E1" w:rsidRPr="00E47AA9" w:rsidRDefault="008566E1" w:rsidP="008566E1">
      <w:pPr>
        <w:widowControl w:val="0"/>
        <w:spacing w:after="0" w:line="240" w:lineRule="auto"/>
        <w:ind w:firstLine="720"/>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социальные выплаты безработным гражданам и иным категориям граждан в соответствии с законодательством о занятости населения из федерального бюджета </w:t>
      </w:r>
      <w:r w:rsidR="004D312A"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552,80 млн рублей, или 99,79 % от плана 553,94 млн рублей;</w:t>
      </w:r>
    </w:p>
    <w:p w14:paraId="0C1EED38" w14:textId="77777777" w:rsidR="008566E1" w:rsidRPr="00E47AA9" w:rsidRDefault="008566E1" w:rsidP="008566E1">
      <w:pPr>
        <w:widowControl w:val="0"/>
        <w:spacing w:after="0" w:line="240" w:lineRule="auto"/>
        <w:ind w:firstLine="720"/>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организация профессионального обучения и дополнительного профессионального образования участников специальной военной операции, а также членов их семей, – 6,74 млн рублей, или 99,93 % (6,75 млн рублей). В 2024 году на обучение направлено 229 человек: 108 участников специальной военной операции, 121 член семьи участников специальной военной операции;</w:t>
      </w:r>
    </w:p>
    <w:p w14:paraId="197F28BB" w14:textId="77777777" w:rsidR="008566E1" w:rsidRPr="00E47AA9" w:rsidRDefault="008566E1" w:rsidP="008566E1">
      <w:pPr>
        <w:widowControl w:val="0"/>
        <w:spacing w:after="0" w:line="240" w:lineRule="auto"/>
        <w:ind w:firstLine="720"/>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субсидии организациям, юридическим лицам на возмещение затрат, связанных с исполнением государственного социального заказа на оказание государственных услуг в социальной сфере – 8,37 млн рублей, или 99,55 % (8,41 млн рублей);</w:t>
      </w:r>
    </w:p>
    <w:p w14:paraId="3E4A47EE" w14:textId="77777777" w:rsidR="008566E1" w:rsidRPr="00E47AA9" w:rsidRDefault="008566E1" w:rsidP="008566E1">
      <w:pPr>
        <w:widowControl w:val="0"/>
        <w:spacing w:after="0" w:line="240" w:lineRule="auto"/>
        <w:ind w:firstLine="720"/>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субсидии юридическим лицам на содействие занятости отдельных категорий граждан, принимавших участие в специальной военной операции – 19,05 млн рублей (в полном объеме плановых назначений). В 2024 году подали заявки и прошли отбор четыре организации на финансовое обеспечение затрат на содействие занятости отдельных категорий граждан, принимавших участие в специальной военной операции (на 79 человек);</w:t>
      </w:r>
    </w:p>
    <w:p w14:paraId="42B63F91" w14:textId="77777777" w:rsidR="008566E1" w:rsidRPr="00E47AA9" w:rsidRDefault="008566E1" w:rsidP="008566E1">
      <w:pPr>
        <w:widowControl w:val="0"/>
        <w:spacing w:after="0" w:line="240" w:lineRule="auto"/>
        <w:ind w:firstLine="720"/>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оказание содействия </w:t>
      </w:r>
      <w:proofErr w:type="spellStart"/>
      <w:r w:rsidRPr="00E47AA9">
        <w:rPr>
          <w:rFonts w:ascii="Times New Roman" w:eastAsia="Times New Roman" w:hAnsi="Times New Roman" w:cs="Times New Roman"/>
          <w:sz w:val="28"/>
          <w:szCs w:val="28"/>
        </w:rPr>
        <w:t>самозанятости</w:t>
      </w:r>
      <w:proofErr w:type="spellEnd"/>
      <w:r w:rsidRPr="00E47AA9">
        <w:rPr>
          <w:rFonts w:ascii="Times New Roman" w:eastAsia="Times New Roman" w:hAnsi="Times New Roman" w:cs="Times New Roman"/>
          <w:sz w:val="28"/>
          <w:szCs w:val="28"/>
        </w:rPr>
        <w:t xml:space="preserve"> безработным гражданам – 28,31 млн рублей, или 99,26 % от плана 28,53 млн рублей. В 2024 году государственную услугу содействия началу осуществления предпринимательской деятельности получили 1036 человек, оформили государственную регистрацию в качестве юридического лица, индивидуального предпринимателя либо крестьянского (фермерского) хозяйства, налогоплательщика налога на профессиональный доход (</w:t>
      </w:r>
      <w:proofErr w:type="spellStart"/>
      <w:r w:rsidRPr="00E47AA9">
        <w:rPr>
          <w:rFonts w:ascii="Times New Roman" w:eastAsia="Times New Roman" w:hAnsi="Times New Roman" w:cs="Times New Roman"/>
          <w:sz w:val="28"/>
          <w:szCs w:val="28"/>
        </w:rPr>
        <w:t>самозанятого</w:t>
      </w:r>
      <w:proofErr w:type="spellEnd"/>
      <w:r w:rsidRPr="00E47AA9">
        <w:rPr>
          <w:rFonts w:ascii="Times New Roman" w:eastAsia="Times New Roman" w:hAnsi="Times New Roman" w:cs="Times New Roman"/>
          <w:sz w:val="28"/>
          <w:szCs w:val="28"/>
        </w:rPr>
        <w:t xml:space="preserve">) 645 человек, из них 417 человек получили </w:t>
      </w:r>
      <w:r w:rsidRPr="00E47AA9">
        <w:rPr>
          <w:rFonts w:ascii="Times New Roman" w:eastAsia="Times New Roman" w:hAnsi="Times New Roman" w:cs="Times New Roman"/>
          <w:sz w:val="28"/>
          <w:szCs w:val="28"/>
        </w:rPr>
        <w:lastRenderedPageBreak/>
        <w:t>единовременную финансовую помощь при соответствующей государственной регистрации. Создано 31 рабочее место, на которые трудоустроено 26 человек.</w:t>
      </w:r>
    </w:p>
    <w:p w14:paraId="64B169CD" w14:textId="77777777" w:rsidR="008566E1" w:rsidRPr="00E47AA9" w:rsidRDefault="008566E1" w:rsidP="008566E1">
      <w:pPr>
        <w:widowControl w:val="0"/>
        <w:spacing w:after="0" w:line="240" w:lineRule="auto"/>
        <w:ind w:firstLine="720"/>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На организацию мероприятий активной политики занятости населения направлено 30,56 млн рублей, или 92,96 % от плана 32,87 млн</w:t>
      </w:r>
      <w:r w:rsidR="00BB278D" w:rsidRPr="00E47AA9">
        <w:rPr>
          <w:rFonts w:ascii="Times New Roman" w:eastAsia="Times New Roman" w:hAnsi="Times New Roman" w:cs="Times New Roman"/>
          <w:sz w:val="28"/>
          <w:szCs w:val="28"/>
        </w:rPr>
        <w:t xml:space="preserve"> рублей. За 2024 год</w:t>
      </w:r>
      <w:r w:rsidRPr="00E47AA9">
        <w:rPr>
          <w:rFonts w:ascii="Times New Roman" w:eastAsia="Times New Roman" w:hAnsi="Times New Roman" w:cs="Times New Roman"/>
          <w:sz w:val="28"/>
          <w:szCs w:val="28"/>
        </w:rPr>
        <w:t xml:space="preserve"> на профессиональное обучение направлено 2192 безработных гражданина. Экономия средств сложилась по результатам фактической средней стоимости обучения.</w:t>
      </w:r>
    </w:p>
    <w:p w14:paraId="0534CC4C" w14:textId="77777777" w:rsidR="008566E1" w:rsidRPr="00E47AA9" w:rsidRDefault="008566E1" w:rsidP="008566E1">
      <w:pPr>
        <w:widowControl w:val="0"/>
        <w:spacing w:after="0" w:line="240" w:lineRule="auto"/>
        <w:ind w:firstLine="720"/>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В связи с заявительным характером на оказание финансовой поддержки безработным гражданам, женщинам в период отпуска по уходу за ребенком до достижения им возраста трех лет, незанятым гражданам, которым в соответствии с законодательством Российской Федерации назначена страховая пенсия по старости и которые стремятся возобновить трудовую деятельность</w:t>
      </w:r>
      <w:r w:rsidR="00ED64CC"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направлено 3,68 млн рублей, или 73,65 % от плана 5,00 млн рублей. Мерой поддержки воспользовались 215 человек. </w:t>
      </w:r>
    </w:p>
    <w:p w14:paraId="558E2586" w14:textId="77777777" w:rsidR="008566E1" w:rsidRPr="00E47AA9" w:rsidRDefault="008566E1" w:rsidP="008566E1">
      <w:pPr>
        <w:pStyle w:val="ConsPlusNormal"/>
        <w:ind w:firstLine="708"/>
        <w:jc w:val="both"/>
        <w:rPr>
          <w:rFonts w:ascii="Times New Roman" w:hAnsi="Times New Roman" w:cs="Times New Roman"/>
          <w:sz w:val="28"/>
          <w:szCs w:val="28"/>
        </w:rPr>
      </w:pPr>
      <w:r w:rsidRPr="00E47AA9">
        <w:rPr>
          <w:rFonts w:ascii="Times New Roman" w:hAnsi="Times New Roman" w:cs="Times New Roman"/>
          <w:i/>
          <w:iCs/>
          <w:sz w:val="28"/>
          <w:szCs w:val="28"/>
        </w:rPr>
        <w:t>КПМ "Реализация мероприятий, направленных на трудоустройство неработающих инвалидов"</w:t>
      </w:r>
      <w:r w:rsidRPr="00E47AA9">
        <w:rPr>
          <w:rFonts w:ascii="Times New Roman" w:hAnsi="Times New Roman" w:cs="Times New Roman"/>
          <w:sz w:val="28"/>
          <w:szCs w:val="28"/>
        </w:rPr>
        <w:t xml:space="preserve"> исполнен в сумме 24,25 млн рублей, или 98,23 % от плана 24,68 млн рублей. Средства направлены на финансовое обеспечение затрат работодателей на оплату труда инвалидов в течение одного финансового года и их наставников в течение 3 месяцев. Трудоустроено 58 инвалидов с привлечением 52 наставников.</w:t>
      </w:r>
    </w:p>
    <w:p w14:paraId="49425C12" w14:textId="77777777" w:rsidR="008566E1" w:rsidRPr="00E47AA9" w:rsidRDefault="008566E1" w:rsidP="008566E1">
      <w:pPr>
        <w:pStyle w:val="ConsPlusNormal"/>
        <w:ind w:firstLine="708"/>
        <w:jc w:val="both"/>
        <w:rPr>
          <w:rFonts w:ascii="Times New Roman" w:hAnsi="Times New Roman" w:cs="Times New Roman"/>
          <w:sz w:val="28"/>
          <w:szCs w:val="28"/>
        </w:rPr>
      </w:pPr>
      <w:r w:rsidRPr="00E47AA9">
        <w:rPr>
          <w:rFonts w:ascii="Times New Roman" w:hAnsi="Times New Roman" w:cs="Times New Roman"/>
          <w:i/>
          <w:iCs/>
          <w:sz w:val="28"/>
          <w:szCs w:val="28"/>
        </w:rPr>
        <w:t>КПМ "Содействие в трудоустройстве лиц, освобожденных из учреждений, исполняющих наказание в виде лишения свободы"</w:t>
      </w:r>
      <w:r w:rsidRPr="00E47AA9">
        <w:rPr>
          <w:rFonts w:ascii="Times New Roman" w:hAnsi="Times New Roman" w:cs="Times New Roman"/>
          <w:sz w:val="28"/>
          <w:szCs w:val="28"/>
        </w:rPr>
        <w:t xml:space="preserve"> исполнен в сумме 3,51 млн рублей, или 95,12 % от плана 3,69 млн рублей. Предос</w:t>
      </w:r>
      <w:r w:rsidR="00BB278D" w:rsidRPr="00E47AA9">
        <w:rPr>
          <w:rFonts w:ascii="Times New Roman" w:hAnsi="Times New Roman" w:cs="Times New Roman"/>
          <w:sz w:val="28"/>
          <w:szCs w:val="28"/>
        </w:rPr>
        <w:t>тавлены субсидии работодателям –</w:t>
      </w:r>
      <w:r w:rsidRPr="00E47AA9">
        <w:rPr>
          <w:rFonts w:ascii="Times New Roman" w:hAnsi="Times New Roman" w:cs="Times New Roman"/>
          <w:sz w:val="28"/>
          <w:szCs w:val="28"/>
        </w:rPr>
        <w:t xml:space="preserve"> организациям (за исключением государственных (муниципальных) учреждений) и индивидуальным предпринимателям на частичное возмещение затрат, связанных с оплатой труда работников из числа граждан, трудоустроенных по направлению органов службы занятости населения и относящихся к категории лиц, освобожденных из учреждений, исполняющих наказание в виде лишения свободы, и граждан, отбывших наказание в виде принудительных работ. В результате реализации мероприятия в 2024 году трудоустроено 43 гражданина, относящихся к категории лиц, освобожденных из учреждений, исполняющих наказание в виде лишения свободы, и граждан, отбывших наказание в виде принудительных работ.</w:t>
      </w:r>
    </w:p>
    <w:p w14:paraId="11D308F1" w14:textId="0106F205" w:rsidR="008566E1" w:rsidRPr="00E47AA9" w:rsidRDefault="008566E1" w:rsidP="008566E1">
      <w:pPr>
        <w:widowControl w:val="0"/>
        <w:spacing w:after="0" w:line="240" w:lineRule="auto"/>
        <w:ind w:firstLine="720"/>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i/>
          <w:iCs/>
          <w:sz w:val="28"/>
          <w:szCs w:val="28"/>
          <w:lang w:eastAsia="ru-RU"/>
        </w:rPr>
        <w:t>КПМ "Государственная поддержка победителей, призеров конкурса молодых специалистов в социально значимых и приоритетных отраслях экономики Приморского края"</w:t>
      </w:r>
      <w:r w:rsidRPr="00E47AA9">
        <w:rPr>
          <w:rFonts w:ascii="Times New Roman" w:eastAsia="Times New Roman" w:hAnsi="Times New Roman" w:cs="Times New Roman"/>
          <w:bCs/>
          <w:sz w:val="28"/>
          <w:szCs w:val="28"/>
          <w:lang w:eastAsia="ru-RU"/>
        </w:rPr>
        <w:t xml:space="preserve"> исполнен в сумме 6,44 млн рублей, или 95,16 % (план</w:t>
      </w:r>
      <w:r w:rsidR="00576C74" w:rsidRPr="00E47AA9">
        <w:rPr>
          <w:rFonts w:ascii="Times New Roman" w:eastAsia="Times New Roman" w:hAnsi="Times New Roman" w:cs="Times New Roman"/>
          <w:bCs/>
          <w:sz w:val="28"/>
          <w:szCs w:val="28"/>
          <w:lang w:eastAsia="ru-RU"/>
        </w:rPr>
        <w:t xml:space="preserve"> –</w:t>
      </w:r>
      <w:r w:rsidRPr="00E47AA9">
        <w:rPr>
          <w:rFonts w:ascii="Times New Roman" w:eastAsia="Times New Roman" w:hAnsi="Times New Roman" w:cs="Times New Roman"/>
          <w:bCs/>
          <w:sz w:val="28"/>
          <w:szCs w:val="28"/>
          <w:lang w:eastAsia="ru-RU"/>
        </w:rPr>
        <w:t xml:space="preserve"> 6,77 млн рублей), в том числе:</w:t>
      </w:r>
    </w:p>
    <w:p w14:paraId="680AB654" w14:textId="77777777" w:rsidR="008566E1" w:rsidRPr="00E47AA9" w:rsidRDefault="008566E1" w:rsidP="008566E1">
      <w:pPr>
        <w:widowControl w:val="0"/>
        <w:spacing w:after="0" w:line="240" w:lineRule="auto"/>
        <w:ind w:firstLine="720"/>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u w:val="single"/>
          <w:lang w:eastAsia="ru-RU"/>
        </w:rPr>
        <w:t>министерством профессионального образования и занятости населения Приморского края</w:t>
      </w:r>
      <w:r w:rsidRPr="00E47AA9">
        <w:rPr>
          <w:rFonts w:ascii="Times New Roman" w:eastAsia="Times New Roman" w:hAnsi="Times New Roman" w:cs="Times New Roman"/>
          <w:bCs/>
          <w:sz w:val="28"/>
          <w:szCs w:val="28"/>
          <w:lang w:eastAsia="ru-RU"/>
        </w:rPr>
        <w:t xml:space="preserve"> – 5,73 млн рублей, или 94,58 % от плана 6,06 млн рублей. </w:t>
      </w:r>
    </w:p>
    <w:p w14:paraId="7E0197DE" w14:textId="77777777" w:rsidR="008566E1" w:rsidRPr="00E47AA9" w:rsidRDefault="008566E1" w:rsidP="008566E1">
      <w:pPr>
        <w:widowControl w:val="0"/>
        <w:spacing w:after="0" w:line="240" w:lineRule="auto"/>
        <w:ind w:firstLine="720"/>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а</w:t>
      </w:r>
      <w:r w:rsidRPr="00E47AA9">
        <w:rPr>
          <w:rFonts w:ascii="Times New Roman" w:eastAsia="Times New Roman" w:hAnsi="Times New Roman" w:cs="Times New Roman"/>
          <w:bCs/>
          <w:sz w:val="28"/>
          <w:szCs w:val="28"/>
          <w:u w:val="single"/>
          <w:lang w:eastAsia="ru-RU"/>
        </w:rPr>
        <w:t xml:space="preserve">гентством по делам молодежи Приморского края </w:t>
      </w:r>
      <w:r w:rsidRPr="00E47AA9">
        <w:rPr>
          <w:rFonts w:ascii="Times New Roman" w:eastAsia="Times New Roman" w:hAnsi="Times New Roman" w:cs="Times New Roman"/>
          <w:bCs/>
          <w:sz w:val="28"/>
          <w:szCs w:val="28"/>
          <w:lang w:eastAsia="ru-RU"/>
        </w:rPr>
        <w:t xml:space="preserve">– в полном объеме плановых назначений 0,71 млн рублей. </w:t>
      </w:r>
    </w:p>
    <w:p w14:paraId="1E2C1A4F" w14:textId="77777777" w:rsidR="008566E1" w:rsidRPr="00E47AA9" w:rsidRDefault="008566E1" w:rsidP="008566E1">
      <w:pPr>
        <w:widowControl w:val="0"/>
        <w:spacing w:after="0" w:line="240" w:lineRule="auto"/>
        <w:ind w:firstLine="720"/>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В рамках КПМ денежная выплата предоставлена 95 победителям, призерам конкурса.</w:t>
      </w:r>
    </w:p>
    <w:p w14:paraId="1CFA0984" w14:textId="77777777" w:rsidR="008566E1" w:rsidRPr="00E47AA9" w:rsidRDefault="008566E1" w:rsidP="008566E1">
      <w:pPr>
        <w:widowControl w:val="0"/>
        <w:spacing w:after="0" w:line="240" w:lineRule="auto"/>
        <w:ind w:firstLine="720"/>
        <w:jc w:val="both"/>
        <w:rPr>
          <w:rFonts w:ascii="Times New Roman" w:eastAsia="Times New Roman" w:hAnsi="Times New Roman" w:cs="Times New Roman"/>
          <w:b/>
          <w:bCs/>
          <w:sz w:val="28"/>
          <w:szCs w:val="28"/>
          <w:lang w:eastAsia="ru-RU"/>
        </w:rPr>
      </w:pPr>
      <w:r w:rsidRPr="00E47AA9">
        <w:rPr>
          <w:rFonts w:ascii="Times New Roman" w:eastAsia="Times New Roman" w:hAnsi="Times New Roman" w:cs="Times New Roman"/>
          <w:b/>
          <w:bCs/>
          <w:sz w:val="28"/>
          <w:szCs w:val="28"/>
          <w:lang w:eastAsia="ru-RU"/>
        </w:rPr>
        <w:lastRenderedPageBreak/>
        <w:t>Подпрограмма "Улучшение условий и охраны труда в Приморском крае"</w:t>
      </w:r>
    </w:p>
    <w:p w14:paraId="3F4BC500" w14:textId="6B2F27B9" w:rsidR="008566E1" w:rsidRPr="00E47AA9" w:rsidRDefault="008566E1" w:rsidP="008566E1">
      <w:pPr>
        <w:widowControl w:val="0"/>
        <w:spacing w:after="0" w:line="240" w:lineRule="auto"/>
        <w:ind w:firstLine="720"/>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u w:val="single"/>
          <w:lang w:eastAsia="ru-RU"/>
        </w:rPr>
        <w:t>Министерством труда и социальной политики Приморского края</w:t>
      </w:r>
      <w:r w:rsidRPr="00E47AA9">
        <w:rPr>
          <w:rFonts w:ascii="Times New Roman" w:eastAsia="Times New Roman" w:hAnsi="Times New Roman" w:cs="Times New Roman"/>
          <w:bCs/>
          <w:sz w:val="28"/>
          <w:szCs w:val="28"/>
          <w:lang w:eastAsia="ru-RU"/>
        </w:rPr>
        <w:t xml:space="preserve"> бюджетные ассигнования на </w:t>
      </w:r>
      <w:r w:rsidRPr="00E47AA9">
        <w:rPr>
          <w:rFonts w:ascii="Times New Roman" w:eastAsia="Times New Roman" w:hAnsi="Times New Roman" w:cs="Times New Roman"/>
          <w:bCs/>
          <w:i/>
          <w:sz w:val="28"/>
          <w:szCs w:val="28"/>
          <w:lang w:eastAsia="ru-RU"/>
        </w:rPr>
        <w:t>КПМ "Превентивные меры, направленные на снижение производственного травматизма и профессиональных заболеваний"</w:t>
      </w:r>
      <w:r w:rsidRPr="00E47AA9">
        <w:rPr>
          <w:rFonts w:ascii="Times New Roman" w:eastAsia="Times New Roman" w:hAnsi="Times New Roman" w:cs="Times New Roman"/>
          <w:bCs/>
          <w:sz w:val="28"/>
          <w:szCs w:val="28"/>
          <w:lang w:eastAsia="ru-RU"/>
        </w:rPr>
        <w:t xml:space="preserve"> исполнены в сумме 47,28 млн рублей, или 95,17 % (план</w:t>
      </w:r>
      <w:r w:rsidR="00576C74" w:rsidRPr="00E47AA9">
        <w:rPr>
          <w:rFonts w:ascii="Times New Roman" w:eastAsia="Times New Roman" w:hAnsi="Times New Roman" w:cs="Times New Roman"/>
          <w:bCs/>
          <w:sz w:val="28"/>
          <w:szCs w:val="28"/>
          <w:lang w:eastAsia="ru-RU"/>
        </w:rPr>
        <w:t> –</w:t>
      </w:r>
      <w:r w:rsidRPr="00E47AA9">
        <w:rPr>
          <w:rFonts w:ascii="Times New Roman" w:eastAsia="Times New Roman" w:hAnsi="Times New Roman" w:cs="Times New Roman"/>
          <w:bCs/>
          <w:sz w:val="28"/>
          <w:szCs w:val="28"/>
          <w:lang w:eastAsia="ru-RU"/>
        </w:rPr>
        <w:t xml:space="preserve"> 49,68 млн рублей), из них 46,87 млн рублей – на осуществление органами местного самоуправления отдельных государственных полномочий по государственному управлению охраной труда.</w:t>
      </w:r>
    </w:p>
    <w:p w14:paraId="58D165BE" w14:textId="77777777" w:rsidR="008566E1" w:rsidRPr="00E47AA9" w:rsidRDefault="008566E1" w:rsidP="008566E1">
      <w:pPr>
        <w:spacing w:after="0" w:line="240" w:lineRule="auto"/>
        <w:ind w:firstLine="709"/>
        <w:jc w:val="both"/>
        <w:rPr>
          <w:rFonts w:ascii="Times New Roman" w:hAnsi="Times New Roman" w:cs="Times New Roman"/>
          <w:b/>
          <w:sz w:val="28"/>
          <w:szCs w:val="28"/>
        </w:rPr>
      </w:pPr>
      <w:r w:rsidRPr="00E47AA9">
        <w:rPr>
          <w:rFonts w:ascii="Times New Roman" w:hAnsi="Times New Roman" w:cs="Times New Roman"/>
          <w:b/>
          <w:sz w:val="28"/>
          <w:szCs w:val="28"/>
        </w:rPr>
        <w:t>Подпрограмма "Об оказании содействия добровольному переселению в Приморский край соотечественников, проживающих за рубежом"</w:t>
      </w:r>
    </w:p>
    <w:p w14:paraId="74391492" w14:textId="77777777" w:rsidR="008566E1" w:rsidRPr="00E47AA9" w:rsidRDefault="008566E1" w:rsidP="008566E1">
      <w:pPr>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u w:val="single"/>
        </w:rPr>
        <w:t>Министерством профессионального образования и занятости населения Приморского края</w:t>
      </w:r>
      <w:r w:rsidRPr="00E47AA9">
        <w:rPr>
          <w:rFonts w:ascii="Times New Roman" w:hAnsi="Times New Roman" w:cs="Times New Roman"/>
          <w:sz w:val="28"/>
          <w:szCs w:val="28"/>
        </w:rPr>
        <w:t xml:space="preserve"> средства на </w:t>
      </w:r>
      <w:r w:rsidRPr="00E47AA9">
        <w:rPr>
          <w:rFonts w:ascii="Times New Roman" w:hAnsi="Times New Roman" w:cs="Times New Roman"/>
          <w:bCs/>
          <w:i/>
          <w:sz w:val="28"/>
          <w:szCs w:val="28"/>
        </w:rPr>
        <w:t>КПМ "Реализация мероприятий, направленных на добровольное переселение соотечественников, проживающих за рубежом"</w:t>
      </w:r>
      <w:r w:rsidRPr="00E47AA9">
        <w:rPr>
          <w:rFonts w:ascii="Times New Roman" w:hAnsi="Times New Roman" w:cs="Times New Roman"/>
        </w:rPr>
        <w:t xml:space="preserve"> </w:t>
      </w:r>
      <w:r w:rsidRPr="00E47AA9">
        <w:rPr>
          <w:rFonts w:ascii="Times New Roman" w:hAnsi="Times New Roman" w:cs="Times New Roman"/>
          <w:sz w:val="28"/>
          <w:szCs w:val="28"/>
        </w:rPr>
        <w:t>по оказанию содействия добровольному переселению в Российскую Федерацию соотечественников, проживающих за рубежом исполнены практически в полном объеме плановых назначений в сумме 7,29 млн рублей, или 99,94 % от плана 7,30 млн рублей. Основной объем средств (6,75 млн рублей) направлен на социальную поддержку участников Государственной программы по оказанию содействия добровольному переселению в Российскую Федерацию соотечественников, проживающих за рубежом.</w:t>
      </w:r>
    </w:p>
    <w:p w14:paraId="4CD70A1E" w14:textId="77777777" w:rsidR="008566E1" w:rsidRPr="00E47AA9" w:rsidRDefault="008566E1" w:rsidP="008566E1">
      <w:pPr>
        <w:spacing w:after="0" w:line="240" w:lineRule="auto"/>
        <w:ind w:firstLine="709"/>
        <w:jc w:val="both"/>
        <w:rPr>
          <w:rFonts w:ascii="Times New Roman" w:eastAsia="Times New Roman" w:hAnsi="Times New Roman" w:cs="Times New Roman"/>
          <w:bCs/>
          <w:sz w:val="28"/>
          <w:szCs w:val="28"/>
          <w:lang w:eastAsia="ru-RU"/>
        </w:rPr>
      </w:pPr>
    </w:p>
    <w:p w14:paraId="70ABFC15" w14:textId="77777777" w:rsidR="008566E1" w:rsidRPr="00E47AA9" w:rsidRDefault="008566E1" w:rsidP="008566E1">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noProof/>
          <w:sz w:val="20"/>
          <w:szCs w:val="20"/>
          <w:lang w:eastAsia="ru-RU"/>
        </w:rPr>
        <w:drawing>
          <wp:anchor distT="0" distB="0" distL="114300" distR="114300" simplePos="0" relativeHeight="251673600" behindDoc="0" locked="0" layoutInCell="1" allowOverlap="1" wp14:anchorId="2EAC96BB" wp14:editId="1554821E">
            <wp:simplePos x="0" y="0"/>
            <wp:positionH relativeFrom="column">
              <wp:posOffset>-34381</wp:posOffset>
            </wp:positionH>
            <wp:positionV relativeFrom="paragraph">
              <wp:posOffset>17690</wp:posOffset>
            </wp:positionV>
            <wp:extent cx="1299845" cy="948690"/>
            <wp:effectExtent l="0" t="0" r="0" b="3810"/>
            <wp:wrapSquare wrapText="bothSides"/>
            <wp:docPr id="40" name="Рисунок 40" descr="C:\Users\zavzyataya_sv\Desktop\Картинки к исполнению\notes-музыка-рисунки_csp09578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zavzyataya_sv\Desktop\Картинки к исполнению\notes-музыка-рисунки_csp0957843.jp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b="6253"/>
                    <a:stretch/>
                  </pic:blipFill>
                  <pic:spPr bwMode="auto">
                    <a:xfrm>
                      <a:off x="0" y="0"/>
                      <a:ext cx="1299845" cy="9486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47AA9">
        <w:rPr>
          <w:rFonts w:ascii="Times New Roman" w:eastAsia="Times New Roman" w:hAnsi="Times New Roman" w:cs="Times New Roman"/>
          <w:b/>
          <w:sz w:val="28"/>
          <w:szCs w:val="28"/>
          <w:lang w:eastAsia="ru-RU"/>
        </w:rPr>
        <w:t>5.2.5. Государственная программа Приморского края "Развитие культуры Приморского края"</w:t>
      </w:r>
    </w:p>
    <w:p w14:paraId="10F2B402" w14:textId="77777777" w:rsidR="008566E1" w:rsidRPr="00E47AA9" w:rsidRDefault="008566E1" w:rsidP="008566E1">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sz w:val="28"/>
          <w:szCs w:val="28"/>
          <w:lang w:eastAsia="ru-RU"/>
        </w:rPr>
        <w:t>На 2024 год уточненные бюджетные назначения составили 3929,56 млн рублей, в том числе за счет средств федерального бюджета – 748,88 млн рублей, краевого бюджета – 3180,68 млн рублей.</w:t>
      </w:r>
    </w:p>
    <w:p w14:paraId="49F0664D" w14:textId="77777777" w:rsidR="008566E1" w:rsidRPr="00E47AA9" w:rsidRDefault="008566E1" w:rsidP="008566E1">
      <w:pPr>
        <w:autoSpaceDE w:val="0"/>
        <w:autoSpaceDN w:val="0"/>
        <w:adjustRightInd w:val="0"/>
        <w:spacing w:after="0" w:line="240" w:lineRule="auto"/>
        <w:ind w:firstLine="708"/>
        <w:jc w:val="both"/>
        <w:rPr>
          <w:rFonts w:ascii="Times New Roman" w:eastAsia="Calibri" w:hAnsi="Times New Roman" w:cs="Times New Roman"/>
          <w:sz w:val="28"/>
          <w:szCs w:val="28"/>
        </w:rPr>
      </w:pPr>
      <w:r w:rsidRPr="00E47AA9">
        <w:rPr>
          <w:rFonts w:ascii="Times New Roman" w:eastAsia="Times New Roman" w:hAnsi="Times New Roman" w:cs="Times New Roman"/>
          <w:sz w:val="28"/>
          <w:szCs w:val="28"/>
          <w:lang w:eastAsia="ru-RU"/>
        </w:rPr>
        <w:t xml:space="preserve">Согласно </w:t>
      </w:r>
      <w:proofErr w:type="gramStart"/>
      <w:r w:rsidRPr="00E47AA9">
        <w:rPr>
          <w:rFonts w:ascii="Times New Roman" w:eastAsia="Times New Roman" w:hAnsi="Times New Roman" w:cs="Times New Roman"/>
          <w:sz w:val="28"/>
          <w:szCs w:val="28"/>
          <w:lang w:eastAsia="ru-RU"/>
        </w:rPr>
        <w:t>паспорту</w:t>
      </w:r>
      <w:proofErr w:type="gramEnd"/>
      <w:r w:rsidRPr="00E47AA9">
        <w:rPr>
          <w:rFonts w:ascii="Times New Roman" w:eastAsia="Times New Roman" w:hAnsi="Times New Roman" w:cs="Times New Roman"/>
          <w:sz w:val="28"/>
          <w:szCs w:val="28"/>
          <w:lang w:eastAsia="ru-RU"/>
        </w:rPr>
        <w:t xml:space="preserve"> ответственным исполнителем ГП является </w:t>
      </w:r>
      <w:r w:rsidRPr="00E47AA9">
        <w:rPr>
          <w:rFonts w:ascii="Times New Roman" w:eastAsia="Calibri" w:hAnsi="Times New Roman" w:cs="Times New Roman"/>
          <w:sz w:val="28"/>
          <w:szCs w:val="28"/>
        </w:rPr>
        <w:t xml:space="preserve">министерство культуры и архивного дела Приморского края, соисполнители – 3 главных распорядителя бюджетных средств (департамент информационной политики Приморского края, инспекция по охране объектов культурного наследия Приморского края, министерство строительства Приморского края, </w:t>
      </w:r>
      <w:r w:rsidRPr="00E47AA9">
        <w:rPr>
          <w:rFonts w:ascii="Times New Roman" w:hAnsi="Times New Roman" w:cs="Times New Roman"/>
          <w:bCs/>
          <w:sz w:val="28"/>
          <w:szCs w:val="28"/>
        </w:rPr>
        <w:t>министерство имущественных и земельных отношений Приморского края</w:t>
      </w:r>
      <w:r w:rsidRPr="00E47AA9">
        <w:rPr>
          <w:rFonts w:ascii="Times New Roman" w:eastAsia="Calibri" w:hAnsi="Times New Roman" w:cs="Times New Roman"/>
          <w:sz w:val="28"/>
          <w:szCs w:val="28"/>
        </w:rPr>
        <w:t>).</w:t>
      </w:r>
    </w:p>
    <w:p w14:paraId="26916CF1" w14:textId="13094398" w:rsidR="008566E1" w:rsidRPr="00E47AA9" w:rsidRDefault="008566E1" w:rsidP="00647486">
      <w:pPr>
        <w:spacing w:after="0" w:line="240" w:lineRule="auto"/>
        <w:ind w:firstLine="708"/>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 xml:space="preserve">За отчетный период исполнение мероприятий ГП составило 3913,48 млн рублей, или 99,59 % от плановых назначений, в том числе за счет средств федерального бюджета – 746,77 млн рублей, или 99,72 % (план </w:t>
      </w:r>
      <w:r w:rsidR="00576C74" w:rsidRPr="00E47AA9">
        <w:rPr>
          <w:rFonts w:ascii="Times New Roman" w:eastAsia="Calibri" w:hAnsi="Times New Roman" w:cs="Times New Roman"/>
          <w:sz w:val="28"/>
          <w:szCs w:val="28"/>
          <w:lang w:eastAsia="ru-RU"/>
        </w:rPr>
        <w:t xml:space="preserve">– </w:t>
      </w:r>
      <w:r w:rsidRPr="00E47AA9">
        <w:rPr>
          <w:rFonts w:ascii="Times New Roman" w:eastAsia="Calibri" w:hAnsi="Times New Roman" w:cs="Times New Roman"/>
          <w:sz w:val="28"/>
          <w:szCs w:val="28"/>
          <w:lang w:eastAsia="ru-RU"/>
        </w:rPr>
        <w:t>748,88 млн рублей), краевого бюджета – 3166,71млн рублей, или 99,56 % (3180,68 млн рублей).</w:t>
      </w:r>
      <w:r w:rsidR="00647486" w:rsidRPr="00E47AA9">
        <w:rPr>
          <w:rFonts w:ascii="Times New Roman" w:eastAsia="Calibri" w:hAnsi="Times New Roman" w:cs="Times New Roman"/>
          <w:sz w:val="28"/>
          <w:szCs w:val="28"/>
          <w:lang w:eastAsia="ru-RU"/>
        </w:rPr>
        <w:t xml:space="preserve"> </w:t>
      </w:r>
    </w:p>
    <w:p w14:paraId="340D32A4" w14:textId="77777777" w:rsidR="008566E1" w:rsidRPr="00E47AA9" w:rsidRDefault="008566E1" w:rsidP="008566E1">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Исполнение ГП в разрезе главных распорядителей средств краевого бюджета приведено в таблице.</w:t>
      </w:r>
    </w:p>
    <w:tbl>
      <w:tblPr>
        <w:tblW w:w="9400" w:type="dxa"/>
        <w:tblLook w:val="04A0" w:firstRow="1" w:lastRow="0" w:firstColumn="1" w:lastColumn="0" w:noHBand="0" w:noVBand="1"/>
      </w:tblPr>
      <w:tblGrid>
        <w:gridCol w:w="2972"/>
        <w:gridCol w:w="583"/>
        <w:gridCol w:w="1335"/>
        <w:gridCol w:w="1319"/>
        <w:gridCol w:w="1221"/>
        <w:gridCol w:w="787"/>
        <w:gridCol w:w="1183"/>
      </w:tblGrid>
      <w:tr w:rsidR="00E47AA9" w:rsidRPr="00E47AA9" w14:paraId="2B94A548" w14:textId="77777777" w:rsidTr="00845A54">
        <w:trPr>
          <w:trHeight w:val="300"/>
          <w:tblHeader/>
        </w:trPr>
        <w:tc>
          <w:tcPr>
            <w:tcW w:w="2972" w:type="dxa"/>
            <w:tcBorders>
              <w:bottom w:val="single" w:sz="4" w:space="0" w:color="auto"/>
            </w:tcBorders>
            <w:shd w:val="clear" w:color="auto" w:fill="auto"/>
            <w:vAlign w:val="center"/>
          </w:tcPr>
          <w:p w14:paraId="795C964A"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p>
        </w:tc>
        <w:tc>
          <w:tcPr>
            <w:tcW w:w="583" w:type="dxa"/>
            <w:tcBorders>
              <w:bottom w:val="single" w:sz="4" w:space="0" w:color="auto"/>
            </w:tcBorders>
            <w:shd w:val="clear" w:color="auto" w:fill="auto"/>
            <w:textDirection w:val="btLr"/>
            <w:vAlign w:val="center"/>
          </w:tcPr>
          <w:p w14:paraId="6FFE977B"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p>
        </w:tc>
        <w:tc>
          <w:tcPr>
            <w:tcW w:w="1335" w:type="dxa"/>
            <w:tcBorders>
              <w:bottom w:val="single" w:sz="4" w:space="0" w:color="auto"/>
            </w:tcBorders>
            <w:shd w:val="clear" w:color="auto" w:fill="auto"/>
            <w:vAlign w:val="center"/>
          </w:tcPr>
          <w:p w14:paraId="15063A9A"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p>
        </w:tc>
        <w:tc>
          <w:tcPr>
            <w:tcW w:w="4510" w:type="dxa"/>
            <w:gridSpan w:val="4"/>
            <w:tcBorders>
              <w:bottom w:val="single" w:sz="4" w:space="0" w:color="auto"/>
            </w:tcBorders>
            <w:shd w:val="clear" w:color="auto" w:fill="auto"/>
            <w:vAlign w:val="center"/>
          </w:tcPr>
          <w:p w14:paraId="2B02F598" w14:textId="77777777" w:rsidR="008566E1" w:rsidRPr="00E47AA9" w:rsidRDefault="00ED64CC" w:rsidP="00ED64CC">
            <w:pPr>
              <w:spacing w:after="0" w:line="240" w:lineRule="auto"/>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lang w:eastAsia="ru-RU"/>
              </w:rPr>
              <w:t>(</w:t>
            </w:r>
            <w:r w:rsidR="008566E1" w:rsidRPr="00E47AA9">
              <w:rPr>
                <w:rFonts w:ascii="Times New Roman" w:eastAsia="Times New Roman" w:hAnsi="Times New Roman" w:cs="Times New Roman"/>
                <w:sz w:val="24"/>
                <w:szCs w:val="20"/>
                <w:lang w:eastAsia="ru-RU"/>
              </w:rPr>
              <w:t>млн рублей</w:t>
            </w:r>
            <w:r w:rsidRPr="00E47AA9">
              <w:rPr>
                <w:rFonts w:ascii="Times New Roman" w:eastAsia="Times New Roman" w:hAnsi="Times New Roman" w:cs="Times New Roman"/>
                <w:sz w:val="24"/>
                <w:szCs w:val="20"/>
                <w:lang w:eastAsia="ru-RU"/>
              </w:rPr>
              <w:t>)</w:t>
            </w:r>
          </w:p>
        </w:tc>
      </w:tr>
      <w:tr w:rsidR="00E47AA9" w:rsidRPr="00E47AA9" w14:paraId="1F10583D" w14:textId="77777777" w:rsidTr="00845A54">
        <w:trPr>
          <w:trHeight w:val="300"/>
          <w:tblHeader/>
        </w:trPr>
        <w:tc>
          <w:tcPr>
            <w:tcW w:w="29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958590"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показателя</w:t>
            </w:r>
          </w:p>
        </w:tc>
        <w:tc>
          <w:tcPr>
            <w:tcW w:w="58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331A6F4"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Ведомство</w:t>
            </w:r>
          </w:p>
        </w:tc>
        <w:tc>
          <w:tcPr>
            <w:tcW w:w="13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DE969E"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3327" w:type="dxa"/>
            <w:gridSpan w:val="3"/>
            <w:tcBorders>
              <w:top w:val="single" w:sz="4" w:space="0" w:color="auto"/>
              <w:left w:val="nil"/>
              <w:bottom w:val="single" w:sz="4" w:space="0" w:color="auto"/>
              <w:right w:val="single" w:sz="4" w:space="0" w:color="auto"/>
            </w:tcBorders>
            <w:shd w:val="clear" w:color="auto" w:fill="auto"/>
            <w:vAlign w:val="center"/>
            <w:hideMark/>
          </w:tcPr>
          <w:p w14:paraId="5044DE4F"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1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116303"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r>
      <w:tr w:rsidR="00E47AA9" w:rsidRPr="00E47AA9" w14:paraId="00CAEA2A" w14:textId="77777777" w:rsidTr="00845A54">
        <w:trPr>
          <w:trHeight w:val="765"/>
        </w:trPr>
        <w:tc>
          <w:tcPr>
            <w:tcW w:w="2972" w:type="dxa"/>
            <w:vMerge/>
            <w:tcBorders>
              <w:top w:val="single" w:sz="4" w:space="0" w:color="auto"/>
              <w:left w:val="single" w:sz="4" w:space="0" w:color="auto"/>
              <w:bottom w:val="single" w:sz="4" w:space="0" w:color="auto"/>
              <w:right w:val="single" w:sz="4" w:space="0" w:color="auto"/>
            </w:tcBorders>
            <w:vAlign w:val="center"/>
            <w:hideMark/>
          </w:tcPr>
          <w:p w14:paraId="5115D03C"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p>
        </w:tc>
        <w:tc>
          <w:tcPr>
            <w:tcW w:w="583" w:type="dxa"/>
            <w:vMerge/>
            <w:tcBorders>
              <w:top w:val="single" w:sz="4" w:space="0" w:color="auto"/>
              <w:left w:val="single" w:sz="4" w:space="0" w:color="auto"/>
              <w:bottom w:val="single" w:sz="4" w:space="0" w:color="auto"/>
              <w:right w:val="single" w:sz="4" w:space="0" w:color="auto"/>
            </w:tcBorders>
            <w:vAlign w:val="center"/>
            <w:hideMark/>
          </w:tcPr>
          <w:p w14:paraId="4CE270DA"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p>
        </w:tc>
        <w:tc>
          <w:tcPr>
            <w:tcW w:w="1335" w:type="dxa"/>
            <w:vMerge/>
            <w:tcBorders>
              <w:top w:val="single" w:sz="4" w:space="0" w:color="auto"/>
              <w:left w:val="single" w:sz="4" w:space="0" w:color="auto"/>
              <w:bottom w:val="single" w:sz="4" w:space="0" w:color="auto"/>
              <w:right w:val="single" w:sz="4" w:space="0" w:color="auto"/>
            </w:tcBorders>
            <w:vAlign w:val="center"/>
            <w:hideMark/>
          </w:tcPr>
          <w:p w14:paraId="261039FB"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p>
        </w:tc>
        <w:tc>
          <w:tcPr>
            <w:tcW w:w="1319" w:type="dxa"/>
            <w:tcBorders>
              <w:top w:val="nil"/>
              <w:left w:val="nil"/>
              <w:bottom w:val="single" w:sz="4" w:space="0" w:color="auto"/>
              <w:right w:val="single" w:sz="4" w:space="0" w:color="auto"/>
            </w:tcBorders>
            <w:shd w:val="clear" w:color="auto" w:fill="auto"/>
            <w:vAlign w:val="center"/>
            <w:hideMark/>
          </w:tcPr>
          <w:p w14:paraId="578D2368"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1221" w:type="dxa"/>
            <w:tcBorders>
              <w:top w:val="nil"/>
              <w:left w:val="nil"/>
              <w:bottom w:val="single" w:sz="4" w:space="0" w:color="auto"/>
              <w:right w:val="single" w:sz="4" w:space="0" w:color="auto"/>
            </w:tcBorders>
            <w:shd w:val="clear" w:color="auto" w:fill="auto"/>
            <w:vAlign w:val="center"/>
            <w:hideMark/>
          </w:tcPr>
          <w:p w14:paraId="5C9422B9"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w:t>
            </w:r>
          </w:p>
        </w:tc>
        <w:tc>
          <w:tcPr>
            <w:tcW w:w="787" w:type="dxa"/>
            <w:tcBorders>
              <w:top w:val="nil"/>
              <w:left w:val="nil"/>
              <w:bottom w:val="single" w:sz="4" w:space="0" w:color="auto"/>
              <w:right w:val="single" w:sz="4" w:space="0" w:color="auto"/>
            </w:tcBorders>
            <w:shd w:val="clear" w:color="auto" w:fill="auto"/>
            <w:vAlign w:val="center"/>
            <w:hideMark/>
          </w:tcPr>
          <w:p w14:paraId="3A04FA29"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удель-ный</w:t>
            </w:r>
            <w:proofErr w:type="spellEnd"/>
            <w:proofErr w:type="gramEnd"/>
            <w:r w:rsidRPr="00E47AA9">
              <w:rPr>
                <w:rFonts w:ascii="Times New Roman" w:eastAsia="Times New Roman" w:hAnsi="Times New Roman" w:cs="Times New Roman"/>
                <w:sz w:val="20"/>
                <w:szCs w:val="20"/>
                <w:lang w:eastAsia="ru-RU"/>
              </w:rPr>
              <w:t xml:space="preserve"> вес, %</w:t>
            </w:r>
          </w:p>
        </w:tc>
        <w:tc>
          <w:tcPr>
            <w:tcW w:w="1183" w:type="dxa"/>
            <w:vMerge/>
            <w:tcBorders>
              <w:top w:val="single" w:sz="4" w:space="0" w:color="auto"/>
              <w:left w:val="single" w:sz="4" w:space="0" w:color="auto"/>
              <w:bottom w:val="single" w:sz="4" w:space="0" w:color="auto"/>
              <w:right w:val="single" w:sz="4" w:space="0" w:color="auto"/>
            </w:tcBorders>
            <w:vAlign w:val="center"/>
            <w:hideMark/>
          </w:tcPr>
          <w:p w14:paraId="6BFDC066"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p>
        </w:tc>
      </w:tr>
      <w:tr w:rsidR="00E47AA9" w:rsidRPr="00E47AA9" w14:paraId="52A67137" w14:textId="77777777" w:rsidTr="00845A54">
        <w:trPr>
          <w:trHeight w:val="581"/>
        </w:trPr>
        <w:tc>
          <w:tcPr>
            <w:tcW w:w="2972" w:type="dxa"/>
            <w:tcBorders>
              <w:top w:val="nil"/>
              <w:left w:val="single" w:sz="4" w:space="0" w:color="auto"/>
              <w:bottom w:val="single" w:sz="4" w:space="0" w:color="auto"/>
              <w:right w:val="single" w:sz="4" w:space="0" w:color="auto"/>
            </w:tcBorders>
            <w:shd w:val="clear" w:color="auto" w:fill="auto"/>
            <w:hideMark/>
          </w:tcPr>
          <w:p w14:paraId="03861053" w14:textId="77777777" w:rsidR="008566E1" w:rsidRPr="00E47AA9" w:rsidRDefault="008566E1" w:rsidP="00845A54">
            <w:pPr>
              <w:spacing w:after="0" w:line="240" w:lineRule="auto"/>
              <w:rPr>
                <w:rFonts w:ascii="Times New Roman" w:hAnsi="Times New Roman" w:cs="Times New Roman"/>
                <w:b/>
              </w:rPr>
            </w:pPr>
            <w:r w:rsidRPr="00E47AA9">
              <w:rPr>
                <w:rFonts w:ascii="Times New Roman" w:hAnsi="Times New Roman" w:cs="Times New Roman"/>
                <w:b/>
              </w:rPr>
              <w:t xml:space="preserve">Расходы по ГП всего, </w:t>
            </w:r>
          </w:p>
          <w:p w14:paraId="492CE312" w14:textId="77777777" w:rsidR="008566E1" w:rsidRPr="00E47AA9" w:rsidRDefault="008566E1" w:rsidP="00845A54">
            <w:pPr>
              <w:spacing w:after="0" w:line="240" w:lineRule="auto"/>
              <w:rPr>
                <w:rFonts w:ascii="Times New Roman" w:eastAsia="Times New Roman" w:hAnsi="Times New Roman" w:cs="Times New Roman"/>
                <w:b/>
                <w:bCs/>
                <w:sz w:val="20"/>
                <w:szCs w:val="20"/>
                <w:lang w:eastAsia="ru-RU"/>
              </w:rPr>
            </w:pPr>
            <w:r w:rsidRPr="00E47AA9">
              <w:rPr>
                <w:rFonts w:ascii="Times New Roman" w:hAnsi="Times New Roman" w:cs="Times New Roman"/>
                <w:bCs/>
              </w:rPr>
              <w:t>в том числе</w:t>
            </w:r>
          </w:p>
        </w:tc>
        <w:tc>
          <w:tcPr>
            <w:tcW w:w="583" w:type="dxa"/>
            <w:tcBorders>
              <w:top w:val="nil"/>
              <w:left w:val="nil"/>
              <w:bottom w:val="single" w:sz="4" w:space="0" w:color="auto"/>
              <w:right w:val="single" w:sz="4" w:space="0" w:color="auto"/>
            </w:tcBorders>
            <w:shd w:val="clear" w:color="auto" w:fill="auto"/>
            <w:textDirection w:val="btLr"/>
            <w:vAlign w:val="center"/>
            <w:hideMark/>
          </w:tcPr>
          <w:p w14:paraId="5A10013D"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w:t>
            </w:r>
          </w:p>
        </w:tc>
        <w:tc>
          <w:tcPr>
            <w:tcW w:w="1335" w:type="dxa"/>
            <w:tcBorders>
              <w:top w:val="nil"/>
              <w:left w:val="nil"/>
              <w:bottom w:val="single" w:sz="4" w:space="0" w:color="auto"/>
              <w:right w:val="single" w:sz="4" w:space="0" w:color="auto"/>
            </w:tcBorders>
            <w:shd w:val="clear" w:color="auto" w:fill="auto"/>
            <w:hideMark/>
          </w:tcPr>
          <w:p w14:paraId="330C57A1" w14:textId="77777777" w:rsidR="008566E1" w:rsidRPr="00E47AA9" w:rsidRDefault="008566E1" w:rsidP="00845A5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3 929,56</w:t>
            </w:r>
          </w:p>
        </w:tc>
        <w:tc>
          <w:tcPr>
            <w:tcW w:w="1319" w:type="dxa"/>
            <w:tcBorders>
              <w:top w:val="nil"/>
              <w:left w:val="nil"/>
              <w:bottom w:val="single" w:sz="4" w:space="0" w:color="auto"/>
              <w:right w:val="single" w:sz="4" w:space="0" w:color="auto"/>
            </w:tcBorders>
            <w:shd w:val="clear" w:color="auto" w:fill="auto"/>
            <w:hideMark/>
          </w:tcPr>
          <w:p w14:paraId="7B8A867D" w14:textId="77777777" w:rsidR="008566E1" w:rsidRPr="00E47AA9" w:rsidRDefault="008566E1" w:rsidP="00845A5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3 913,48</w:t>
            </w:r>
          </w:p>
        </w:tc>
        <w:tc>
          <w:tcPr>
            <w:tcW w:w="1221" w:type="dxa"/>
            <w:tcBorders>
              <w:top w:val="nil"/>
              <w:left w:val="nil"/>
              <w:bottom w:val="single" w:sz="4" w:space="0" w:color="auto"/>
              <w:right w:val="single" w:sz="4" w:space="0" w:color="auto"/>
            </w:tcBorders>
            <w:shd w:val="clear" w:color="auto" w:fill="auto"/>
            <w:hideMark/>
          </w:tcPr>
          <w:p w14:paraId="0C5662CC" w14:textId="77777777" w:rsidR="008566E1" w:rsidRPr="00E47AA9" w:rsidRDefault="008566E1" w:rsidP="00845A5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99,59</w:t>
            </w:r>
          </w:p>
        </w:tc>
        <w:tc>
          <w:tcPr>
            <w:tcW w:w="787" w:type="dxa"/>
            <w:tcBorders>
              <w:top w:val="nil"/>
              <w:left w:val="nil"/>
              <w:bottom w:val="single" w:sz="4" w:space="0" w:color="auto"/>
              <w:right w:val="single" w:sz="4" w:space="0" w:color="auto"/>
            </w:tcBorders>
            <w:shd w:val="clear" w:color="auto" w:fill="auto"/>
            <w:hideMark/>
          </w:tcPr>
          <w:p w14:paraId="6918E979" w14:textId="77777777" w:rsidR="008566E1" w:rsidRPr="00E47AA9" w:rsidRDefault="008566E1" w:rsidP="00845A54">
            <w:pPr>
              <w:spacing w:after="0" w:line="240" w:lineRule="auto"/>
              <w:jc w:val="center"/>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w:t>
            </w:r>
          </w:p>
        </w:tc>
        <w:tc>
          <w:tcPr>
            <w:tcW w:w="1183" w:type="dxa"/>
            <w:tcBorders>
              <w:top w:val="nil"/>
              <w:left w:val="nil"/>
              <w:bottom w:val="single" w:sz="4" w:space="0" w:color="auto"/>
              <w:right w:val="single" w:sz="4" w:space="0" w:color="auto"/>
            </w:tcBorders>
            <w:shd w:val="clear" w:color="auto" w:fill="auto"/>
            <w:hideMark/>
          </w:tcPr>
          <w:p w14:paraId="7BC1BE17" w14:textId="77777777" w:rsidR="008566E1" w:rsidRPr="00E47AA9" w:rsidRDefault="008566E1" w:rsidP="00845A5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16,08</w:t>
            </w:r>
          </w:p>
        </w:tc>
      </w:tr>
      <w:tr w:rsidR="00E47AA9" w:rsidRPr="00E47AA9" w14:paraId="10ABF319" w14:textId="77777777" w:rsidTr="00845A54">
        <w:trPr>
          <w:trHeight w:val="510"/>
        </w:trPr>
        <w:tc>
          <w:tcPr>
            <w:tcW w:w="2972" w:type="dxa"/>
            <w:tcBorders>
              <w:top w:val="nil"/>
              <w:left w:val="single" w:sz="4" w:space="0" w:color="auto"/>
              <w:bottom w:val="single" w:sz="4" w:space="0" w:color="auto"/>
              <w:right w:val="single" w:sz="4" w:space="0" w:color="auto"/>
            </w:tcBorders>
            <w:shd w:val="clear" w:color="auto" w:fill="auto"/>
            <w:hideMark/>
          </w:tcPr>
          <w:p w14:paraId="5652245E"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Департамент информационной политики Приморского края</w:t>
            </w:r>
          </w:p>
        </w:tc>
        <w:tc>
          <w:tcPr>
            <w:tcW w:w="583" w:type="dxa"/>
            <w:tcBorders>
              <w:top w:val="nil"/>
              <w:left w:val="nil"/>
              <w:bottom w:val="single" w:sz="4" w:space="0" w:color="auto"/>
              <w:right w:val="single" w:sz="4" w:space="0" w:color="auto"/>
            </w:tcBorders>
            <w:shd w:val="clear" w:color="auto" w:fill="auto"/>
            <w:hideMark/>
          </w:tcPr>
          <w:p w14:paraId="284A1EBD"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771</w:t>
            </w:r>
          </w:p>
        </w:tc>
        <w:tc>
          <w:tcPr>
            <w:tcW w:w="1335" w:type="dxa"/>
            <w:tcBorders>
              <w:top w:val="nil"/>
              <w:left w:val="nil"/>
              <w:bottom w:val="single" w:sz="4" w:space="0" w:color="auto"/>
              <w:right w:val="single" w:sz="4" w:space="0" w:color="auto"/>
            </w:tcBorders>
            <w:shd w:val="clear" w:color="auto" w:fill="auto"/>
            <w:noWrap/>
            <w:hideMark/>
          </w:tcPr>
          <w:p w14:paraId="3E8A046A"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11,63</w:t>
            </w:r>
          </w:p>
        </w:tc>
        <w:tc>
          <w:tcPr>
            <w:tcW w:w="1319" w:type="dxa"/>
            <w:tcBorders>
              <w:top w:val="nil"/>
              <w:left w:val="nil"/>
              <w:bottom w:val="single" w:sz="4" w:space="0" w:color="auto"/>
              <w:right w:val="single" w:sz="4" w:space="0" w:color="auto"/>
            </w:tcBorders>
            <w:shd w:val="clear" w:color="auto" w:fill="auto"/>
            <w:noWrap/>
            <w:hideMark/>
          </w:tcPr>
          <w:p w14:paraId="4FD8227C"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11,63</w:t>
            </w:r>
          </w:p>
        </w:tc>
        <w:tc>
          <w:tcPr>
            <w:tcW w:w="1221" w:type="dxa"/>
            <w:tcBorders>
              <w:top w:val="nil"/>
              <w:left w:val="nil"/>
              <w:bottom w:val="single" w:sz="4" w:space="0" w:color="auto"/>
              <w:right w:val="single" w:sz="4" w:space="0" w:color="auto"/>
            </w:tcBorders>
            <w:shd w:val="clear" w:color="auto" w:fill="auto"/>
            <w:hideMark/>
          </w:tcPr>
          <w:p w14:paraId="31AFCFEE"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787" w:type="dxa"/>
            <w:tcBorders>
              <w:top w:val="nil"/>
              <w:left w:val="nil"/>
              <w:bottom w:val="single" w:sz="4" w:space="0" w:color="auto"/>
              <w:right w:val="single" w:sz="4" w:space="0" w:color="auto"/>
            </w:tcBorders>
            <w:shd w:val="clear" w:color="auto" w:fill="auto"/>
            <w:hideMark/>
          </w:tcPr>
          <w:p w14:paraId="40C8B1FB"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0,30</w:t>
            </w:r>
          </w:p>
        </w:tc>
        <w:tc>
          <w:tcPr>
            <w:tcW w:w="1183" w:type="dxa"/>
            <w:tcBorders>
              <w:top w:val="nil"/>
              <w:left w:val="nil"/>
              <w:bottom w:val="single" w:sz="4" w:space="0" w:color="auto"/>
              <w:right w:val="single" w:sz="4" w:space="0" w:color="auto"/>
            </w:tcBorders>
            <w:shd w:val="clear" w:color="auto" w:fill="auto"/>
            <w:hideMark/>
          </w:tcPr>
          <w:p w14:paraId="6E60BFD3"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E47AA9" w:rsidRPr="00E47AA9" w14:paraId="0C8E3AD5" w14:textId="77777777" w:rsidTr="00845A54">
        <w:trPr>
          <w:trHeight w:val="510"/>
        </w:trPr>
        <w:tc>
          <w:tcPr>
            <w:tcW w:w="2972" w:type="dxa"/>
            <w:tcBorders>
              <w:top w:val="nil"/>
              <w:left w:val="single" w:sz="4" w:space="0" w:color="auto"/>
              <w:bottom w:val="single" w:sz="4" w:space="0" w:color="auto"/>
              <w:right w:val="single" w:sz="4" w:space="0" w:color="auto"/>
            </w:tcBorders>
            <w:shd w:val="clear" w:color="auto" w:fill="auto"/>
            <w:hideMark/>
          </w:tcPr>
          <w:p w14:paraId="2F99B9DC"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строительства Приморского края</w:t>
            </w:r>
          </w:p>
        </w:tc>
        <w:tc>
          <w:tcPr>
            <w:tcW w:w="583" w:type="dxa"/>
            <w:tcBorders>
              <w:top w:val="nil"/>
              <w:left w:val="nil"/>
              <w:bottom w:val="single" w:sz="4" w:space="0" w:color="auto"/>
              <w:right w:val="single" w:sz="4" w:space="0" w:color="auto"/>
            </w:tcBorders>
            <w:shd w:val="clear" w:color="auto" w:fill="auto"/>
            <w:hideMark/>
          </w:tcPr>
          <w:p w14:paraId="377BF41B"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775</w:t>
            </w:r>
          </w:p>
        </w:tc>
        <w:tc>
          <w:tcPr>
            <w:tcW w:w="1335" w:type="dxa"/>
            <w:tcBorders>
              <w:top w:val="nil"/>
              <w:left w:val="nil"/>
              <w:bottom w:val="single" w:sz="4" w:space="0" w:color="auto"/>
              <w:right w:val="single" w:sz="4" w:space="0" w:color="auto"/>
            </w:tcBorders>
            <w:shd w:val="clear" w:color="auto" w:fill="auto"/>
            <w:noWrap/>
            <w:hideMark/>
          </w:tcPr>
          <w:p w14:paraId="295078B7"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375,65</w:t>
            </w:r>
          </w:p>
        </w:tc>
        <w:tc>
          <w:tcPr>
            <w:tcW w:w="1319" w:type="dxa"/>
            <w:tcBorders>
              <w:top w:val="nil"/>
              <w:left w:val="nil"/>
              <w:bottom w:val="single" w:sz="4" w:space="0" w:color="auto"/>
              <w:right w:val="single" w:sz="4" w:space="0" w:color="auto"/>
            </w:tcBorders>
            <w:shd w:val="clear" w:color="auto" w:fill="auto"/>
            <w:noWrap/>
            <w:hideMark/>
          </w:tcPr>
          <w:p w14:paraId="0F33D435"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369,02</w:t>
            </w:r>
          </w:p>
        </w:tc>
        <w:tc>
          <w:tcPr>
            <w:tcW w:w="1221" w:type="dxa"/>
            <w:tcBorders>
              <w:top w:val="nil"/>
              <w:left w:val="nil"/>
              <w:bottom w:val="single" w:sz="4" w:space="0" w:color="auto"/>
              <w:right w:val="single" w:sz="4" w:space="0" w:color="auto"/>
            </w:tcBorders>
            <w:shd w:val="clear" w:color="auto" w:fill="auto"/>
            <w:hideMark/>
          </w:tcPr>
          <w:p w14:paraId="5260B2EB"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98,23</w:t>
            </w:r>
          </w:p>
        </w:tc>
        <w:tc>
          <w:tcPr>
            <w:tcW w:w="787" w:type="dxa"/>
            <w:tcBorders>
              <w:top w:val="nil"/>
              <w:left w:val="nil"/>
              <w:bottom w:val="single" w:sz="4" w:space="0" w:color="auto"/>
              <w:right w:val="single" w:sz="4" w:space="0" w:color="auto"/>
            </w:tcBorders>
            <w:shd w:val="clear" w:color="auto" w:fill="auto"/>
            <w:hideMark/>
          </w:tcPr>
          <w:p w14:paraId="62BCCE04"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9,43</w:t>
            </w:r>
          </w:p>
        </w:tc>
        <w:tc>
          <w:tcPr>
            <w:tcW w:w="1183" w:type="dxa"/>
            <w:tcBorders>
              <w:top w:val="nil"/>
              <w:left w:val="nil"/>
              <w:bottom w:val="single" w:sz="4" w:space="0" w:color="auto"/>
              <w:right w:val="single" w:sz="4" w:space="0" w:color="auto"/>
            </w:tcBorders>
            <w:shd w:val="clear" w:color="auto" w:fill="auto"/>
            <w:hideMark/>
          </w:tcPr>
          <w:p w14:paraId="003857D5"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6,63</w:t>
            </w:r>
          </w:p>
        </w:tc>
      </w:tr>
      <w:tr w:rsidR="00E47AA9" w:rsidRPr="00E47AA9" w14:paraId="382FC726" w14:textId="77777777" w:rsidTr="00845A54">
        <w:trPr>
          <w:trHeight w:val="765"/>
        </w:trPr>
        <w:tc>
          <w:tcPr>
            <w:tcW w:w="2972" w:type="dxa"/>
            <w:tcBorders>
              <w:top w:val="nil"/>
              <w:left w:val="single" w:sz="4" w:space="0" w:color="auto"/>
              <w:bottom w:val="single" w:sz="4" w:space="0" w:color="auto"/>
              <w:right w:val="single" w:sz="4" w:space="0" w:color="auto"/>
            </w:tcBorders>
            <w:shd w:val="clear" w:color="auto" w:fill="auto"/>
            <w:hideMark/>
          </w:tcPr>
          <w:p w14:paraId="4773B68D"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имущественных и земельных отношений Приморского края</w:t>
            </w:r>
          </w:p>
        </w:tc>
        <w:tc>
          <w:tcPr>
            <w:tcW w:w="583" w:type="dxa"/>
            <w:tcBorders>
              <w:top w:val="nil"/>
              <w:left w:val="nil"/>
              <w:bottom w:val="single" w:sz="4" w:space="0" w:color="auto"/>
              <w:right w:val="single" w:sz="4" w:space="0" w:color="auto"/>
            </w:tcBorders>
            <w:shd w:val="clear" w:color="auto" w:fill="auto"/>
            <w:hideMark/>
          </w:tcPr>
          <w:p w14:paraId="3D2F17C7"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779</w:t>
            </w:r>
          </w:p>
        </w:tc>
        <w:tc>
          <w:tcPr>
            <w:tcW w:w="1335" w:type="dxa"/>
            <w:tcBorders>
              <w:top w:val="nil"/>
              <w:left w:val="nil"/>
              <w:bottom w:val="single" w:sz="4" w:space="0" w:color="auto"/>
              <w:right w:val="single" w:sz="4" w:space="0" w:color="auto"/>
            </w:tcBorders>
            <w:shd w:val="clear" w:color="auto" w:fill="auto"/>
            <w:noWrap/>
            <w:hideMark/>
          </w:tcPr>
          <w:p w14:paraId="52B012AC"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8,50</w:t>
            </w:r>
          </w:p>
        </w:tc>
        <w:tc>
          <w:tcPr>
            <w:tcW w:w="1319" w:type="dxa"/>
            <w:tcBorders>
              <w:top w:val="nil"/>
              <w:left w:val="nil"/>
              <w:bottom w:val="single" w:sz="4" w:space="0" w:color="auto"/>
              <w:right w:val="single" w:sz="4" w:space="0" w:color="auto"/>
            </w:tcBorders>
            <w:shd w:val="clear" w:color="auto" w:fill="auto"/>
            <w:noWrap/>
            <w:hideMark/>
          </w:tcPr>
          <w:p w14:paraId="47C9211B"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8,50</w:t>
            </w:r>
          </w:p>
        </w:tc>
        <w:tc>
          <w:tcPr>
            <w:tcW w:w="1221" w:type="dxa"/>
            <w:tcBorders>
              <w:top w:val="nil"/>
              <w:left w:val="nil"/>
              <w:bottom w:val="single" w:sz="4" w:space="0" w:color="auto"/>
              <w:right w:val="single" w:sz="4" w:space="0" w:color="auto"/>
            </w:tcBorders>
            <w:shd w:val="clear" w:color="auto" w:fill="auto"/>
            <w:hideMark/>
          </w:tcPr>
          <w:p w14:paraId="0A07F3BC"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787" w:type="dxa"/>
            <w:tcBorders>
              <w:top w:val="nil"/>
              <w:left w:val="nil"/>
              <w:bottom w:val="single" w:sz="4" w:space="0" w:color="auto"/>
              <w:right w:val="single" w:sz="4" w:space="0" w:color="auto"/>
            </w:tcBorders>
            <w:shd w:val="clear" w:color="auto" w:fill="auto"/>
            <w:hideMark/>
          </w:tcPr>
          <w:p w14:paraId="6E1E2E7D"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0,22</w:t>
            </w:r>
          </w:p>
        </w:tc>
        <w:tc>
          <w:tcPr>
            <w:tcW w:w="1183" w:type="dxa"/>
            <w:tcBorders>
              <w:top w:val="nil"/>
              <w:left w:val="nil"/>
              <w:bottom w:val="single" w:sz="4" w:space="0" w:color="auto"/>
              <w:right w:val="single" w:sz="4" w:space="0" w:color="auto"/>
            </w:tcBorders>
            <w:shd w:val="clear" w:color="auto" w:fill="auto"/>
            <w:hideMark/>
          </w:tcPr>
          <w:p w14:paraId="16EA5E49"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E47AA9" w:rsidRPr="00E47AA9" w14:paraId="1364D97B" w14:textId="77777777" w:rsidTr="00845A54">
        <w:trPr>
          <w:trHeight w:val="765"/>
        </w:trPr>
        <w:tc>
          <w:tcPr>
            <w:tcW w:w="2972" w:type="dxa"/>
            <w:tcBorders>
              <w:top w:val="nil"/>
              <w:left w:val="single" w:sz="4" w:space="0" w:color="auto"/>
              <w:bottom w:val="single" w:sz="4" w:space="0" w:color="auto"/>
              <w:right w:val="single" w:sz="4" w:space="0" w:color="auto"/>
            </w:tcBorders>
            <w:shd w:val="clear" w:color="auto" w:fill="auto"/>
            <w:hideMark/>
          </w:tcPr>
          <w:p w14:paraId="1BF7D23A"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Инспекция по охране объектов культурного наследия Приморского края</w:t>
            </w:r>
          </w:p>
        </w:tc>
        <w:tc>
          <w:tcPr>
            <w:tcW w:w="583" w:type="dxa"/>
            <w:tcBorders>
              <w:top w:val="nil"/>
              <w:left w:val="nil"/>
              <w:bottom w:val="single" w:sz="4" w:space="0" w:color="auto"/>
              <w:right w:val="single" w:sz="4" w:space="0" w:color="auto"/>
            </w:tcBorders>
            <w:shd w:val="clear" w:color="auto" w:fill="auto"/>
            <w:hideMark/>
          </w:tcPr>
          <w:p w14:paraId="0D48B13F"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799</w:t>
            </w:r>
          </w:p>
        </w:tc>
        <w:tc>
          <w:tcPr>
            <w:tcW w:w="1335" w:type="dxa"/>
            <w:tcBorders>
              <w:top w:val="nil"/>
              <w:left w:val="nil"/>
              <w:bottom w:val="single" w:sz="4" w:space="0" w:color="auto"/>
              <w:right w:val="single" w:sz="4" w:space="0" w:color="auto"/>
            </w:tcBorders>
            <w:shd w:val="clear" w:color="auto" w:fill="auto"/>
            <w:noWrap/>
            <w:hideMark/>
          </w:tcPr>
          <w:p w14:paraId="38C47DE0"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86,88</w:t>
            </w:r>
          </w:p>
        </w:tc>
        <w:tc>
          <w:tcPr>
            <w:tcW w:w="1319" w:type="dxa"/>
            <w:tcBorders>
              <w:top w:val="nil"/>
              <w:left w:val="nil"/>
              <w:bottom w:val="single" w:sz="4" w:space="0" w:color="auto"/>
              <w:right w:val="single" w:sz="4" w:space="0" w:color="auto"/>
            </w:tcBorders>
            <w:shd w:val="clear" w:color="auto" w:fill="auto"/>
            <w:noWrap/>
            <w:hideMark/>
          </w:tcPr>
          <w:p w14:paraId="651DD8DC"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86,88</w:t>
            </w:r>
          </w:p>
        </w:tc>
        <w:tc>
          <w:tcPr>
            <w:tcW w:w="1221" w:type="dxa"/>
            <w:tcBorders>
              <w:top w:val="nil"/>
              <w:left w:val="nil"/>
              <w:bottom w:val="single" w:sz="4" w:space="0" w:color="auto"/>
              <w:right w:val="single" w:sz="4" w:space="0" w:color="auto"/>
            </w:tcBorders>
            <w:shd w:val="clear" w:color="auto" w:fill="auto"/>
            <w:hideMark/>
          </w:tcPr>
          <w:p w14:paraId="45154BA2"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787" w:type="dxa"/>
            <w:tcBorders>
              <w:top w:val="nil"/>
              <w:left w:val="nil"/>
              <w:bottom w:val="single" w:sz="4" w:space="0" w:color="auto"/>
              <w:right w:val="single" w:sz="4" w:space="0" w:color="auto"/>
            </w:tcBorders>
            <w:shd w:val="clear" w:color="auto" w:fill="auto"/>
            <w:hideMark/>
          </w:tcPr>
          <w:p w14:paraId="5D036C47"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2,22</w:t>
            </w:r>
          </w:p>
        </w:tc>
        <w:tc>
          <w:tcPr>
            <w:tcW w:w="1183" w:type="dxa"/>
            <w:tcBorders>
              <w:top w:val="nil"/>
              <w:left w:val="nil"/>
              <w:bottom w:val="single" w:sz="4" w:space="0" w:color="auto"/>
              <w:right w:val="single" w:sz="4" w:space="0" w:color="auto"/>
            </w:tcBorders>
            <w:shd w:val="clear" w:color="auto" w:fill="auto"/>
            <w:hideMark/>
          </w:tcPr>
          <w:p w14:paraId="675DC53E"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8566E1" w:rsidRPr="00E47AA9" w14:paraId="4BF146BE" w14:textId="77777777" w:rsidTr="00845A54">
        <w:trPr>
          <w:trHeight w:val="765"/>
        </w:trPr>
        <w:tc>
          <w:tcPr>
            <w:tcW w:w="2972" w:type="dxa"/>
            <w:tcBorders>
              <w:top w:val="nil"/>
              <w:left w:val="single" w:sz="4" w:space="0" w:color="auto"/>
              <w:bottom w:val="single" w:sz="4" w:space="0" w:color="auto"/>
              <w:right w:val="single" w:sz="4" w:space="0" w:color="auto"/>
            </w:tcBorders>
            <w:shd w:val="clear" w:color="auto" w:fill="auto"/>
            <w:hideMark/>
          </w:tcPr>
          <w:p w14:paraId="1EF80420"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культуры и архивного дела Приморского края</w:t>
            </w:r>
          </w:p>
        </w:tc>
        <w:tc>
          <w:tcPr>
            <w:tcW w:w="583" w:type="dxa"/>
            <w:tcBorders>
              <w:top w:val="nil"/>
              <w:left w:val="nil"/>
              <w:bottom w:val="single" w:sz="4" w:space="0" w:color="auto"/>
              <w:right w:val="single" w:sz="4" w:space="0" w:color="auto"/>
            </w:tcBorders>
            <w:shd w:val="clear" w:color="auto" w:fill="auto"/>
            <w:hideMark/>
          </w:tcPr>
          <w:p w14:paraId="2BC2FB32"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806</w:t>
            </w:r>
          </w:p>
        </w:tc>
        <w:tc>
          <w:tcPr>
            <w:tcW w:w="1335" w:type="dxa"/>
            <w:tcBorders>
              <w:top w:val="nil"/>
              <w:left w:val="nil"/>
              <w:bottom w:val="single" w:sz="4" w:space="0" w:color="auto"/>
              <w:right w:val="single" w:sz="4" w:space="0" w:color="auto"/>
            </w:tcBorders>
            <w:shd w:val="clear" w:color="auto" w:fill="auto"/>
            <w:noWrap/>
            <w:hideMark/>
          </w:tcPr>
          <w:p w14:paraId="722B7026"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3 446,90</w:t>
            </w:r>
          </w:p>
        </w:tc>
        <w:tc>
          <w:tcPr>
            <w:tcW w:w="1319" w:type="dxa"/>
            <w:tcBorders>
              <w:top w:val="nil"/>
              <w:left w:val="nil"/>
              <w:bottom w:val="single" w:sz="4" w:space="0" w:color="auto"/>
              <w:right w:val="single" w:sz="4" w:space="0" w:color="auto"/>
            </w:tcBorders>
            <w:shd w:val="clear" w:color="auto" w:fill="auto"/>
            <w:noWrap/>
            <w:hideMark/>
          </w:tcPr>
          <w:p w14:paraId="077A4A7C"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3 437,45</w:t>
            </w:r>
          </w:p>
        </w:tc>
        <w:tc>
          <w:tcPr>
            <w:tcW w:w="1221" w:type="dxa"/>
            <w:tcBorders>
              <w:top w:val="nil"/>
              <w:left w:val="nil"/>
              <w:bottom w:val="single" w:sz="4" w:space="0" w:color="auto"/>
              <w:right w:val="single" w:sz="4" w:space="0" w:color="auto"/>
            </w:tcBorders>
            <w:shd w:val="clear" w:color="auto" w:fill="auto"/>
            <w:hideMark/>
          </w:tcPr>
          <w:p w14:paraId="79882114"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99,73</w:t>
            </w:r>
          </w:p>
        </w:tc>
        <w:tc>
          <w:tcPr>
            <w:tcW w:w="787" w:type="dxa"/>
            <w:tcBorders>
              <w:top w:val="nil"/>
              <w:left w:val="nil"/>
              <w:bottom w:val="single" w:sz="4" w:space="0" w:color="auto"/>
              <w:right w:val="single" w:sz="4" w:space="0" w:color="auto"/>
            </w:tcBorders>
            <w:shd w:val="clear" w:color="auto" w:fill="auto"/>
            <w:hideMark/>
          </w:tcPr>
          <w:p w14:paraId="7669F8A5"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87,84</w:t>
            </w:r>
          </w:p>
        </w:tc>
        <w:tc>
          <w:tcPr>
            <w:tcW w:w="1183" w:type="dxa"/>
            <w:tcBorders>
              <w:top w:val="nil"/>
              <w:left w:val="nil"/>
              <w:bottom w:val="single" w:sz="4" w:space="0" w:color="auto"/>
              <w:right w:val="single" w:sz="4" w:space="0" w:color="auto"/>
            </w:tcBorders>
            <w:shd w:val="clear" w:color="auto" w:fill="auto"/>
            <w:hideMark/>
          </w:tcPr>
          <w:p w14:paraId="5A74BFDC"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9,45</w:t>
            </w:r>
          </w:p>
        </w:tc>
      </w:tr>
    </w:tbl>
    <w:p w14:paraId="0233CF7A" w14:textId="77777777" w:rsidR="008566E1" w:rsidRPr="00E47AA9" w:rsidRDefault="008566E1" w:rsidP="008566E1">
      <w:pPr>
        <w:spacing w:after="0" w:line="240" w:lineRule="auto"/>
        <w:ind w:firstLine="708"/>
        <w:jc w:val="both"/>
        <w:rPr>
          <w:rFonts w:ascii="Times New Roman" w:eastAsia="Times New Roman" w:hAnsi="Times New Roman" w:cs="Times New Roman"/>
          <w:sz w:val="28"/>
          <w:szCs w:val="28"/>
        </w:rPr>
      </w:pPr>
    </w:p>
    <w:p w14:paraId="18AB36BE" w14:textId="77777777" w:rsidR="008566E1" w:rsidRPr="00E47AA9" w:rsidRDefault="008566E1" w:rsidP="008566E1">
      <w:pPr>
        <w:spacing w:after="0" w:line="240" w:lineRule="auto"/>
        <w:ind w:firstLine="708"/>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Исполнение расходов по структуре ГП представлено в таблице.</w:t>
      </w:r>
    </w:p>
    <w:p w14:paraId="7B5FCC12" w14:textId="77777777" w:rsidR="008566E1" w:rsidRPr="00E47AA9" w:rsidRDefault="008566E1" w:rsidP="008566E1">
      <w:pPr>
        <w:widowControl w:val="0"/>
        <w:autoSpaceDE w:val="0"/>
        <w:autoSpaceDN w:val="0"/>
        <w:adjustRightInd w:val="0"/>
        <w:spacing w:after="0" w:line="240" w:lineRule="auto"/>
        <w:ind w:firstLine="708"/>
        <w:jc w:val="right"/>
        <w:rPr>
          <w:rFonts w:ascii="Times New Roman" w:eastAsia="Times New Roman" w:hAnsi="Times New Roman" w:cs="Times New Roman"/>
          <w:sz w:val="24"/>
        </w:rPr>
      </w:pPr>
    </w:p>
    <w:tbl>
      <w:tblPr>
        <w:tblW w:w="9238" w:type="dxa"/>
        <w:tblInd w:w="-5" w:type="dxa"/>
        <w:tblLook w:val="04A0" w:firstRow="1" w:lastRow="0" w:firstColumn="1" w:lastColumn="0" w:noHBand="0" w:noVBand="1"/>
      </w:tblPr>
      <w:tblGrid>
        <w:gridCol w:w="3544"/>
        <w:gridCol w:w="1701"/>
        <w:gridCol w:w="1340"/>
        <w:gridCol w:w="1221"/>
        <w:gridCol w:w="1432"/>
      </w:tblGrid>
      <w:tr w:rsidR="00E47AA9" w:rsidRPr="00E47AA9" w14:paraId="7A9ED13A" w14:textId="77777777" w:rsidTr="00845A54">
        <w:trPr>
          <w:trHeight w:val="20"/>
          <w:tblHeader/>
        </w:trPr>
        <w:tc>
          <w:tcPr>
            <w:tcW w:w="3544" w:type="dxa"/>
            <w:tcBorders>
              <w:bottom w:val="single" w:sz="4" w:space="0" w:color="auto"/>
            </w:tcBorders>
            <w:shd w:val="clear" w:color="auto" w:fill="auto"/>
            <w:vAlign w:val="center"/>
          </w:tcPr>
          <w:p w14:paraId="2524D676" w14:textId="77777777" w:rsidR="008566E1" w:rsidRPr="00E47AA9" w:rsidRDefault="008566E1" w:rsidP="00845A54">
            <w:pPr>
              <w:spacing w:after="0" w:line="240" w:lineRule="auto"/>
              <w:rPr>
                <w:rFonts w:ascii="Times New Roman" w:eastAsia="Times New Roman" w:hAnsi="Times New Roman" w:cs="Times New Roman"/>
                <w:lang w:eastAsia="ru-RU"/>
              </w:rPr>
            </w:pPr>
          </w:p>
        </w:tc>
        <w:tc>
          <w:tcPr>
            <w:tcW w:w="1701" w:type="dxa"/>
            <w:tcBorders>
              <w:bottom w:val="single" w:sz="4" w:space="0" w:color="auto"/>
            </w:tcBorders>
            <w:shd w:val="clear" w:color="auto" w:fill="auto"/>
            <w:vAlign w:val="center"/>
          </w:tcPr>
          <w:p w14:paraId="11443387"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p>
        </w:tc>
        <w:tc>
          <w:tcPr>
            <w:tcW w:w="1340" w:type="dxa"/>
            <w:tcBorders>
              <w:bottom w:val="single" w:sz="4" w:space="0" w:color="auto"/>
            </w:tcBorders>
            <w:shd w:val="clear" w:color="auto" w:fill="auto"/>
            <w:vAlign w:val="center"/>
          </w:tcPr>
          <w:p w14:paraId="0079808A"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p>
        </w:tc>
        <w:tc>
          <w:tcPr>
            <w:tcW w:w="2653" w:type="dxa"/>
            <w:gridSpan w:val="2"/>
            <w:tcBorders>
              <w:bottom w:val="single" w:sz="4" w:space="0" w:color="auto"/>
            </w:tcBorders>
            <w:shd w:val="clear" w:color="auto" w:fill="auto"/>
            <w:vAlign w:val="center"/>
          </w:tcPr>
          <w:p w14:paraId="5044CDFA" w14:textId="77777777" w:rsidR="008566E1" w:rsidRPr="00E47AA9" w:rsidRDefault="008566E1"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11D71279" w14:textId="77777777" w:rsidTr="00845A54">
        <w:trPr>
          <w:trHeight w:val="20"/>
          <w:tblHeader/>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CD8878"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lang w:eastAsia="ru-RU"/>
              </w:rPr>
              <w:t>Наименование</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F93ABD"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Уточненные бюджетные назначения </w:t>
            </w:r>
          </w:p>
          <w:p w14:paraId="204F21A7"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lang w:eastAsia="ru-RU"/>
              </w:rPr>
              <w:t>на 2024 год</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16CAD7F7" w14:textId="77777777" w:rsidR="008566E1" w:rsidRPr="00E47AA9" w:rsidRDefault="008566E1"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Исполнено </w:t>
            </w:r>
          </w:p>
          <w:p w14:paraId="7ECBDF77"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lang w:eastAsia="ru-RU"/>
              </w:rPr>
              <w:t>за 2024 год</w:t>
            </w:r>
          </w:p>
        </w:tc>
        <w:tc>
          <w:tcPr>
            <w:tcW w:w="1221" w:type="dxa"/>
            <w:tcBorders>
              <w:top w:val="single" w:sz="4" w:space="0" w:color="auto"/>
              <w:left w:val="nil"/>
              <w:bottom w:val="single" w:sz="4" w:space="0" w:color="auto"/>
              <w:right w:val="single" w:sz="4" w:space="0" w:color="auto"/>
            </w:tcBorders>
            <w:shd w:val="clear" w:color="auto" w:fill="auto"/>
            <w:vAlign w:val="center"/>
            <w:hideMark/>
          </w:tcPr>
          <w:p w14:paraId="6E48D608"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lang w:eastAsia="ru-RU"/>
              </w:rPr>
              <w:t>% исп.</w:t>
            </w:r>
          </w:p>
        </w:tc>
        <w:tc>
          <w:tcPr>
            <w:tcW w:w="1432" w:type="dxa"/>
            <w:tcBorders>
              <w:top w:val="single" w:sz="4" w:space="0" w:color="auto"/>
              <w:left w:val="nil"/>
              <w:bottom w:val="single" w:sz="4" w:space="0" w:color="auto"/>
              <w:right w:val="single" w:sz="4" w:space="0" w:color="auto"/>
            </w:tcBorders>
            <w:shd w:val="clear" w:color="auto" w:fill="auto"/>
            <w:vAlign w:val="center"/>
            <w:hideMark/>
          </w:tcPr>
          <w:p w14:paraId="7B47F035" w14:textId="77777777" w:rsidR="008566E1" w:rsidRPr="00E47AA9" w:rsidRDefault="008566E1" w:rsidP="00845A54">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lang w:eastAsia="ru-RU"/>
              </w:rPr>
              <w:t>Неисполнен-ные</w:t>
            </w:r>
            <w:proofErr w:type="spellEnd"/>
            <w:proofErr w:type="gramEnd"/>
            <w:r w:rsidRPr="00E47AA9">
              <w:rPr>
                <w:rFonts w:ascii="Times New Roman" w:eastAsia="Times New Roman" w:hAnsi="Times New Roman" w:cs="Times New Roman"/>
                <w:lang w:eastAsia="ru-RU"/>
              </w:rPr>
              <w:t xml:space="preserve"> бюджетные назначения</w:t>
            </w:r>
          </w:p>
        </w:tc>
      </w:tr>
      <w:tr w:rsidR="00E47AA9" w:rsidRPr="00E47AA9" w14:paraId="76C89C86" w14:textId="77777777" w:rsidTr="00845A54">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02EC711F" w14:textId="77777777" w:rsidR="008566E1" w:rsidRPr="00E47AA9" w:rsidRDefault="008566E1" w:rsidP="00845A54">
            <w:pPr>
              <w:spacing w:after="0" w:line="240" w:lineRule="auto"/>
              <w:rPr>
                <w:rFonts w:ascii="Times New Roman" w:hAnsi="Times New Roman" w:cs="Times New Roman"/>
                <w:b/>
              </w:rPr>
            </w:pPr>
            <w:r w:rsidRPr="00E47AA9">
              <w:rPr>
                <w:rFonts w:ascii="Times New Roman" w:hAnsi="Times New Roman" w:cs="Times New Roman"/>
                <w:b/>
              </w:rPr>
              <w:t xml:space="preserve">Расходы по ГП всего, </w:t>
            </w:r>
          </w:p>
          <w:p w14:paraId="43BC587A" w14:textId="77777777" w:rsidR="008566E1" w:rsidRPr="00E47AA9" w:rsidRDefault="008566E1" w:rsidP="00ED64CC">
            <w:pPr>
              <w:spacing w:after="0" w:line="240" w:lineRule="auto"/>
              <w:rPr>
                <w:rFonts w:ascii="Times New Roman" w:eastAsia="Times New Roman" w:hAnsi="Times New Roman" w:cs="Times New Roman"/>
                <w:b/>
                <w:bCs/>
                <w:sz w:val="20"/>
                <w:szCs w:val="20"/>
                <w:lang w:eastAsia="ru-RU"/>
              </w:rPr>
            </w:pPr>
            <w:r w:rsidRPr="00E47AA9">
              <w:rPr>
                <w:rFonts w:ascii="Times New Roman" w:hAnsi="Times New Roman" w:cs="Times New Roman"/>
                <w:bCs/>
              </w:rPr>
              <w:t>в том числе</w:t>
            </w:r>
          </w:p>
        </w:tc>
        <w:tc>
          <w:tcPr>
            <w:tcW w:w="1701" w:type="dxa"/>
            <w:tcBorders>
              <w:top w:val="nil"/>
              <w:left w:val="nil"/>
              <w:bottom w:val="single" w:sz="4" w:space="0" w:color="auto"/>
              <w:right w:val="single" w:sz="4" w:space="0" w:color="auto"/>
            </w:tcBorders>
            <w:shd w:val="clear" w:color="auto" w:fill="auto"/>
            <w:vAlign w:val="center"/>
            <w:hideMark/>
          </w:tcPr>
          <w:p w14:paraId="2B9B0C3A" w14:textId="77777777" w:rsidR="008566E1" w:rsidRPr="00E47AA9" w:rsidRDefault="008566E1" w:rsidP="00845A5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3929,56</w:t>
            </w:r>
          </w:p>
        </w:tc>
        <w:tc>
          <w:tcPr>
            <w:tcW w:w="1340" w:type="dxa"/>
            <w:tcBorders>
              <w:top w:val="nil"/>
              <w:left w:val="nil"/>
              <w:bottom w:val="single" w:sz="4" w:space="0" w:color="auto"/>
              <w:right w:val="single" w:sz="4" w:space="0" w:color="auto"/>
            </w:tcBorders>
            <w:shd w:val="clear" w:color="auto" w:fill="auto"/>
            <w:vAlign w:val="center"/>
            <w:hideMark/>
          </w:tcPr>
          <w:p w14:paraId="7630D79F" w14:textId="77777777" w:rsidR="008566E1" w:rsidRPr="00E47AA9" w:rsidRDefault="008566E1" w:rsidP="00845A5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3913,48</w:t>
            </w:r>
          </w:p>
        </w:tc>
        <w:tc>
          <w:tcPr>
            <w:tcW w:w="1221" w:type="dxa"/>
            <w:tcBorders>
              <w:top w:val="nil"/>
              <w:left w:val="nil"/>
              <w:bottom w:val="single" w:sz="4" w:space="0" w:color="auto"/>
              <w:right w:val="single" w:sz="4" w:space="0" w:color="auto"/>
            </w:tcBorders>
            <w:shd w:val="clear" w:color="auto" w:fill="auto"/>
            <w:vAlign w:val="center"/>
            <w:hideMark/>
          </w:tcPr>
          <w:p w14:paraId="4ACCE4B3" w14:textId="77777777" w:rsidR="008566E1" w:rsidRPr="00E47AA9" w:rsidRDefault="008566E1" w:rsidP="00845A5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99,59</w:t>
            </w:r>
          </w:p>
        </w:tc>
        <w:tc>
          <w:tcPr>
            <w:tcW w:w="1432" w:type="dxa"/>
            <w:tcBorders>
              <w:top w:val="nil"/>
              <w:left w:val="nil"/>
              <w:bottom w:val="single" w:sz="4" w:space="0" w:color="auto"/>
              <w:right w:val="single" w:sz="4" w:space="0" w:color="auto"/>
            </w:tcBorders>
            <w:shd w:val="clear" w:color="auto" w:fill="auto"/>
            <w:vAlign w:val="center"/>
            <w:hideMark/>
          </w:tcPr>
          <w:p w14:paraId="316E7D45" w14:textId="77777777" w:rsidR="008566E1" w:rsidRPr="00E47AA9" w:rsidRDefault="008566E1" w:rsidP="00845A5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16,08</w:t>
            </w:r>
          </w:p>
        </w:tc>
      </w:tr>
      <w:tr w:rsidR="00E47AA9" w:rsidRPr="00E47AA9" w14:paraId="7275ACAD" w14:textId="77777777" w:rsidTr="00845A54">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0929C66E" w14:textId="77777777" w:rsidR="008566E1" w:rsidRPr="00E47AA9" w:rsidRDefault="008566E1" w:rsidP="00845A54">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 xml:space="preserve">проектные мероприятия </w:t>
            </w:r>
          </w:p>
        </w:tc>
        <w:tc>
          <w:tcPr>
            <w:tcW w:w="1701" w:type="dxa"/>
            <w:tcBorders>
              <w:top w:val="nil"/>
              <w:left w:val="nil"/>
              <w:bottom w:val="single" w:sz="4" w:space="0" w:color="auto"/>
              <w:right w:val="single" w:sz="4" w:space="0" w:color="auto"/>
            </w:tcBorders>
            <w:shd w:val="clear" w:color="auto" w:fill="auto"/>
            <w:vAlign w:val="center"/>
            <w:hideMark/>
          </w:tcPr>
          <w:p w14:paraId="22AE2648" w14:textId="4ECD7D85" w:rsidR="008566E1" w:rsidRPr="00E47AA9" w:rsidRDefault="008566E1" w:rsidP="00B7268E">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665,2</w:t>
            </w:r>
            <w:r w:rsidR="00B7268E" w:rsidRPr="00E47AA9">
              <w:rPr>
                <w:rFonts w:ascii="Times New Roman" w:eastAsia="Times New Roman" w:hAnsi="Times New Roman" w:cs="Times New Roman"/>
                <w:b/>
                <w:bCs/>
                <w:sz w:val="20"/>
                <w:szCs w:val="20"/>
                <w:lang w:eastAsia="ru-RU"/>
              </w:rPr>
              <w:t>7</w:t>
            </w:r>
          </w:p>
        </w:tc>
        <w:tc>
          <w:tcPr>
            <w:tcW w:w="1340" w:type="dxa"/>
            <w:tcBorders>
              <w:top w:val="nil"/>
              <w:left w:val="nil"/>
              <w:bottom w:val="single" w:sz="4" w:space="0" w:color="auto"/>
              <w:right w:val="single" w:sz="4" w:space="0" w:color="auto"/>
            </w:tcBorders>
            <w:shd w:val="clear" w:color="auto" w:fill="auto"/>
            <w:vAlign w:val="center"/>
            <w:hideMark/>
          </w:tcPr>
          <w:p w14:paraId="0DFF541A" w14:textId="77777777" w:rsidR="008566E1" w:rsidRPr="00E47AA9" w:rsidRDefault="008566E1" w:rsidP="00845A5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662,77</w:t>
            </w:r>
          </w:p>
        </w:tc>
        <w:tc>
          <w:tcPr>
            <w:tcW w:w="1221" w:type="dxa"/>
            <w:tcBorders>
              <w:top w:val="nil"/>
              <w:left w:val="nil"/>
              <w:bottom w:val="single" w:sz="4" w:space="0" w:color="auto"/>
              <w:right w:val="single" w:sz="4" w:space="0" w:color="auto"/>
            </w:tcBorders>
            <w:shd w:val="clear" w:color="auto" w:fill="auto"/>
            <w:vAlign w:val="center"/>
            <w:hideMark/>
          </w:tcPr>
          <w:p w14:paraId="174A28EA" w14:textId="77777777" w:rsidR="008566E1" w:rsidRPr="00E47AA9" w:rsidRDefault="008566E1" w:rsidP="00845A5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99,62</w:t>
            </w:r>
          </w:p>
        </w:tc>
        <w:tc>
          <w:tcPr>
            <w:tcW w:w="1432" w:type="dxa"/>
            <w:tcBorders>
              <w:top w:val="nil"/>
              <w:left w:val="nil"/>
              <w:bottom w:val="single" w:sz="4" w:space="0" w:color="auto"/>
              <w:right w:val="single" w:sz="4" w:space="0" w:color="auto"/>
            </w:tcBorders>
            <w:shd w:val="clear" w:color="auto" w:fill="auto"/>
            <w:vAlign w:val="center"/>
            <w:hideMark/>
          </w:tcPr>
          <w:p w14:paraId="131046B8" w14:textId="5D301C0E" w:rsidR="008566E1" w:rsidRPr="00E47AA9" w:rsidRDefault="008566E1" w:rsidP="00845A5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2,5</w:t>
            </w:r>
            <w:r w:rsidR="00AF2C0D" w:rsidRPr="00E47AA9">
              <w:rPr>
                <w:rFonts w:ascii="Times New Roman" w:eastAsia="Times New Roman" w:hAnsi="Times New Roman" w:cs="Times New Roman"/>
                <w:b/>
                <w:bCs/>
                <w:sz w:val="20"/>
                <w:szCs w:val="20"/>
                <w:lang w:eastAsia="ru-RU"/>
              </w:rPr>
              <w:t>0</w:t>
            </w:r>
          </w:p>
        </w:tc>
      </w:tr>
      <w:tr w:rsidR="00E47AA9" w:rsidRPr="00E47AA9" w14:paraId="7829B47F" w14:textId="77777777" w:rsidTr="00845A54">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276E4CA7"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РП, входящие в состав НП "Культура</w:t>
            </w:r>
          </w:p>
        </w:tc>
        <w:tc>
          <w:tcPr>
            <w:tcW w:w="1701" w:type="dxa"/>
            <w:tcBorders>
              <w:top w:val="nil"/>
              <w:left w:val="nil"/>
              <w:bottom w:val="single" w:sz="4" w:space="0" w:color="auto"/>
              <w:right w:val="single" w:sz="4" w:space="0" w:color="auto"/>
            </w:tcBorders>
            <w:shd w:val="clear" w:color="auto" w:fill="auto"/>
            <w:vAlign w:val="center"/>
            <w:hideMark/>
          </w:tcPr>
          <w:p w14:paraId="4D7F7A69" w14:textId="299990BC" w:rsidR="008566E1" w:rsidRPr="00E47AA9" w:rsidRDefault="008566E1" w:rsidP="00B7268E">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665,2</w:t>
            </w:r>
            <w:r w:rsidR="00B7268E" w:rsidRPr="00E47AA9">
              <w:rPr>
                <w:rFonts w:ascii="Times New Roman" w:eastAsia="Times New Roman" w:hAnsi="Times New Roman" w:cs="Times New Roman"/>
                <w:sz w:val="20"/>
                <w:szCs w:val="20"/>
                <w:lang w:eastAsia="ru-RU"/>
              </w:rPr>
              <w:t>7</w:t>
            </w:r>
          </w:p>
        </w:tc>
        <w:tc>
          <w:tcPr>
            <w:tcW w:w="1340" w:type="dxa"/>
            <w:tcBorders>
              <w:top w:val="nil"/>
              <w:left w:val="nil"/>
              <w:bottom w:val="single" w:sz="4" w:space="0" w:color="auto"/>
              <w:right w:val="single" w:sz="4" w:space="0" w:color="auto"/>
            </w:tcBorders>
            <w:shd w:val="clear" w:color="auto" w:fill="auto"/>
            <w:vAlign w:val="center"/>
            <w:hideMark/>
          </w:tcPr>
          <w:p w14:paraId="2E87DC85"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662,77</w:t>
            </w:r>
          </w:p>
        </w:tc>
        <w:tc>
          <w:tcPr>
            <w:tcW w:w="1221" w:type="dxa"/>
            <w:tcBorders>
              <w:top w:val="nil"/>
              <w:left w:val="nil"/>
              <w:bottom w:val="single" w:sz="4" w:space="0" w:color="auto"/>
              <w:right w:val="single" w:sz="4" w:space="0" w:color="auto"/>
            </w:tcBorders>
            <w:shd w:val="clear" w:color="auto" w:fill="auto"/>
            <w:vAlign w:val="center"/>
            <w:hideMark/>
          </w:tcPr>
          <w:p w14:paraId="2D23B402"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99,62</w:t>
            </w:r>
          </w:p>
        </w:tc>
        <w:tc>
          <w:tcPr>
            <w:tcW w:w="1432" w:type="dxa"/>
            <w:tcBorders>
              <w:top w:val="nil"/>
              <w:left w:val="nil"/>
              <w:bottom w:val="single" w:sz="4" w:space="0" w:color="auto"/>
              <w:right w:val="single" w:sz="4" w:space="0" w:color="auto"/>
            </w:tcBorders>
            <w:shd w:val="clear" w:color="auto" w:fill="auto"/>
            <w:vAlign w:val="center"/>
            <w:hideMark/>
          </w:tcPr>
          <w:p w14:paraId="4DBD7476" w14:textId="19B1278B"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2,5</w:t>
            </w:r>
            <w:r w:rsidR="00AF2C0D" w:rsidRPr="00E47AA9">
              <w:rPr>
                <w:rFonts w:ascii="Times New Roman" w:eastAsia="Times New Roman" w:hAnsi="Times New Roman" w:cs="Times New Roman"/>
                <w:sz w:val="20"/>
                <w:szCs w:val="20"/>
                <w:lang w:eastAsia="ru-RU"/>
              </w:rPr>
              <w:t>0</w:t>
            </w:r>
          </w:p>
        </w:tc>
      </w:tr>
      <w:tr w:rsidR="00E47AA9" w:rsidRPr="00E47AA9" w14:paraId="4B3D0500" w14:textId="77777777" w:rsidTr="00845A54">
        <w:trPr>
          <w:trHeight w:val="20"/>
        </w:trPr>
        <w:tc>
          <w:tcPr>
            <w:tcW w:w="3544" w:type="dxa"/>
            <w:tcBorders>
              <w:top w:val="nil"/>
              <w:left w:val="single" w:sz="4" w:space="0" w:color="auto"/>
              <w:bottom w:val="single" w:sz="4" w:space="0" w:color="auto"/>
              <w:right w:val="single" w:sz="4" w:space="0" w:color="auto"/>
            </w:tcBorders>
            <w:shd w:val="clear" w:color="auto" w:fill="auto"/>
            <w:hideMark/>
          </w:tcPr>
          <w:p w14:paraId="72FE5FF9"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Региональный проект "Культурная среда" </w:t>
            </w:r>
          </w:p>
        </w:tc>
        <w:tc>
          <w:tcPr>
            <w:tcW w:w="1701" w:type="dxa"/>
            <w:tcBorders>
              <w:top w:val="nil"/>
              <w:left w:val="nil"/>
              <w:bottom w:val="single" w:sz="4" w:space="0" w:color="auto"/>
              <w:right w:val="single" w:sz="4" w:space="0" w:color="auto"/>
            </w:tcBorders>
            <w:shd w:val="clear" w:color="auto" w:fill="auto"/>
            <w:vAlign w:val="center"/>
            <w:hideMark/>
          </w:tcPr>
          <w:p w14:paraId="23B4CCC5"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634,03</w:t>
            </w:r>
          </w:p>
        </w:tc>
        <w:tc>
          <w:tcPr>
            <w:tcW w:w="1340" w:type="dxa"/>
            <w:tcBorders>
              <w:top w:val="nil"/>
              <w:left w:val="nil"/>
              <w:bottom w:val="single" w:sz="4" w:space="0" w:color="auto"/>
              <w:right w:val="single" w:sz="4" w:space="0" w:color="auto"/>
            </w:tcBorders>
            <w:shd w:val="clear" w:color="auto" w:fill="auto"/>
            <w:vAlign w:val="center"/>
            <w:hideMark/>
          </w:tcPr>
          <w:p w14:paraId="6A205809"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631,53</w:t>
            </w:r>
          </w:p>
        </w:tc>
        <w:tc>
          <w:tcPr>
            <w:tcW w:w="1221" w:type="dxa"/>
            <w:tcBorders>
              <w:top w:val="nil"/>
              <w:left w:val="nil"/>
              <w:bottom w:val="single" w:sz="4" w:space="0" w:color="auto"/>
              <w:right w:val="single" w:sz="4" w:space="0" w:color="auto"/>
            </w:tcBorders>
            <w:shd w:val="clear" w:color="auto" w:fill="auto"/>
            <w:vAlign w:val="center"/>
            <w:hideMark/>
          </w:tcPr>
          <w:p w14:paraId="75DE537E"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99,61</w:t>
            </w:r>
          </w:p>
        </w:tc>
        <w:tc>
          <w:tcPr>
            <w:tcW w:w="1432" w:type="dxa"/>
            <w:tcBorders>
              <w:top w:val="nil"/>
              <w:left w:val="nil"/>
              <w:bottom w:val="single" w:sz="4" w:space="0" w:color="auto"/>
              <w:right w:val="single" w:sz="4" w:space="0" w:color="auto"/>
            </w:tcBorders>
            <w:shd w:val="clear" w:color="auto" w:fill="auto"/>
            <w:vAlign w:val="center"/>
            <w:hideMark/>
          </w:tcPr>
          <w:p w14:paraId="6D35FD22" w14:textId="3C46CCE6"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2,5</w:t>
            </w:r>
            <w:r w:rsidR="00AF2C0D" w:rsidRPr="00E47AA9">
              <w:rPr>
                <w:rFonts w:ascii="Times New Roman" w:eastAsia="Times New Roman" w:hAnsi="Times New Roman" w:cs="Times New Roman"/>
                <w:sz w:val="20"/>
                <w:szCs w:val="20"/>
                <w:lang w:eastAsia="ru-RU"/>
              </w:rPr>
              <w:t>0</w:t>
            </w:r>
          </w:p>
        </w:tc>
      </w:tr>
      <w:tr w:rsidR="00E47AA9" w:rsidRPr="00E47AA9" w14:paraId="72F818DD" w14:textId="77777777" w:rsidTr="00845A54">
        <w:trPr>
          <w:trHeight w:val="20"/>
        </w:trPr>
        <w:tc>
          <w:tcPr>
            <w:tcW w:w="3544" w:type="dxa"/>
            <w:tcBorders>
              <w:top w:val="nil"/>
              <w:left w:val="single" w:sz="4" w:space="0" w:color="auto"/>
              <w:bottom w:val="single" w:sz="4" w:space="0" w:color="auto"/>
              <w:right w:val="single" w:sz="4" w:space="0" w:color="auto"/>
            </w:tcBorders>
            <w:shd w:val="clear" w:color="auto" w:fill="auto"/>
            <w:hideMark/>
          </w:tcPr>
          <w:p w14:paraId="7EF5B061"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Региональный проект "Творческие люди"</w:t>
            </w:r>
          </w:p>
        </w:tc>
        <w:tc>
          <w:tcPr>
            <w:tcW w:w="1701" w:type="dxa"/>
            <w:tcBorders>
              <w:top w:val="nil"/>
              <w:left w:val="nil"/>
              <w:bottom w:val="single" w:sz="4" w:space="0" w:color="auto"/>
              <w:right w:val="single" w:sz="4" w:space="0" w:color="auto"/>
            </w:tcBorders>
            <w:shd w:val="clear" w:color="auto" w:fill="auto"/>
            <w:vAlign w:val="center"/>
            <w:hideMark/>
          </w:tcPr>
          <w:p w14:paraId="327C8235"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30,22</w:t>
            </w:r>
          </w:p>
        </w:tc>
        <w:tc>
          <w:tcPr>
            <w:tcW w:w="1340" w:type="dxa"/>
            <w:tcBorders>
              <w:top w:val="nil"/>
              <w:left w:val="nil"/>
              <w:bottom w:val="single" w:sz="4" w:space="0" w:color="auto"/>
              <w:right w:val="single" w:sz="4" w:space="0" w:color="auto"/>
            </w:tcBorders>
            <w:shd w:val="clear" w:color="auto" w:fill="auto"/>
            <w:vAlign w:val="center"/>
            <w:hideMark/>
          </w:tcPr>
          <w:p w14:paraId="6D9C0697"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30,22</w:t>
            </w:r>
          </w:p>
        </w:tc>
        <w:tc>
          <w:tcPr>
            <w:tcW w:w="1221" w:type="dxa"/>
            <w:tcBorders>
              <w:top w:val="nil"/>
              <w:left w:val="nil"/>
              <w:bottom w:val="single" w:sz="4" w:space="0" w:color="auto"/>
              <w:right w:val="single" w:sz="4" w:space="0" w:color="auto"/>
            </w:tcBorders>
            <w:shd w:val="clear" w:color="auto" w:fill="auto"/>
            <w:vAlign w:val="center"/>
            <w:hideMark/>
          </w:tcPr>
          <w:p w14:paraId="15B5B8CF"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1432" w:type="dxa"/>
            <w:tcBorders>
              <w:top w:val="nil"/>
              <w:left w:val="nil"/>
              <w:bottom w:val="single" w:sz="4" w:space="0" w:color="auto"/>
              <w:right w:val="single" w:sz="4" w:space="0" w:color="auto"/>
            </w:tcBorders>
            <w:shd w:val="clear" w:color="auto" w:fill="auto"/>
            <w:vAlign w:val="center"/>
            <w:hideMark/>
          </w:tcPr>
          <w:p w14:paraId="777F8AAD"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E47AA9" w:rsidRPr="00E47AA9" w14:paraId="3316A1CD" w14:textId="77777777" w:rsidTr="00845A54">
        <w:trPr>
          <w:trHeight w:val="20"/>
        </w:trPr>
        <w:tc>
          <w:tcPr>
            <w:tcW w:w="3544" w:type="dxa"/>
            <w:tcBorders>
              <w:top w:val="nil"/>
              <w:left w:val="single" w:sz="4" w:space="0" w:color="auto"/>
              <w:bottom w:val="single" w:sz="4" w:space="0" w:color="auto"/>
              <w:right w:val="single" w:sz="4" w:space="0" w:color="auto"/>
            </w:tcBorders>
            <w:shd w:val="clear" w:color="auto" w:fill="auto"/>
            <w:hideMark/>
          </w:tcPr>
          <w:p w14:paraId="32DEC69B" w14:textId="77777777" w:rsidR="008566E1" w:rsidRPr="00E47AA9" w:rsidRDefault="008566E1" w:rsidP="00845A54">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Региональный проект "Цифровая культура"</w:t>
            </w:r>
          </w:p>
        </w:tc>
        <w:tc>
          <w:tcPr>
            <w:tcW w:w="1701" w:type="dxa"/>
            <w:tcBorders>
              <w:top w:val="nil"/>
              <w:left w:val="nil"/>
              <w:bottom w:val="single" w:sz="4" w:space="0" w:color="auto"/>
              <w:right w:val="single" w:sz="4" w:space="0" w:color="auto"/>
            </w:tcBorders>
            <w:shd w:val="clear" w:color="auto" w:fill="auto"/>
            <w:vAlign w:val="center"/>
            <w:hideMark/>
          </w:tcPr>
          <w:p w14:paraId="2775E693"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1,02</w:t>
            </w:r>
          </w:p>
        </w:tc>
        <w:tc>
          <w:tcPr>
            <w:tcW w:w="1340" w:type="dxa"/>
            <w:tcBorders>
              <w:top w:val="nil"/>
              <w:left w:val="nil"/>
              <w:bottom w:val="single" w:sz="4" w:space="0" w:color="auto"/>
              <w:right w:val="single" w:sz="4" w:space="0" w:color="auto"/>
            </w:tcBorders>
            <w:shd w:val="clear" w:color="auto" w:fill="auto"/>
            <w:vAlign w:val="center"/>
            <w:hideMark/>
          </w:tcPr>
          <w:p w14:paraId="711B6D11"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1,02</w:t>
            </w:r>
          </w:p>
        </w:tc>
        <w:tc>
          <w:tcPr>
            <w:tcW w:w="1221" w:type="dxa"/>
            <w:tcBorders>
              <w:top w:val="nil"/>
              <w:left w:val="nil"/>
              <w:bottom w:val="single" w:sz="4" w:space="0" w:color="auto"/>
              <w:right w:val="single" w:sz="4" w:space="0" w:color="auto"/>
            </w:tcBorders>
            <w:shd w:val="clear" w:color="auto" w:fill="auto"/>
            <w:vAlign w:val="center"/>
            <w:hideMark/>
          </w:tcPr>
          <w:p w14:paraId="443412F2"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1432" w:type="dxa"/>
            <w:tcBorders>
              <w:top w:val="nil"/>
              <w:left w:val="nil"/>
              <w:bottom w:val="single" w:sz="4" w:space="0" w:color="auto"/>
              <w:right w:val="single" w:sz="4" w:space="0" w:color="auto"/>
            </w:tcBorders>
            <w:shd w:val="clear" w:color="auto" w:fill="auto"/>
            <w:vAlign w:val="center"/>
            <w:hideMark/>
          </w:tcPr>
          <w:p w14:paraId="1CC7ABCD" w14:textId="77777777" w:rsidR="008566E1" w:rsidRPr="00E47AA9" w:rsidRDefault="008566E1"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E47AA9" w:rsidRPr="00E47AA9" w14:paraId="71E3F928" w14:textId="77777777" w:rsidTr="00845A54">
        <w:trPr>
          <w:trHeight w:val="2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064A1682" w14:textId="77777777" w:rsidR="008566E1" w:rsidRPr="00E47AA9" w:rsidRDefault="008566E1" w:rsidP="00845A54">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комплексы процессных мероприятий</w:t>
            </w:r>
          </w:p>
        </w:tc>
        <w:tc>
          <w:tcPr>
            <w:tcW w:w="1701" w:type="dxa"/>
            <w:tcBorders>
              <w:top w:val="nil"/>
              <w:left w:val="nil"/>
              <w:bottom w:val="single" w:sz="4" w:space="0" w:color="auto"/>
              <w:right w:val="single" w:sz="4" w:space="0" w:color="auto"/>
            </w:tcBorders>
            <w:shd w:val="clear" w:color="auto" w:fill="auto"/>
            <w:vAlign w:val="center"/>
            <w:hideMark/>
          </w:tcPr>
          <w:p w14:paraId="634E3551" w14:textId="77777777" w:rsidR="008566E1" w:rsidRPr="00E47AA9" w:rsidRDefault="008566E1" w:rsidP="00845A5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3264,29</w:t>
            </w:r>
          </w:p>
        </w:tc>
        <w:tc>
          <w:tcPr>
            <w:tcW w:w="1340" w:type="dxa"/>
            <w:tcBorders>
              <w:top w:val="nil"/>
              <w:left w:val="nil"/>
              <w:bottom w:val="single" w:sz="4" w:space="0" w:color="auto"/>
              <w:right w:val="single" w:sz="4" w:space="0" w:color="auto"/>
            </w:tcBorders>
            <w:shd w:val="clear" w:color="auto" w:fill="auto"/>
            <w:vAlign w:val="center"/>
            <w:hideMark/>
          </w:tcPr>
          <w:p w14:paraId="4A605831" w14:textId="77777777" w:rsidR="008566E1" w:rsidRPr="00E47AA9" w:rsidRDefault="008566E1" w:rsidP="00845A5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3250,71</w:t>
            </w:r>
          </w:p>
        </w:tc>
        <w:tc>
          <w:tcPr>
            <w:tcW w:w="1221" w:type="dxa"/>
            <w:tcBorders>
              <w:top w:val="nil"/>
              <w:left w:val="nil"/>
              <w:bottom w:val="single" w:sz="4" w:space="0" w:color="auto"/>
              <w:right w:val="single" w:sz="4" w:space="0" w:color="auto"/>
            </w:tcBorders>
            <w:shd w:val="clear" w:color="auto" w:fill="auto"/>
            <w:vAlign w:val="center"/>
            <w:hideMark/>
          </w:tcPr>
          <w:p w14:paraId="6D241BA0" w14:textId="77777777" w:rsidR="008566E1" w:rsidRPr="00E47AA9" w:rsidRDefault="008566E1" w:rsidP="00845A5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99,58</w:t>
            </w:r>
          </w:p>
        </w:tc>
        <w:tc>
          <w:tcPr>
            <w:tcW w:w="1432" w:type="dxa"/>
            <w:tcBorders>
              <w:top w:val="nil"/>
              <w:left w:val="nil"/>
              <w:bottom w:val="single" w:sz="4" w:space="0" w:color="auto"/>
              <w:right w:val="single" w:sz="4" w:space="0" w:color="auto"/>
            </w:tcBorders>
            <w:shd w:val="clear" w:color="auto" w:fill="auto"/>
            <w:vAlign w:val="center"/>
            <w:hideMark/>
          </w:tcPr>
          <w:p w14:paraId="1D44C270" w14:textId="77777777" w:rsidR="008566E1" w:rsidRPr="00E47AA9" w:rsidRDefault="008566E1" w:rsidP="00845A54">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13,58</w:t>
            </w:r>
          </w:p>
        </w:tc>
      </w:tr>
    </w:tbl>
    <w:p w14:paraId="51DA75C2"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val="en-US"/>
        </w:rPr>
      </w:pPr>
    </w:p>
    <w:p w14:paraId="0D7A2350" w14:textId="50AE85E7" w:rsidR="00296884" w:rsidRPr="00E47AA9" w:rsidRDefault="0003778E" w:rsidP="008566E1">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По данным</w:t>
      </w:r>
      <w:r w:rsidR="00296884" w:rsidRPr="00E47AA9">
        <w:rPr>
          <w:rFonts w:ascii="Times New Roman" w:eastAsia="Times New Roman" w:hAnsi="Times New Roman" w:cs="Times New Roman"/>
          <w:sz w:val="28"/>
          <w:szCs w:val="28"/>
        </w:rPr>
        <w:t xml:space="preserve"> Сводно</w:t>
      </w:r>
      <w:r w:rsidRPr="00E47AA9">
        <w:rPr>
          <w:rFonts w:ascii="Times New Roman" w:eastAsia="Times New Roman" w:hAnsi="Times New Roman" w:cs="Times New Roman"/>
          <w:sz w:val="28"/>
          <w:szCs w:val="28"/>
        </w:rPr>
        <w:t>го</w:t>
      </w:r>
      <w:r w:rsidR="00296884" w:rsidRPr="00E47AA9">
        <w:rPr>
          <w:rFonts w:ascii="Times New Roman" w:eastAsia="Times New Roman" w:hAnsi="Times New Roman" w:cs="Times New Roman"/>
          <w:sz w:val="28"/>
          <w:szCs w:val="28"/>
        </w:rPr>
        <w:t xml:space="preserve"> годово</w:t>
      </w:r>
      <w:r w:rsidRPr="00E47AA9">
        <w:rPr>
          <w:rFonts w:ascii="Times New Roman" w:eastAsia="Times New Roman" w:hAnsi="Times New Roman" w:cs="Times New Roman"/>
          <w:sz w:val="28"/>
          <w:szCs w:val="28"/>
        </w:rPr>
        <w:t>го</w:t>
      </w:r>
      <w:r w:rsidR="00296884" w:rsidRPr="00E47AA9">
        <w:rPr>
          <w:rFonts w:ascii="Times New Roman" w:eastAsia="Times New Roman" w:hAnsi="Times New Roman" w:cs="Times New Roman"/>
          <w:sz w:val="28"/>
          <w:szCs w:val="28"/>
        </w:rPr>
        <w:t xml:space="preserve"> доклад</w:t>
      </w:r>
      <w:r w:rsidRPr="00E47AA9">
        <w:rPr>
          <w:rFonts w:ascii="Times New Roman" w:eastAsia="Times New Roman" w:hAnsi="Times New Roman" w:cs="Times New Roman"/>
          <w:sz w:val="28"/>
          <w:szCs w:val="28"/>
        </w:rPr>
        <w:t>а</w:t>
      </w:r>
      <w:r w:rsidR="00296884" w:rsidRPr="00E47AA9">
        <w:rPr>
          <w:rFonts w:ascii="Times New Roman" w:eastAsia="Times New Roman" w:hAnsi="Times New Roman" w:cs="Times New Roman"/>
          <w:sz w:val="28"/>
          <w:szCs w:val="28"/>
        </w:rPr>
        <w:t>:</w:t>
      </w:r>
    </w:p>
    <w:p w14:paraId="3AF19F56" w14:textId="5F5AA4E9" w:rsidR="00296884" w:rsidRPr="00E47AA9" w:rsidRDefault="00296884" w:rsidP="008566E1">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из 65 мероприятий государственной программы, запланированных к выполнению в 2024 году, выполнены в полном объеме 58 мероприятий, </w:t>
      </w:r>
      <w:r w:rsidR="00CC32E7" w:rsidRPr="00E47AA9">
        <w:rPr>
          <w:rFonts w:ascii="Times New Roman" w:eastAsia="Times New Roman" w:hAnsi="Times New Roman" w:cs="Times New Roman"/>
          <w:sz w:val="28"/>
          <w:szCs w:val="28"/>
        </w:rPr>
        <w:br/>
      </w:r>
      <w:r w:rsidRPr="00E47AA9">
        <w:rPr>
          <w:rFonts w:ascii="Times New Roman" w:eastAsia="Times New Roman" w:hAnsi="Times New Roman" w:cs="Times New Roman"/>
          <w:sz w:val="28"/>
          <w:szCs w:val="28"/>
        </w:rPr>
        <w:t>7 мероприятий выполнены не в полном объеме;</w:t>
      </w:r>
    </w:p>
    <w:p w14:paraId="2656ADA9" w14:textId="77777777" w:rsidR="00296884" w:rsidRPr="00E47AA9" w:rsidRDefault="00296884" w:rsidP="008566E1">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из 20 показателей государственной программы 19 достигли планового значения, 1 показатель достигнут не в полном объеме;</w:t>
      </w:r>
    </w:p>
    <w:p w14:paraId="607D56BD" w14:textId="5253D977" w:rsidR="00296884" w:rsidRPr="00E47AA9" w:rsidRDefault="00296884" w:rsidP="008566E1">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эффективность реализации государственной программы составила 99,5</w:t>
      </w:r>
      <w:r w:rsidR="0003778E"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 (высокая).</w:t>
      </w:r>
    </w:p>
    <w:p w14:paraId="44E461A0" w14:textId="77777777" w:rsidR="008566E1" w:rsidRPr="00E47AA9" w:rsidRDefault="008566E1" w:rsidP="008566E1">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lastRenderedPageBreak/>
        <w:t>Паспортом ГП предусматривается достижение 4 целей</w:t>
      </w:r>
      <w:r w:rsidRPr="00E47AA9">
        <w:rPr>
          <w:rStyle w:val="a8"/>
          <w:rFonts w:ascii="Times New Roman" w:hAnsi="Times New Roman"/>
          <w:szCs w:val="28"/>
        </w:rPr>
        <w:footnoteReference w:id="38"/>
      </w:r>
      <w:r w:rsidRPr="00E47AA9">
        <w:rPr>
          <w:rFonts w:ascii="Times New Roman" w:hAnsi="Times New Roman" w:cs="Times New Roman"/>
          <w:sz w:val="28"/>
          <w:szCs w:val="28"/>
        </w:rPr>
        <w:t xml:space="preserve"> и 21 показателей, которые должны быть связаны с достижением национальной цели</w:t>
      </w:r>
      <w:r w:rsidRPr="00E47AA9">
        <w:rPr>
          <w:rFonts w:ascii="Times New Roman" w:hAnsi="Times New Roman" w:cs="Times New Roman"/>
          <w:sz w:val="23"/>
          <w:szCs w:val="23"/>
        </w:rPr>
        <w:t xml:space="preserve"> </w:t>
      </w:r>
      <w:r w:rsidRPr="00E47AA9">
        <w:rPr>
          <w:rFonts w:ascii="Times New Roman" w:hAnsi="Times New Roman" w:cs="Times New Roman"/>
          <w:sz w:val="28"/>
          <w:szCs w:val="28"/>
        </w:rPr>
        <w:t>"Реализация потенциала каждого человека, развитие его талантов, воспитание патриотичной и социально ответственной личности", утвержденной Указом Президента РФ от 07.05.2024 № 309 "О национальных целях развития Российской Федерации на период до 2030 года и на перспективу до 2036 года" и с целями Стратегии государственной культурной политики на период до 2030 года, утвержденной распоряжением Правительства РФ от 11.09.2024 № 2501-р.</w:t>
      </w:r>
      <w:r w:rsidRPr="00E47AA9">
        <w:rPr>
          <w:sz w:val="28"/>
          <w:szCs w:val="28"/>
        </w:rPr>
        <w:t xml:space="preserve"> </w:t>
      </w:r>
    </w:p>
    <w:p w14:paraId="08822247"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Исполнение бюджетных ассигнований в 2024 году, предусмотренных на реализацию ГП, сложилось следующим образом.</w:t>
      </w:r>
    </w:p>
    <w:p w14:paraId="0369A788" w14:textId="77777777" w:rsidR="008566E1" w:rsidRPr="00E47AA9" w:rsidRDefault="008566E1" w:rsidP="008566E1">
      <w:pPr>
        <w:spacing w:after="0" w:line="240" w:lineRule="auto"/>
        <w:ind w:firstLine="709"/>
        <w:jc w:val="both"/>
        <w:rPr>
          <w:rFonts w:ascii="Times New Roman" w:hAnsi="Times New Roman" w:cs="Times New Roman"/>
          <w:b/>
          <w:sz w:val="28"/>
          <w:szCs w:val="28"/>
        </w:rPr>
      </w:pPr>
      <w:r w:rsidRPr="00E47AA9">
        <w:rPr>
          <w:rFonts w:ascii="Times New Roman" w:hAnsi="Times New Roman" w:cs="Times New Roman"/>
          <w:b/>
          <w:sz w:val="28"/>
          <w:szCs w:val="28"/>
        </w:rPr>
        <w:t>Подпрограмма "Поддержка культуры в Приморском крае"</w:t>
      </w:r>
    </w:p>
    <w:p w14:paraId="074CC68E"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рамках подпрограммы расходы осуществлялись </w:t>
      </w:r>
      <w:r w:rsidRPr="00E47AA9">
        <w:rPr>
          <w:rFonts w:ascii="Times New Roman" w:eastAsia="Times New Roman" w:hAnsi="Times New Roman" w:cs="Times New Roman"/>
          <w:sz w:val="28"/>
          <w:szCs w:val="28"/>
          <w:u w:val="single"/>
        </w:rPr>
        <w:t>министерством культуры и</w:t>
      </w:r>
      <w:r w:rsidRPr="00E47AA9">
        <w:rPr>
          <w:rFonts w:ascii="Times New Roman" w:eastAsia="Times New Roman" w:hAnsi="Times New Roman" w:cs="Times New Roman"/>
          <w:sz w:val="28"/>
          <w:szCs w:val="28"/>
          <w:u w:val="single"/>
          <w:lang w:eastAsia="ru-RU"/>
        </w:rPr>
        <w:t xml:space="preserve"> архивного дела Приморского края</w:t>
      </w:r>
      <w:r w:rsidRPr="00E47AA9">
        <w:rPr>
          <w:rFonts w:ascii="Times New Roman" w:eastAsia="Times New Roman" w:hAnsi="Times New Roman" w:cs="Times New Roman"/>
          <w:sz w:val="28"/>
          <w:szCs w:val="28"/>
          <w:lang w:eastAsia="ru-RU"/>
        </w:rPr>
        <w:t xml:space="preserve"> и </w:t>
      </w:r>
      <w:r w:rsidRPr="00E47AA9">
        <w:rPr>
          <w:rFonts w:ascii="Times New Roman" w:eastAsia="Times New Roman" w:hAnsi="Times New Roman" w:cs="Times New Roman"/>
          <w:sz w:val="28"/>
          <w:szCs w:val="28"/>
          <w:u w:val="single"/>
          <w:lang w:eastAsia="ru-RU"/>
        </w:rPr>
        <w:t xml:space="preserve">министерством строительства Приморского края. </w:t>
      </w:r>
    </w:p>
    <w:p w14:paraId="2769E744"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По </w:t>
      </w:r>
      <w:r w:rsidRPr="00E47AA9">
        <w:rPr>
          <w:rFonts w:ascii="Times New Roman" w:eastAsia="Times New Roman" w:hAnsi="Times New Roman" w:cs="Times New Roman"/>
          <w:iCs/>
          <w:sz w:val="28"/>
          <w:szCs w:val="28"/>
          <w:lang w:eastAsia="ru-RU"/>
        </w:rPr>
        <w:t xml:space="preserve">входящим в состав </w:t>
      </w:r>
      <w:r w:rsidRPr="00E47AA9">
        <w:rPr>
          <w:rFonts w:ascii="Times New Roman" w:eastAsia="Times New Roman" w:hAnsi="Times New Roman" w:cs="Times New Roman"/>
          <w:sz w:val="28"/>
          <w:szCs w:val="28"/>
        </w:rPr>
        <w:t xml:space="preserve">НП "Культура" трех РП ("Культурная среда", "Творческие люди", "Цифровая культура") </w:t>
      </w:r>
      <w:r w:rsidRPr="00E47AA9">
        <w:rPr>
          <w:rFonts w:ascii="Times New Roman" w:eastAsia="Times New Roman" w:hAnsi="Times New Roman" w:cs="Times New Roman"/>
          <w:bCs/>
          <w:sz w:val="28"/>
          <w:szCs w:val="28"/>
          <w:lang w:eastAsia="ru-RU"/>
        </w:rPr>
        <w:t xml:space="preserve">информация по исполнению расходов </w:t>
      </w:r>
      <w:r w:rsidRPr="00E47AA9">
        <w:rPr>
          <w:rFonts w:ascii="Times New Roman" w:eastAsia="Times New Roman" w:hAnsi="Times New Roman" w:cs="Times New Roman"/>
          <w:sz w:val="28"/>
          <w:szCs w:val="28"/>
          <w:u w:val="single"/>
        </w:rPr>
        <w:t>министерством культуры и</w:t>
      </w:r>
      <w:r w:rsidRPr="00E47AA9">
        <w:rPr>
          <w:rFonts w:ascii="Times New Roman" w:eastAsia="Times New Roman" w:hAnsi="Times New Roman" w:cs="Times New Roman"/>
          <w:sz w:val="28"/>
          <w:szCs w:val="28"/>
          <w:u w:val="single"/>
          <w:lang w:eastAsia="ru-RU"/>
        </w:rPr>
        <w:t xml:space="preserve"> архивного дела Приморского края</w:t>
      </w:r>
      <w:r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bCs/>
          <w:sz w:val="28"/>
          <w:szCs w:val="28"/>
          <w:lang w:eastAsia="ru-RU"/>
        </w:rPr>
        <w:t>изложена в приложении 3 к заключению.</w:t>
      </w:r>
    </w:p>
    <w:p w14:paraId="24D9DF97" w14:textId="6DDAD3D1" w:rsidR="008566E1" w:rsidRPr="00E47AA9" w:rsidRDefault="008566E1" w:rsidP="008566E1">
      <w:pPr>
        <w:spacing w:after="0" w:line="240" w:lineRule="auto"/>
        <w:ind w:firstLine="720"/>
        <w:jc w:val="both"/>
        <w:rPr>
          <w:rFonts w:ascii="Times New Roman" w:eastAsia="Times New Roman" w:hAnsi="Times New Roman" w:cs="Times New Roman"/>
          <w:sz w:val="28"/>
          <w:szCs w:val="28"/>
        </w:rPr>
      </w:pPr>
      <w:r w:rsidRPr="00E47AA9">
        <w:rPr>
          <w:rFonts w:ascii="Times New Roman" w:eastAsia="Times New Roman" w:hAnsi="Times New Roman" w:cs="Times New Roman"/>
          <w:iCs/>
          <w:sz w:val="28"/>
          <w:szCs w:val="28"/>
          <w:lang w:eastAsia="ru-RU"/>
        </w:rPr>
        <w:t>По</w:t>
      </w:r>
      <w:r w:rsidRPr="00E47AA9">
        <w:rPr>
          <w:rFonts w:ascii="Times New Roman" w:eastAsia="Times New Roman" w:hAnsi="Times New Roman" w:cs="Times New Roman"/>
          <w:i/>
          <w:sz w:val="28"/>
          <w:szCs w:val="28"/>
          <w:lang w:eastAsia="ru-RU"/>
        </w:rPr>
        <w:t xml:space="preserve"> КПМ "</w:t>
      </w:r>
      <w:r w:rsidRPr="00E47AA9">
        <w:rPr>
          <w:rFonts w:ascii="Times New Roman" w:hAnsi="Times New Roman" w:cs="Times New Roman"/>
          <w:i/>
          <w:sz w:val="28"/>
          <w:szCs w:val="28"/>
        </w:rPr>
        <w:t>Обеспечение поддержки культуры в Приморском крае</w:t>
      </w:r>
      <w:r w:rsidRPr="00E47AA9">
        <w:rPr>
          <w:rFonts w:ascii="Times New Roman" w:eastAsia="Times New Roman" w:hAnsi="Times New Roman" w:cs="Times New Roman"/>
          <w:i/>
          <w:sz w:val="28"/>
          <w:szCs w:val="28"/>
          <w:lang w:eastAsia="ru-RU"/>
        </w:rPr>
        <w:t>"</w:t>
      </w:r>
      <w:r w:rsidRPr="00E47AA9">
        <w:rPr>
          <w:rFonts w:ascii="Times New Roman" w:eastAsia="Times New Roman" w:hAnsi="Times New Roman" w:cs="Times New Roman"/>
          <w:b/>
          <w:i/>
          <w:sz w:val="28"/>
          <w:szCs w:val="28"/>
          <w:lang w:eastAsia="ru-RU"/>
        </w:rPr>
        <w:t xml:space="preserve"> </w:t>
      </w:r>
      <w:r w:rsidRPr="00E47AA9">
        <w:rPr>
          <w:rFonts w:ascii="Times New Roman" w:eastAsia="Times New Roman" w:hAnsi="Times New Roman" w:cs="Times New Roman"/>
          <w:sz w:val="28"/>
          <w:szCs w:val="28"/>
          <w:lang w:eastAsia="ru-RU"/>
        </w:rPr>
        <w:t>исполнение расходов составило 701,31 млн рублей, или 99,01 %</w:t>
      </w:r>
      <w:r w:rsidRPr="00E47AA9">
        <w:rPr>
          <w:rFonts w:ascii="Times New Roman" w:hAnsi="Times New Roman" w:cs="Times New Roman"/>
          <w:sz w:val="28"/>
          <w:szCs w:val="28"/>
          <w:lang w:eastAsia="x-none"/>
        </w:rPr>
        <w:t xml:space="preserve"> (план</w:t>
      </w:r>
      <w:r w:rsidR="00A40258" w:rsidRPr="00E47AA9">
        <w:rPr>
          <w:rFonts w:ascii="Times New Roman" w:hAnsi="Times New Roman" w:cs="Times New Roman"/>
          <w:sz w:val="28"/>
          <w:szCs w:val="28"/>
          <w:lang w:eastAsia="x-none"/>
        </w:rPr>
        <w:t xml:space="preserve"> –</w:t>
      </w:r>
      <w:r w:rsidRPr="00E47AA9">
        <w:rPr>
          <w:rFonts w:ascii="Times New Roman" w:hAnsi="Times New Roman" w:cs="Times New Roman"/>
          <w:sz w:val="28"/>
          <w:szCs w:val="28"/>
        </w:rPr>
        <w:t xml:space="preserve">708,33 млн рублей), </w:t>
      </w:r>
      <w:r w:rsidRPr="00E47AA9">
        <w:rPr>
          <w:rFonts w:ascii="Times New Roman" w:eastAsia="Times New Roman" w:hAnsi="Times New Roman" w:cs="Times New Roman"/>
          <w:sz w:val="28"/>
          <w:szCs w:val="28"/>
          <w:lang w:eastAsia="ru-RU"/>
        </w:rPr>
        <w:t>из которых</w:t>
      </w:r>
      <w:r w:rsidRPr="00E47AA9">
        <w:rPr>
          <w:rFonts w:ascii="Times New Roman" w:eastAsia="Times New Roman" w:hAnsi="Times New Roman" w:cs="Times New Roman"/>
          <w:sz w:val="28"/>
          <w:szCs w:val="28"/>
        </w:rPr>
        <w:t>:</w:t>
      </w:r>
    </w:p>
    <w:p w14:paraId="55636D0F" w14:textId="1EA8B527" w:rsidR="008566E1" w:rsidRPr="00E47AA9" w:rsidRDefault="008566E1" w:rsidP="008566E1">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u w:val="single"/>
          <w:lang w:eastAsia="ru-RU"/>
        </w:rPr>
        <w:t>министерством строительства Приморского края</w:t>
      </w:r>
      <w:r w:rsidRPr="00E47AA9">
        <w:rPr>
          <w:rFonts w:ascii="Times New Roman" w:eastAsia="Times New Roman" w:hAnsi="Times New Roman" w:cs="Times New Roman"/>
          <w:sz w:val="28"/>
          <w:szCs w:val="28"/>
          <w:lang w:eastAsia="ru-RU"/>
        </w:rPr>
        <w:t xml:space="preserve"> </w:t>
      </w:r>
      <w:r w:rsidR="00A40258"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369,02 млн рублей, или 98,23 % (375,65 млн рублей), в том числе:</w:t>
      </w:r>
    </w:p>
    <w:p w14:paraId="625BC40B" w14:textId="77777777" w:rsidR="008566E1" w:rsidRPr="00E47AA9" w:rsidRDefault="008566E1" w:rsidP="008566E1">
      <w:pPr>
        <w:pStyle w:val="ConsPlusCell"/>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на 99,43 %, или 363,71 млн рублей (план </w:t>
      </w:r>
      <w:r w:rsidR="00A22533" w:rsidRPr="00E47AA9">
        <w:rPr>
          <w:rFonts w:ascii="Times New Roman" w:hAnsi="Times New Roman" w:cs="Times New Roman"/>
          <w:sz w:val="28"/>
          <w:szCs w:val="28"/>
        </w:rPr>
        <w:t>–</w:t>
      </w:r>
      <w:r w:rsidRPr="00E47AA9">
        <w:rPr>
          <w:rFonts w:ascii="Times New Roman" w:hAnsi="Times New Roman" w:cs="Times New Roman"/>
          <w:sz w:val="28"/>
          <w:szCs w:val="28"/>
        </w:rPr>
        <w:t xml:space="preserve"> 365,79 млн рублей) на реализацию мероприятий планов социального развития центров экономического роста субъектов Российской Федерации, входящих в состав Дальневосточного федерального округа, в том числе:</w:t>
      </w:r>
    </w:p>
    <w:p w14:paraId="757CD3E7" w14:textId="77777777" w:rsidR="008566E1" w:rsidRPr="00E47AA9" w:rsidRDefault="008566E1" w:rsidP="008566E1">
      <w:pPr>
        <w:pStyle w:val="ConsPlusCell"/>
        <w:ind w:firstLine="709"/>
        <w:jc w:val="both"/>
        <w:rPr>
          <w:rFonts w:ascii="Times New Roman" w:hAnsi="Times New Roman" w:cs="Times New Roman"/>
          <w:i/>
          <w:sz w:val="28"/>
          <w:szCs w:val="28"/>
          <w:lang w:eastAsia="en-US"/>
        </w:rPr>
      </w:pPr>
      <w:r w:rsidRPr="00E47AA9">
        <w:rPr>
          <w:rFonts w:ascii="Times New Roman" w:hAnsi="Times New Roman" w:cs="Times New Roman"/>
          <w:sz w:val="28"/>
          <w:szCs w:val="28"/>
          <w:lang w:eastAsia="en-US"/>
        </w:rPr>
        <w:t xml:space="preserve">в планируемом объеме 289,79 млн рублей </w:t>
      </w:r>
      <w:r w:rsidR="00A22533" w:rsidRPr="00E47AA9">
        <w:rPr>
          <w:rFonts w:ascii="Times New Roman" w:hAnsi="Times New Roman" w:cs="Times New Roman"/>
          <w:sz w:val="28"/>
          <w:szCs w:val="28"/>
          <w:lang w:eastAsia="en-US"/>
        </w:rPr>
        <w:t>–</w:t>
      </w:r>
      <w:r w:rsidRPr="00E47AA9">
        <w:rPr>
          <w:rFonts w:ascii="Times New Roman" w:hAnsi="Times New Roman" w:cs="Times New Roman"/>
          <w:sz w:val="28"/>
          <w:szCs w:val="28"/>
          <w:lang w:eastAsia="en-US"/>
        </w:rPr>
        <w:t xml:space="preserve"> на реконструкцию здания "Матросского клуба" в г. Владивосток в целях создания центра креативных индустрий (15.04.2024 заключен муниципальный контракт с ООО "</w:t>
      </w:r>
      <w:proofErr w:type="spellStart"/>
      <w:r w:rsidRPr="00E47AA9">
        <w:rPr>
          <w:rFonts w:ascii="Times New Roman" w:hAnsi="Times New Roman" w:cs="Times New Roman"/>
          <w:sz w:val="28"/>
          <w:szCs w:val="28"/>
          <w:lang w:eastAsia="en-US"/>
        </w:rPr>
        <w:t>Амкон</w:t>
      </w:r>
      <w:proofErr w:type="spellEnd"/>
      <w:r w:rsidRPr="00E47AA9">
        <w:rPr>
          <w:rFonts w:ascii="Times New Roman" w:hAnsi="Times New Roman" w:cs="Times New Roman"/>
          <w:sz w:val="28"/>
          <w:szCs w:val="28"/>
          <w:lang w:eastAsia="en-US"/>
        </w:rPr>
        <w:t xml:space="preserve"> ДВ" (под ключ). </w:t>
      </w:r>
      <w:r w:rsidRPr="00E47AA9">
        <w:rPr>
          <w:rFonts w:ascii="Times New Roman" w:hAnsi="Times New Roman" w:cs="Times New Roman"/>
          <w:i/>
          <w:sz w:val="28"/>
          <w:szCs w:val="28"/>
          <w:lang w:eastAsia="en-US"/>
        </w:rPr>
        <w:t xml:space="preserve">Справочно: </w:t>
      </w:r>
      <w:r w:rsidR="00A22533" w:rsidRPr="00E47AA9">
        <w:rPr>
          <w:rFonts w:ascii="Times New Roman" w:hAnsi="Times New Roman" w:cs="Times New Roman"/>
          <w:i/>
          <w:sz w:val="28"/>
          <w:szCs w:val="28"/>
          <w:lang w:eastAsia="en-US"/>
        </w:rPr>
        <w:t>ц</w:t>
      </w:r>
      <w:r w:rsidRPr="00E47AA9">
        <w:rPr>
          <w:rFonts w:ascii="Times New Roman" w:hAnsi="Times New Roman" w:cs="Times New Roman"/>
          <w:i/>
          <w:sz w:val="28"/>
          <w:szCs w:val="28"/>
          <w:lang w:eastAsia="en-US"/>
        </w:rPr>
        <w:t>ена контракта составляет 817,98 млн рублей, в том числе в 2024 году –292,72 млн рублей, в 2025 году – 525,26 млн рублей);</w:t>
      </w:r>
    </w:p>
    <w:p w14:paraId="50DA3310" w14:textId="49DFD975" w:rsidR="008566E1" w:rsidRPr="00E47AA9" w:rsidRDefault="00F172D8" w:rsidP="008566E1">
      <w:pPr>
        <w:pStyle w:val="ConsPlusCell"/>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на </w:t>
      </w:r>
      <w:r w:rsidR="008566E1" w:rsidRPr="00E47AA9">
        <w:rPr>
          <w:rFonts w:ascii="Times New Roman" w:hAnsi="Times New Roman" w:cs="Times New Roman"/>
          <w:sz w:val="28"/>
          <w:szCs w:val="28"/>
        </w:rPr>
        <w:t xml:space="preserve">97,26 %, или 73,92 млн рублей (план </w:t>
      </w:r>
      <w:r w:rsidR="00A40258" w:rsidRPr="00E47AA9">
        <w:rPr>
          <w:rFonts w:ascii="Times New Roman" w:hAnsi="Times New Roman" w:cs="Times New Roman"/>
          <w:sz w:val="28"/>
          <w:szCs w:val="28"/>
        </w:rPr>
        <w:t xml:space="preserve">– </w:t>
      </w:r>
      <w:r w:rsidR="008566E1" w:rsidRPr="00E47AA9">
        <w:rPr>
          <w:rFonts w:ascii="Times New Roman" w:hAnsi="Times New Roman" w:cs="Times New Roman"/>
          <w:sz w:val="28"/>
          <w:szCs w:val="28"/>
        </w:rPr>
        <w:t xml:space="preserve">76,0 млн рублей) </w:t>
      </w:r>
      <w:r w:rsidR="00A22533" w:rsidRPr="00E47AA9">
        <w:rPr>
          <w:rFonts w:ascii="Times New Roman" w:hAnsi="Times New Roman" w:cs="Times New Roman"/>
          <w:sz w:val="28"/>
          <w:szCs w:val="28"/>
        </w:rPr>
        <w:t>–</w:t>
      </w:r>
      <w:r w:rsidR="008566E1" w:rsidRPr="00E47AA9">
        <w:rPr>
          <w:rFonts w:ascii="Times New Roman" w:hAnsi="Times New Roman" w:cs="Times New Roman"/>
          <w:sz w:val="28"/>
          <w:szCs w:val="28"/>
        </w:rPr>
        <w:t xml:space="preserve"> на завершение на строительства Центра культурного развития в г. Большой Камень (получено разрешение администрации городского округа на ввод объекта в эксплуатацию № 25303-014-2024 от 28.12.2024);</w:t>
      </w:r>
    </w:p>
    <w:p w14:paraId="5DE5C740" w14:textId="77777777" w:rsidR="008566E1" w:rsidRPr="00E47AA9" w:rsidRDefault="008566E1" w:rsidP="008566E1">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на 85,30 %, или 1,78 млн рублей (2,09 млн рублей)</w:t>
      </w:r>
      <w:r w:rsidR="00A22533"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w:t>
      </w:r>
      <w:r w:rsidR="00A22533"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на оказание услуг по охране объектов культуры и их содержание во время консервации, не исполнено 0,31 млн рублей </w:t>
      </w:r>
      <w:r w:rsidRPr="00E47AA9">
        <w:rPr>
          <w:rFonts w:ascii="Times New Roman" w:eastAsia="Times New Roman" w:hAnsi="Times New Roman" w:cs="Times New Roman"/>
          <w:sz w:val="28"/>
          <w:szCs w:val="28"/>
        </w:rPr>
        <w:t>в связи с поздним предоставлением исполнителем документов на оплату</w:t>
      </w:r>
      <w:r w:rsidRPr="00E47AA9">
        <w:rPr>
          <w:rFonts w:ascii="Times New Roman" w:eastAsia="Times New Roman" w:hAnsi="Times New Roman" w:cs="Times New Roman"/>
          <w:sz w:val="28"/>
          <w:szCs w:val="28"/>
          <w:lang w:eastAsia="ru-RU"/>
        </w:rPr>
        <w:t xml:space="preserve">; </w:t>
      </w:r>
    </w:p>
    <w:p w14:paraId="5319C54E" w14:textId="77777777" w:rsidR="008566E1" w:rsidRPr="00E47AA9" w:rsidRDefault="008566E1" w:rsidP="008566E1">
      <w:pPr>
        <w:spacing w:after="0" w:line="240" w:lineRule="auto"/>
        <w:ind w:firstLine="720"/>
        <w:jc w:val="both"/>
        <w:rPr>
          <w:rFonts w:ascii="Times New Roman" w:hAnsi="Times New Roman" w:cs="Times New Roman"/>
          <w:sz w:val="28"/>
          <w:szCs w:val="28"/>
        </w:rPr>
      </w:pPr>
      <w:r w:rsidRPr="00E47AA9">
        <w:rPr>
          <w:rFonts w:ascii="Times New Roman" w:hAnsi="Times New Roman" w:cs="Times New Roman"/>
          <w:sz w:val="28"/>
          <w:szCs w:val="28"/>
          <w:lang w:eastAsia="ru-RU"/>
        </w:rPr>
        <w:t>на 33,91 %, или 2,05 млн рублей (6,05 млн рублей)</w:t>
      </w:r>
      <w:r w:rsidR="00A22533" w:rsidRPr="00E47AA9">
        <w:rPr>
          <w:rFonts w:ascii="Times New Roman" w:hAnsi="Times New Roman" w:cs="Times New Roman"/>
          <w:sz w:val="28"/>
          <w:szCs w:val="28"/>
          <w:lang w:eastAsia="ru-RU"/>
        </w:rPr>
        <w:t>,</w:t>
      </w:r>
      <w:r w:rsidRPr="00E47AA9">
        <w:rPr>
          <w:rFonts w:ascii="Times New Roman" w:hAnsi="Times New Roman" w:cs="Times New Roman"/>
          <w:sz w:val="28"/>
          <w:szCs w:val="28"/>
          <w:lang w:eastAsia="ru-RU"/>
        </w:rPr>
        <w:t xml:space="preserve"> </w:t>
      </w:r>
      <w:r w:rsidR="00A22533" w:rsidRPr="00E47AA9">
        <w:rPr>
          <w:rFonts w:ascii="Times New Roman" w:hAnsi="Times New Roman" w:cs="Times New Roman"/>
          <w:sz w:val="28"/>
          <w:szCs w:val="28"/>
          <w:lang w:eastAsia="ru-RU"/>
        </w:rPr>
        <w:t>–</w:t>
      </w:r>
      <w:r w:rsidRPr="00E47AA9">
        <w:rPr>
          <w:rFonts w:ascii="Times New Roman" w:hAnsi="Times New Roman" w:cs="Times New Roman"/>
          <w:sz w:val="28"/>
          <w:szCs w:val="28"/>
          <w:lang w:eastAsia="ru-RU"/>
        </w:rPr>
        <w:t xml:space="preserve"> на оказание услуг по охране объектов культуры и их содержание, в том числе на время закрепления на праве оперативного управления. Не направлено 4,0 млн рублей в связи с поздним распределением дополнительных средств на охрану здания по адресу г. Владивосток, ул. </w:t>
      </w:r>
      <w:proofErr w:type="spellStart"/>
      <w:r w:rsidRPr="00E47AA9">
        <w:rPr>
          <w:rFonts w:ascii="Times New Roman" w:hAnsi="Times New Roman" w:cs="Times New Roman"/>
          <w:sz w:val="28"/>
          <w:szCs w:val="28"/>
          <w:lang w:eastAsia="ru-RU"/>
        </w:rPr>
        <w:t>Светланская</w:t>
      </w:r>
      <w:proofErr w:type="spellEnd"/>
      <w:r w:rsidRPr="00E47AA9">
        <w:rPr>
          <w:rFonts w:ascii="Times New Roman" w:hAnsi="Times New Roman" w:cs="Times New Roman"/>
          <w:sz w:val="28"/>
          <w:szCs w:val="28"/>
          <w:lang w:eastAsia="ru-RU"/>
        </w:rPr>
        <w:t>, д. 52 на п</w:t>
      </w:r>
      <w:r w:rsidRPr="00E47AA9">
        <w:rPr>
          <w:rFonts w:ascii="Times New Roman" w:hAnsi="Times New Roman" w:cs="Times New Roman"/>
          <w:sz w:val="28"/>
          <w:szCs w:val="28"/>
        </w:rPr>
        <w:t>оэтапную оплату работ в соответствии с условиями заключенных государственных контрактов;</w:t>
      </w:r>
    </w:p>
    <w:p w14:paraId="1EB3201F" w14:textId="77777777" w:rsidR="008566E1" w:rsidRPr="00E47AA9" w:rsidRDefault="008566E1" w:rsidP="008566E1">
      <w:pPr>
        <w:spacing w:after="0" w:line="240" w:lineRule="auto"/>
        <w:ind w:firstLine="720"/>
        <w:jc w:val="both"/>
        <w:rPr>
          <w:rFonts w:ascii="Times New Roman" w:hAnsi="Times New Roman" w:cs="Times New Roman"/>
          <w:sz w:val="28"/>
          <w:szCs w:val="28"/>
          <w:lang w:eastAsia="ru-RU"/>
        </w:rPr>
      </w:pPr>
      <w:r w:rsidRPr="00E47AA9">
        <w:rPr>
          <w:rFonts w:ascii="Times New Roman" w:hAnsi="Times New Roman" w:cs="Times New Roman"/>
          <w:sz w:val="28"/>
          <w:szCs w:val="28"/>
          <w:u w:val="single"/>
          <w:lang w:eastAsia="ru-RU"/>
        </w:rPr>
        <w:t xml:space="preserve">министерством имущественных и земельных отношений Приморского </w:t>
      </w:r>
      <w:r w:rsidRPr="00E47AA9">
        <w:rPr>
          <w:rFonts w:ascii="Times New Roman" w:hAnsi="Times New Roman" w:cs="Times New Roman"/>
          <w:sz w:val="28"/>
          <w:szCs w:val="28"/>
          <w:lang w:eastAsia="ru-RU"/>
        </w:rPr>
        <w:t xml:space="preserve">края </w:t>
      </w:r>
      <w:r w:rsidR="00A22533" w:rsidRPr="00E47AA9">
        <w:rPr>
          <w:rFonts w:ascii="Times New Roman" w:hAnsi="Times New Roman" w:cs="Times New Roman"/>
          <w:sz w:val="28"/>
          <w:szCs w:val="28"/>
          <w:lang w:eastAsia="ru-RU"/>
        </w:rPr>
        <w:t>–</w:t>
      </w:r>
      <w:r w:rsidRPr="00E47AA9">
        <w:rPr>
          <w:rFonts w:ascii="Times New Roman" w:hAnsi="Times New Roman" w:cs="Times New Roman"/>
          <w:sz w:val="28"/>
          <w:szCs w:val="28"/>
          <w:lang w:eastAsia="ru-RU"/>
        </w:rPr>
        <w:t xml:space="preserve"> в полном объеме 8,50 млн рублей на приобретение в собственность Приморского края земельного участка из земель сельскохозяйственного назначения для создания этно-археологического краеведческого парка "</w:t>
      </w:r>
      <w:proofErr w:type="spellStart"/>
      <w:r w:rsidRPr="00E47AA9">
        <w:rPr>
          <w:rFonts w:ascii="Times New Roman" w:hAnsi="Times New Roman" w:cs="Times New Roman"/>
          <w:sz w:val="28"/>
          <w:szCs w:val="28"/>
          <w:lang w:eastAsia="ru-RU"/>
        </w:rPr>
        <w:t>Стеклянуха</w:t>
      </w:r>
      <w:proofErr w:type="spellEnd"/>
      <w:r w:rsidRPr="00E47AA9">
        <w:rPr>
          <w:rFonts w:ascii="Times New Roman" w:hAnsi="Times New Roman" w:cs="Times New Roman"/>
          <w:sz w:val="28"/>
          <w:szCs w:val="28"/>
          <w:lang w:eastAsia="ru-RU"/>
        </w:rPr>
        <w:t xml:space="preserve">"; </w:t>
      </w:r>
    </w:p>
    <w:p w14:paraId="58E4167C" w14:textId="77777777" w:rsidR="008566E1" w:rsidRPr="00E47AA9" w:rsidRDefault="008566E1" w:rsidP="008566E1">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u w:val="single"/>
        </w:rPr>
        <w:t>министерством культуры и</w:t>
      </w:r>
      <w:r w:rsidRPr="00E47AA9">
        <w:rPr>
          <w:rFonts w:ascii="Times New Roman" w:eastAsia="Times New Roman" w:hAnsi="Times New Roman" w:cs="Times New Roman"/>
          <w:sz w:val="28"/>
          <w:szCs w:val="28"/>
          <w:u w:val="single"/>
          <w:lang w:eastAsia="ru-RU"/>
        </w:rPr>
        <w:t xml:space="preserve"> архивного дела Приморского края </w:t>
      </w:r>
      <w:r w:rsidR="00A22533" w:rsidRPr="00E47AA9">
        <w:rPr>
          <w:rFonts w:ascii="Times New Roman" w:eastAsia="Times New Roman" w:hAnsi="Times New Roman" w:cs="Times New Roman"/>
          <w:sz w:val="28"/>
          <w:szCs w:val="28"/>
          <w:u w:val="single"/>
          <w:lang w:eastAsia="ru-RU"/>
        </w:rPr>
        <w:t>–</w:t>
      </w:r>
      <w:r w:rsidRPr="00E47AA9">
        <w:rPr>
          <w:rFonts w:ascii="Times New Roman" w:eastAsia="Times New Roman" w:hAnsi="Times New Roman" w:cs="Times New Roman"/>
          <w:sz w:val="28"/>
          <w:szCs w:val="28"/>
          <w:lang w:eastAsia="ru-RU"/>
        </w:rPr>
        <w:t xml:space="preserve"> 323,79 млн рублей, или 99,88 % (324,18 млн рублей), из них:</w:t>
      </w:r>
    </w:p>
    <w:p w14:paraId="413F68FD" w14:textId="77777777" w:rsidR="008566E1" w:rsidRPr="00E47AA9" w:rsidRDefault="008566E1" w:rsidP="008566E1">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в запланированном объеме</w:t>
      </w:r>
      <w:r w:rsidRPr="00E47AA9">
        <w:rPr>
          <w:rFonts w:ascii="Times New Roman" w:eastAsia="Times New Roman" w:hAnsi="Times New Roman" w:cs="Times New Roman"/>
          <w:sz w:val="28"/>
          <w:szCs w:val="28"/>
          <w:lang w:eastAsia="ru-RU"/>
        </w:rPr>
        <w:t xml:space="preserve">: </w:t>
      </w:r>
    </w:p>
    <w:p w14:paraId="38AB98DD" w14:textId="77777777" w:rsidR="008566E1" w:rsidRPr="00E47AA9" w:rsidRDefault="008566E1" w:rsidP="008566E1">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hAnsi="Times New Roman" w:cs="Times New Roman"/>
          <w:sz w:val="28"/>
          <w:szCs w:val="28"/>
        </w:rPr>
        <w:t xml:space="preserve">некоммерческим организациям: на субсидии на осуществление издательской деятельности 10 издательских проектов – 4,92 млн рублей; </w:t>
      </w:r>
      <w:r w:rsidRPr="00E47AA9">
        <w:rPr>
          <w:rFonts w:ascii="Times New Roman" w:eastAsia="Times New Roman" w:hAnsi="Times New Roman" w:cs="Times New Roman"/>
          <w:sz w:val="28"/>
          <w:szCs w:val="28"/>
          <w:lang w:eastAsia="ru-RU"/>
        </w:rPr>
        <w:t xml:space="preserve">на поддержку творческой деятельности и техническое оснащение детских и кукольных театров - 6,30 млн рублей; </w:t>
      </w:r>
      <w:r w:rsidRPr="00E47AA9">
        <w:rPr>
          <w:rFonts w:ascii="Times New Roman" w:eastAsia="Times New Roman" w:hAnsi="Times New Roman" w:cs="Times New Roman"/>
          <w:sz w:val="28"/>
          <w:szCs w:val="28"/>
        </w:rPr>
        <w:t xml:space="preserve">на поддержку 10 творческих коллективов Приморского края – 5,0 млн рублей; </w:t>
      </w:r>
      <w:r w:rsidRPr="00E47AA9">
        <w:rPr>
          <w:rFonts w:ascii="Times New Roman" w:eastAsia="Times New Roman" w:hAnsi="Times New Roman" w:cs="Times New Roman"/>
          <w:sz w:val="28"/>
          <w:szCs w:val="28"/>
          <w:lang w:eastAsia="ru-RU"/>
        </w:rPr>
        <w:t>Приморскому региональному отделению Общероссийской общественной организации "Союз театральных деятелей Российской Федерации (Всероссийское театральное общество)" – 1,0 млн рублей (п</w:t>
      </w:r>
      <w:r w:rsidRPr="00E47AA9">
        <w:rPr>
          <w:rFonts w:ascii="Times New Roman" w:eastAsia="Times New Roman" w:hAnsi="Times New Roman" w:cs="Times New Roman"/>
          <w:sz w:val="28"/>
          <w:szCs w:val="28"/>
        </w:rPr>
        <w:t>роведен ежегодный театральный конкурс "Премия имени народного артиста СССР Андрея Присяжнюка "</w:t>
      </w:r>
      <w:proofErr w:type="spellStart"/>
      <w:r w:rsidRPr="00E47AA9">
        <w:rPr>
          <w:rFonts w:ascii="Times New Roman" w:eastAsia="Times New Roman" w:hAnsi="Times New Roman" w:cs="Times New Roman"/>
          <w:sz w:val="28"/>
          <w:szCs w:val="28"/>
        </w:rPr>
        <w:t>Серебрянный</w:t>
      </w:r>
      <w:proofErr w:type="spellEnd"/>
      <w:r w:rsidRPr="00E47AA9">
        <w:rPr>
          <w:rFonts w:ascii="Times New Roman" w:eastAsia="Times New Roman" w:hAnsi="Times New Roman" w:cs="Times New Roman"/>
          <w:sz w:val="28"/>
          <w:szCs w:val="28"/>
        </w:rPr>
        <w:t xml:space="preserve"> медальон")</w:t>
      </w:r>
      <w:r w:rsidRPr="00E47AA9">
        <w:rPr>
          <w:rFonts w:ascii="Times New Roman" w:eastAsia="Times New Roman" w:hAnsi="Times New Roman" w:cs="Times New Roman"/>
          <w:sz w:val="28"/>
          <w:szCs w:val="28"/>
          <w:lang w:eastAsia="ru-RU"/>
        </w:rPr>
        <w:t>;</w:t>
      </w:r>
      <w:r w:rsidRPr="00E47AA9">
        <w:rPr>
          <w:rFonts w:ascii="Times New Roman" w:hAnsi="Times New Roman" w:cs="Times New Roman"/>
          <w:sz w:val="28"/>
          <w:szCs w:val="28"/>
        </w:rPr>
        <w:t xml:space="preserve"> гранты на поддержку лучших фестивалей в Приморском крае – 2,50 млн рублей; </w:t>
      </w:r>
    </w:p>
    <w:p w14:paraId="2A141FCB" w14:textId="77777777" w:rsidR="008566E1" w:rsidRPr="00E47AA9" w:rsidRDefault="008566E1" w:rsidP="008566E1">
      <w:pPr>
        <w:spacing w:after="0" w:line="240" w:lineRule="auto"/>
        <w:ind w:firstLine="720"/>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на гранты в форме субсидий: федеральному государственному бюджетному образовательному учреждению высшего образования "Московская государственная академия хореографии" в целях развития хореографического искусства и повышения уровня хореографического образования в Приморском крае – 3,14 млн рублей; федеральному государственному бюджетному учреждению культуры "Государственный академический Мариинский театр" в целях укрепления и развития международных культурных связей Приморского края и популяризации русского искусства и культуры – 10,53 млн рублей;</w:t>
      </w:r>
    </w:p>
    <w:p w14:paraId="6114697D" w14:textId="77777777" w:rsidR="008566E1" w:rsidRPr="00E47AA9" w:rsidRDefault="008566E1" w:rsidP="008566E1">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субсидии бюджетам муниципальных образований края: </w:t>
      </w:r>
    </w:p>
    <w:p w14:paraId="671FC9D5" w14:textId="77777777" w:rsidR="008566E1" w:rsidRPr="00E47AA9" w:rsidRDefault="008566E1" w:rsidP="008566E1">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5,00 млн рублей – на приобретение музыкальных инструментов и художественного инвентаря для учреждений дополнительного образования детей в сфере культуры;</w:t>
      </w:r>
    </w:p>
    <w:p w14:paraId="498EE006" w14:textId="77777777" w:rsidR="008566E1" w:rsidRPr="00E47AA9" w:rsidRDefault="008566E1" w:rsidP="008566E1">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5,71 млн рублей</w:t>
      </w:r>
      <w:r w:rsidRPr="00E47AA9">
        <w:rPr>
          <w:rFonts w:ascii="Times New Roman" w:hAnsi="Times New Roman" w:cs="Times New Roman"/>
        </w:rPr>
        <w:t xml:space="preserve"> – </w:t>
      </w:r>
      <w:r w:rsidRPr="00E47AA9">
        <w:rPr>
          <w:rFonts w:ascii="Times New Roman" w:eastAsia="Times New Roman" w:hAnsi="Times New Roman" w:cs="Times New Roman"/>
          <w:sz w:val="28"/>
          <w:szCs w:val="28"/>
          <w:lang w:eastAsia="ru-RU"/>
        </w:rPr>
        <w:t>на комплектование книжных фондов и обеспечение информационно-техническим оборудованием библиотек в 34 муниципальных образованиях;</w:t>
      </w:r>
    </w:p>
    <w:p w14:paraId="09351263" w14:textId="77777777" w:rsidR="008566E1" w:rsidRPr="00E47AA9" w:rsidRDefault="008566E1" w:rsidP="008566E1">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0,86 млн рублей – на поддержку творческой деятельности и укрепление материально-технической базы муниципальных театров в населенных пунктах с численностью населения до 300 тысяч человек;</w:t>
      </w:r>
    </w:p>
    <w:p w14:paraId="540F0906" w14:textId="77777777" w:rsidR="008566E1" w:rsidRPr="00E47AA9" w:rsidRDefault="008566E1" w:rsidP="008566E1">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13,99 млн рублей – на обеспечение развития и укрепления материально- технической базы домов культуры в населенных пунктах с числом жителей до 50 тысяч человек; </w:t>
      </w:r>
    </w:p>
    <w:p w14:paraId="5FDA19B3"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8,04 млн рублей </w:t>
      </w:r>
      <w:r w:rsidR="008767F3" w:rsidRPr="00E47AA9">
        <w:rPr>
          <w:rFonts w:ascii="Times New Roman" w:hAnsi="Times New Roman" w:cs="Times New Roman"/>
          <w:sz w:val="28"/>
          <w:szCs w:val="28"/>
        </w:rPr>
        <w:t>–</w:t>
      </w:r>
      <w:r w:rsidRPr="00E47AA9">
        <w:rPr>
          <w:rFonts w:ascii="Times New Roman" w:hAnsi="Times New Roman" w:cs="Times New Roman"/>
          <w:sz w:val="28"/>
          <w:szCs w:val="28"/>
        </w:rPr>
        <w:t xml:space="preserve"> на государственную поддержку отрасли культуры (модернизация библиотек в части комплектования книжных фондов библиотек муниципальных образований);</w:t>
      </w:r>
    </w:p>
    <w:p w14:paraId="4D18BECB"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50,00 млн рублей </w:t>
      </w:r>
      <w:r w:rsidR="008767F3" w:rsidRPr="00E47AA9">
        <w:rPr>
          <w:rFonts w:ascii="Times New Roman" w:hAnsi="Times New Roman" w:cs="Times New Roman"/>
          <w:sz w:val="28"/>
          <w:szCs w:val="28"/>
        </w:rPr>
        <w:t>–</w:t>
      </w:r>
      <w:r w:rsidRPr="00E47AA9">
        <w:rPr>
          <w:rFonts w:ascii="Times New Roman" w:hAnsi="Times New Roman" w:cs="Times New Roman"/>
          <w:sz w:val="28"/>
          <w:szCs w:val="28"/>
        </w:rPr>
        <w:t xml:space="preserve"> на модернизацию муниципальных библиотек (в рамках краевого проекта "Библиотеки Приморья. Перезагрузка"). В рамках данного мероприятия приобретено современное информационно-техническое, специализированное библиотечное оборудование, интерактивная техника, оргтехника, а также трансформируемая мебель для создания комфортной среды читателей 10 муниципальных библиотек;</w:t>
      </w:r>
    </w:p>
    <w:p w14:paraId="495C589F" w14:textId="77777777" w:rsidR="008566E1" w:rsidRPr="00E47AA9" w:rsidRDefault="008566E1" w:rsidP="008566E1">
      <w:pPr>
        <w:spacing w:after="0" w:line="240" w:lineRule="auto"/>
        <w:ind w:firstLine="720"/>
        <w:jc w:val="both"/>
        <w:rPr>
          <w:rFonts w:ascii="Times New Roman" w:hAnsi="Times New Roman" w:cs="Times New Roman"/>
          <w:sz w:val="28"/>
          <w:szCs w:val="28"/>
        </w:rPr>
      </w:pPr>
      <w:r w:rsidRPr="00E47AA9">
        <w:rPr>
          <w:rFonts w:ascii="Times New Roman" w:hAnsi="Times New Roman" w:cs="Times New Roman"/>
          <w:sz w:val="28"/>
          <w:szCs w:val="28"/>
        </w:rPr>
        <w:t xml:space="preserve">28,41 млн рублей </w:t>
      </w:r>
      <w:r w:rsidR="008767F3" w:rsidRPr="00E47AA9">
        <w:rPr>
          <w:rFonts w:ascii="Times New Roman" w:hAnsi="Times New Roman" w:cs="Times New Roman"/>
          <w:sz w:val="28"/>
          <w:szCs w:val="28"/>
        </w:rPr>
        <w:t>–</w:t>
      </w:r>
      <w:r w:rsidRPr="00E47AA9">
        <w:rPr>
          <w:rFonts w:ascii="Times New Roman" w:hAnsi="Times New Roman" w:cs="Times New Roman"/>
          <w:sz w:val="28"/>
          <w:szCs w:val="28"/>
        </w:rPr>
        <w:t xml:space="preserve"> на обеспечение развития и укрепления материально-технической базы 8 </w:t>
      </w:r>
      <w:r w:rsidRPr="00E47AA9">
        <w:rPr>
          <w:rFonts w:ascii="Times New Roman" w:eastAsia="Times New Roman" w:hAnsi="Times New Roman" w:cs="Times New Roman"/>
          <w:sz w:val="28"/>
          <w:szCs w:val="28"/>
        </w:rPr>
        <w:t>муниципальных домов культуры (в том числе с привлечением средств федерального бюджета)</w:t>
      </w:r>
      <w:r w:rsidRPr="00E47AA9">
        <w:rPr>
          <w:rFonts w:ascii="Times New Roman" w:hAnsi="Times New Roman" w:cs="Times New Roman"/>
          <w:sz w:val="28"/>
          <w:szCs w:val="28"/>
        </w:rPr>
        <w:t>. В 2024 году приобретены кресла, одежда сцены, мультимедийное оборудование, мебель и оргтехника для 3 муниципальных домов культуры (Дворец культуры "Звезда" г. Большой Камень, дом культуры "Химиков" г. Дальнегорск, дом культуры п. Западный) и выполнен текущий ремонт дома культуры пгт Кировский;</w:t>
      </w:r>
    </w:p>
    <w:p w14:paraId="76C0B4A9" w14:textId="2BA63326"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на 99,87 %, или 170,84 млн рублей (171,06 млн рублей)</w:t>
      </w:r>
      <w:r w:rsidR="008767F3" w:rsidRPr="00E47AA9">
        <w:rPr>
          <w:rFonts w:ascii="Times New Roman" w:hAnsi="Times New Roman" w:cs="Times New Roman"/>
          <w:sz w:val="28"/>
          <w:szCs w:val="28"/>
        </w:rPr>
        <w:t>,</w:t>
      </w:r>
      <w:r w:rsidRPr="00E47AA9">
        <w:rPr>
          <w:rFonts w:ascii="Times New Roman" w:hAnsi="Times New Roman" w:cs="Times New Roman"/>
          <w:sz w:val="28"/>
          <w:szCs w:val="28"/>
        </w:rPr>
        <w:t xml:space="preserve"> на строительство, </w:t>
      </w:r>
      <w:proofErr w:type="spellStart"/>
      <w:r w:rsidRPr="00E47AA9">
        <w:rPr>
          <w:rFonts w:ascii="Times New Roman" w:hAnsi="Times New Roman" w:cs="Times New Roman"/>
          <w:sz w:val="28"/>
          <w:szCs w:val="28"/>
        </w:rPr>
        <w:t>реконструкция</w:t>
      </w:r>
      <w:r w:rsidR="008767F3" w:rsidRPr="00E47AA9">
        <w:rPr>
          <w:rFonts w:ascii="Times New Roman" w:hAnsi="Times New Roman" w:cs="Times New Roman"/>
          <w:sz w:val="28"/>
          <w:szCs w:val="28"/>
        </w:rPr>
        <w:t>ю</w:t>
      </w:r>
      <w:proofErr w:type="spellEnd"/>
      <w:r w:rsidRPr="00E47AA9">
        <w:rPr>
          <w:rFonts w:ascii="Times New Roman" w:hAnsi="Times New Roman" w:cs="Times New Roman"/>
          <w:sz w:val="28"/>
          <w:szCs w:val="28"/>
        </w:rPr>
        <w:t xml:space="preserve"> ремонт объектов культуры (в том числе проектно-изыскательские работы), находящихся в муниципальной собственности, и приобретение объектов культуры для муниципальных нужд (в том числе за счет средств специального казначейского кредита из федерального бюджета). </w:t>
      </w:r>
      <w:r w:rsidRPr="00E47AA9">
        <w:rPr>
          <w:rFonts w:ascii="Times New Roman" w:hAnsi="Times New Roman" w:cs="Times New Roman"/>
          <w:sz w:val="28"/>
          <w:szCs w:val="28"/>
          <w:lang w:eastAsia="ru-RU"/>
        </w:rPr>
        <w:t>В рамках данного мероприятия выполнен капитальный ремонт 12 учреждений в сфере культуры</w:t>
      </w:r>
      <w:r w:rsidRPr="00E47AA9">
        <w:rPr>
          <w:rStyle w:val="a8"/>
          <w:rFonts w:ascii="Times New Roman" w:hAnsi="Times New Roman"/>
          <w:sz w:val="28"/>
          <w:szCs w:val="28"/>
        </w:rPr>
        <w:footnoteReference w:id="39"/>
      </w:r>
      <w:r w:rsidRPr="00E47AA9">
        <w:rPr>
          <w:rFonts w:ascii="Times New Roman" w:hAnsi="Times New Roman" w:cs="Times New Roman"/>
          <w:sz w:val="28"/>
          <w:szCs w:val="28"/>
        </w:rPr>
        <w:t xml:space="preserve">. </w:t>
      </w:r>
      <w:r w:rsidRPr="00E47AA9">
        <w:rPr>
          <w:rFonts w:ascii="Times New Roman" w:eastAsia="Times New Roman" w:hAnsi="Times New Roman" w:cs="Times New Roman"/>
          <w:sz w:val="28"/>
          <w:szCs w:val="28"/>
        </w:rPr>
        <w:t>П</w:t>
      </w:r>
      <w:r w:rsidRPr="00E47AA9">
        <w:rPr>
          <w:rFonts w:ascii="Times New Roman" w:hAnsi="Times New Roman" w:cs="Times New Roman"/>
          <w:sz w:val="28"/>
          <w:szCs w:val="28"/>
          <w:lang w:eastAsia="ru-RU"/>
        </w:rPr>
        <w:t>о результатам закупочных процедур сложилась экономия в сумме 0,2 млн рублей</w:t>
      </w:r>
      <w:r w:rsidRPr="00E47AA9">
        <w:rPr>
          <w:rFonts w:ascii="Times New Roman" w:eastAsia="Times New Roman" w:hAnsi="Times New Roman" w:cs="Times New Roman"/>
          <w:sz w:val="28"/>
          <w:szCs w:val="28"/>
        </w:rPr>
        <w:t xml:space="preserve"> по капитальному ремонту библиотеки Уссурийского ГО.</w:t>
      </w:r>
      <w:r w:rsidR="00A11307" w:rsidRPr="00E47AA9">
        <w:rPr>
          <w:rFonts w:ascii="Times New Roman" w:eastAsia="Times New Roman" w:hAnsi="Times New Roman" w:cs="Times New Roman"/>
          <w:sz w:val="28"/>
          <w:szCs w:val="28"/>
        </w:rPr>
        <w:t xml:space="preserve"> По информации </w:t>
      </w:r>
      <w:r w:rsidR="00A11307" w:rsidRPr="00E47AA9">
        <w:rPr>
          <w:rFonts w:ascii="Times New Roman" w:eastAsia="Times New Roman" w:hAnsi="Times New Roman" w:cs="Times New Roman"/>
          <w:sz w:val="28"/>
          <w:szCs w:val="28"/>
          <w:u w:val="single"/>
        </w:rPr>
        <w:t>министерства культуры и</w:t>
      </w:r>
      <w:r w:rsidR="00A11307" w:rsidRPr="00E47AA9">
        <w:rPr>
          <w:rFonts w:ascii="Times New Roman" w:eastAsia="Times New Roman" w:hAnsi="Times New Roman" w:cs="Times New Roman"/>
          <w:sz w:val="28"/>
          <w:szCs w:val="28"/>
          <w:u w:val="single"/>
          <w:lang w:eastAsia="ru-RU"/>
        </w:rPr>
        <w:t xml:space="preserve"> архивного дела Приморского края</w:t>
      </w:r>
      <w:r w:rsidR="00A11307" w:rsidRPr="00E47AA9">
        <w:rPr>
          <w:rFonts w:ascii="Times New Roman" w:eastAsia="Times New Roman" w:hAnsi="Times New Roman" w:cs="Times New Roman"/>
          <w:sz w:val="28"/>
          <w:szCs w:val="28"/>
        </w:rPr>
        <w:t xml:space="preserve">, все показатели, установленные соглашениями с администрациями муниципальных образований, выполнены в полном объеме. Целевой показатель "Доля зданий, находящихся в удовлетворительном состоянии, от общего количества зданий" </w:t>
      </w:r>
      <w:r w:rsidR="00A11307" w:rsidRPr="00E47AA9">
        <w:rPr>
          <w:rFonts w:ascii="Times New Roman" w:eastAsia="Times New Roman" w:hAnsi="Times New Roman" w:cs="Times New Roman"/>
          <w:sz w:val="28"/>
          <w:szCs w:val="28"/>
        </w:rPr>
        <w:lastRenderedPageBreak/>
        <w:t xml:space="preserve">составляет 78,9 %" </w:t>
      </w:r>
      <w:r w:rsidR="00053826" w:rsidRPr="00E47AA9">
        <w:rPr>
          <w:rFonts w:ascii="Times New Roman" w:eastAsia="Times New Roman" w:hAnsi="Times New Roman" w:cs="Times New Roman"/>
          <w:sz w:val="28"/>
          <w:szCs w:val="28"/>
        </w:rPr>
        <w:t xml:space="preserve">(план – 76,0 %), </w:t>
      </w:r>
      <w:r w:rsidR="00A11307" w:rsidRPr="00E47AA9">
        <w:rPr>
          <w:rFonts w:ascii="Times New Roman" w:eastAsia="Times New Roman" w:hAnsi="Times New Roman" w:cs="Times New Roman"/>
          <w:sz w:val="28"/>
          <w:szCs w:val="28"/>
        </w:rPr>
        <w:t>всего 785 объектов, из которых 151 здание требует капитального ремонта и 15 в аварийном состоянии</w:t>
      </w:r>
      <w:r w:rsidR="00053826" w:rsidRPr="00E47AA9">
        <w:rPr>
          <w:rFonts w:ascii="Times New Roman" w:eastAsia="Times New Roman" w:hAnsi="Times New Roman" w:cs="Times New Roman"/>
          <w:sz w:val="28"/>
          <w:szCs w:val="28"/>
        </w:rPr>
        <w:t>.</w:t>
      </w:r>
    </w:p>
    <w:p w14:paraId="59DF9C9F" w14:textId="77777777" w:rsidR="008566E1" w:rsidRPr="00E47AA9" w:rsidRDefault="008566E1" w:rsidP="008566E1">
      <w:pPr>
        <w:spacing w:after="0" w:line="240" w:lineRule="auto"/>
        <w:ind w:firstLine="720"/>
        <w:jc w:val="both"/>
        <w:rPr>
          <w:rFonts w:ascii="Times New Roman" w:hAnsi="Times New Roman" w:cs="Times New Roman"/>
          <w:sz w:val="28"/>
          <w:szCs w:val="28"/>
        </w:rPr>
      </w:pPr>
      <w:r w:rsidRPr="00E47AA9">
        <w:rPr>
          <w:rFonts w:ascii="Times New Roman" w:eastAsia="Times New Roman" w:hAnsi="Times New Roman" w:cs="Times New Roman"/>
          <w:sz w:val="28"/>
          <w:szCs w:val="28"/>
        </w:rPr>
        <w:t>В полном объеме, или 1,81 млн рублей, направлено на выплаты специального денежного поощрения лицам, проявившим выдающиеся способности в области сценического искусства.</w:t>
      </w:r>
    </w:p>
    <w:p w14:paraId="728868E2" w14:textId="77777777" w:rsidR="008566E1" w:rsidRPr="00E47AA9" w:rsidRDefault="008566E1" w:rsidP="008566E1">
      <w:pPr>
        <w:autoSpaceDE w:val="0"/>
        <w:autoSpaceDN w:val="0"/>
        <w:adjustRightInd w:val="0"/>
        <w:spacing w:after="0" w:line="240" w:lineRule="auto"/>
        <w:ind w:firstLine="709"/>
        <w:jc w:val="both"/>
        <w:rPr>
          <w:rFonts w:ascii="Times New Roman" w:hAnsi="Times New Roman" w:cs="Times New Roman"/>
          <w:b/>
          <w:sz w:val="28"/>
          <w:szCs w:val="28"/>
        </w:rPr>
      </w:pPr>
      <w:r w:rsidRPr="00E47AA9">
        <w:rPr>
          <w:rFonts w:ascii="Times New Roman" w:hAnsi="Times New Roman" w:cs="Times New Roman"/>
          <w:b/>
          <w:sz w:val="28"/>
          <w:szCs w:val="28"/>
        </w:rPr>
        <w:t>Подпрограмма "Обеспечение деятельности государственных учреждений культуры и архивного дела, государственных образовательных учреждений в сфере культуры"</w:t>
      </w:r>
    </w:p>
    <w:p w14:paraId="762CA03B" w14:textId="3572CF17" w:rsidR="008566E1" w:rsidRPr="00E47AA9" w:rsidRDefault="008566E1" w:rsidP="008566E1">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i/>
          <w:sz w:val="28"/>
          <w:szCs w:val="28"/>
          <w:lang w:eastAsia="ru-RU"/>
        </w:rPr>
        <w:t xml:space="preserve">КПМ "Обеспечение деятельности краевых государственных учреждений культуры" </w:t>
      </w:r>
      <w:r w:rsidRPr="00E47AA9">
        <w:rPr>
          <w:rFonts w:ascii="Times New Roman" w:eastAsia="Times New Roman" w:hAnsi="Times New Roman" w:cs="Times New Roman"/>
          <w:sz w:val="28"/>
          <w:szCs w:val="28"/>
          <w:lang w:eastAsia="ru-RU"/>
        </w:rPr>
        <w:t xml:space="preserve">занимает основную долю в объеме исполненных расходов по ГП (31,13 %). Исполнение составляет 1160,62 млн рублей, или 99,44 % (план </w:t>
      </w:r>
      <w:r w:rsidR="00A40258"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1167,12 млн рублей), из них:</w:t>
      </w:r>
    </w:p>
    <w:p w14:paraId="290BFAA2" w14:textId="00735062" w:rsidR="008566E1" w:rsidRPr="00E47AA9" w:rsidRDefault="008566E1" w:rsidP="008566E1">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расходы на обеспечение деятельности краевых государственных учреждений культуры</w:t>
      </w:r>
      <w:r w:rsidRPr="00E47AA9">
        <w:rPr>
          <w:rFonts w:ascii="Times New Roman" w:eastAsia="Times New Roman" w:hAnsi="Times New Roman" w:cs="Times New Roman"/>
          <w:i/>
          <w:sz w:val="28"/>
          <w:szCs w:val="28"/>
          <w:lang w:eastAsia="ru-RU"/>
        </w:rPr>
        <w:t xml:space="preserve"> </w:t>
      </w:r>
      <w:r w:rsidRPr="00E47AA9">
        <w:rPr>
          <w:rFonts w:ascii="Times New Roman" w:eastAsia="Times New Roman" w:hAnsi="Times New Roman" w:cs="Times New Roman"/>
          <w:sz w:val="28"/>
          <w:szCs w:val="28"/>
          <w:lang w:eastAsia="ru-RU"/>
        </w:rPr>
        <w:t>исполнены на высоком уровне 99,96 %,</w:t>
      </w:r>
      <w:r w:rsidRPr="00E47AA9">
        <w:rPr>
          <w:rFonts w:ascii="Times New Roman" w:eastAsia="Times New Roman" w:hAnsi="Times New Roman" w:cs="Times New Roman"/>
          <w:i/>
          <w:sz w:val="28"/>
          <w:szCs w:val="28"/>
          <w:lang w:eastAsia="ru-RU"/>
        </w:rPr>
        <w:t xml:space="preserve"> </w:t>
      </w:r>
      <w:r w:rsidRPr="00E47AA9">
        <w:rPr>
          <w:rFonts w:ascii="Times New Roman" w:eastAsia="Times New Roman" w:hAnsi="Times New Roman" w:cs="Times New Roman"/>
          <w:sz w:val="28"/>
          <w:szCs w:val="28"/>
          <w:lang w:eastAsia="ru-RU"/>
        </w:rPr>
        <w:t xml:space="preserve">или 1006,73 млн рублей (план </w:t>
      </w:r>
      <w:r w:rsidR="00576C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1007,15 млн рублей), в том числе:</w:t>
      </w:r>
    </w:p>
    <w:p w14:paraId="4B9AF4CA"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Cs/>
          <w:sz w:val="28"/>
          <w:szCs w:val="28"/>
          <w:lang w:eastAsia="ru-RU"/>
        </w:rPr>
        <w:t>краевым государственным учреждениям</w:t>
      </w:r>
      <w:r w:rsidRPr="00E47AA9">
        <w:rPr>
          <w:rFonts w:ascii="Times New Roman" w:eastAsia="Times New Roman" w:hAnsi="Times New Roman" w:cs="Times New Roman"/>
          <w:sz w:val="28"/>
          <w:szCs w:val="28"/>
          <w:lang w:eastAsia="ru-RU"/>
        </w:rPr>
        <w:t xml:space="preserve"> –794,21 млн рублей в полном объеме (ГАУК "Приморский академический краевой драматический театр имени М. Горького" – 242,43 млн рублей, ГАУК "Приморский краевой драматический театр молодежи" – 122,84 млн рублей, ГАУК "Приморская краевая филармония" – 181,57 млн рублей, ГАУК "Приморская государственная картинная галерея" – 80,13 млн рублей, ГБУК "Приморская краевая публичная библиотека им. А.М. Горького" – 80,27 млн рублей);</w:t>
      </w:r>
    </w:p>
    <w:p w14:paraId="12ADBE5B" w14:textId="77777777" w:rsidR="008566E1" w:rsidRPr="00E47AA9" w:rsidRDefault="008566E1" w:rsidP="008566E1">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Cs/>
          <w:sz w:val="28"/>
          <w:szCs w:val="28"/>
          <w:lang w:eastAsia="ru-RU"/>
        </w:rPr>
        <w:t>государственным казенным учреждениям</w:t>
      </w:r>
      <w:r w:rsidRPr="00E47AA9">
        <w:rPr>
          <w:rFonts w:ascii="Times New Roman" w:eastAsia="Times New Roman" w:hAnsi="Times New Roman" w:cs="Times New Roman"/>
          <w:i/>
          <w:sz w:val="28"/>
          <w:szCs w:val="28"/>
          <w:lang w:eastAsia="ru-RU"/>
        </w:rPr>
        <w:t xml:space="preserve"> – </w:t>
      </w:r>
      <w:r w:rsidRPr="00E47AA9">
        <w:rPr>
          <w:rFonts w:ascii="Times New Roman" w:eastAsia="Times New Roman" w:hAnsi="Times New Roman" w:cs="Times New Roman"/>
          <w:sz w:val="28"/>
          <w:szCs w:val="28"/>
          <w:lang w:eastAsia="ru-RU"/>
        </w:rPr>
        <w:t>212,52 млн рублей, или 99,80 % (212,94 млн рублей), в том числе: "Государственный архив Приморского края" – 121,17 млн рублей, или 99,76 % (121,46 млн рублей), "Приморская краевая детская библиотека" – 57,87 млн рублей, или 99,91 % (57,952 млн рублей), "Приморская краевая библиотека для слепых" – 33,47 млн рублей, или 99,73 % (33,56 млн рублей).</w:t>
      </w:r>
    </w:p>
    <w:p w14:paraId="2E6C5BC9" w14:textId="77777777" w:rsidR="008566E1" w:rsidRPr="00E47AA9" w:rsidRDefault="008566E1" w:rsidP="008566E1">
      <w:pPr>
        <w:spacing w:after="0" w:line="240" w:lineRule="auto"/>
        <w:ind w:firstLine="720"/>
        <w:jc w:val="both"/>
        <w:rPr>
          <w:rFonts w:ascii="Times New Roman" w:hAnsi="Times New Roman" w:cs="Times New Roman"/>
          <w:sz w:val="28"/>
          <w:szCs w:val="28"/>
        </w:rPr>
      </w:pPr>
      <w:r w:rsidRPr="00E47AA9">
        <w:rPr>
          <w:rFonts w:ascii="Times New Roman" w:eastAsia="Times New Roman" w:hAnsi="Times New Roman" w:cs="Times New Roman"/>
          <w:sz w:val="28"/>
          <w:szCs w:val="28"/>
          <w:lang w:eastAsia="ru-RU"/>
        </w:rPr>
        <w:t>М</w:t>
      </w:r>
      <w:r w:rsidRPr="00E47AA9">
        <w:rPr>
          <w:rFonts w:ascii="Times New Roman" w:hAnsi="Times New Roman" w:cs="Times New Roman"/>
          <w:sz w:val="28"/>
          <w:szCs w:val="28"/>
        </w:rPr>
        <w:t>инистерством культуры и архивного дела Приморского края за 2024 год выдержаны параметры, установленные в приложениях к Плану мероприятий ("дорожной карте") по доведению средней заработной платы по категориям работников учреждений культуры к прогнозу среднемесячного дохода от трудовой деятельности на 2024 год: для краевых учреждений 78566,90 рублей (установлено 67492,80 рублей), для муниципальных – 68714,80 рублей (установлено 65945,20 рублей). Показатель "</w:t>
      </w:r>
      <w:r w:rsidRPr="00E47AA9">
        <w:rPr>
          <w:rFonts w:ascii="Times New Roman" w:eastAsia="Times New Roman" w:hAnsi="Times New Roman" w:cs="Times New Roman"/>
          <w:sz w:val="28"/>
          <w:szCs w:val="28"/>
        </w:rPr>
        <w:t>Отношение средней заработной платы работников учреждений культуры к среднемесячной начисленной заработной плате наемных работников в организациях, у индивидуальных предпринимателей и физических лиц (среднемесячному доходу от трудовой деятельности) по субъекту Российской Федерации</w:t>
      </w:r>
      <w:r w:rsidRPr="00E47AA9">
        <w:rPr>
          <w:rFonts w:ascii="Times New Roman" w:hAnsi="Times New Roman" w:cs="Times New Roman"/>
          <w:sz w:val="28"/>
          <w:szCs w:val="28"/>
        </w:rPr>
        <w:t>" – 100,0 % на каждый год реализации программы перевыполнен.</w:t>
      </w:r>
    </w:p>
    <w:p w14:paraId="0E0A06BD" w14:textId="77777777" w:rsidR="008566E1" w:rsidRPr="00E47AA9" w:rsidRDefault="008566E1" w:rsidP="008566E1">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2024 году учреждения культуры Приморского края выполнили или перевыполнили запланированные показатели по основным направлениям деятельности. Театры представили 17 новых спектаклей, провели свыше 1000</w:t>
      </w:r>
      <w:r w:rsidR="008767F3"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xml:space="preserve">показов с высокой посещаемостью. ГАУК "Приморская краевая </w:t>
      </w:r>
      <w:r w:rsidRPr="00E47AA9">
        <w:rPr>
          <w:rFonts w:ascii="Times New Roman" w:eastAsia="Times New Roman" w:hAnsi="Times New Roman" w:cs="Times New Roman"/>
          <w:sz w:val="28"/>
          <w:szCs w:val="28"/>
          <w:lang w:eastAsia="ru-RU"/>
        </w:rPr>
        <w:lastRenderedPageBreak/>
        <w:t xml:space="preserve">филармония" организовало более 500 концертов, включая новые программы. ГАУК "Приморская государственная картинная галерея" провела сверхплановое количество выставок и обработала значительное число музейных предметов. Библиотеки обеспечили высокий уровень обслуживания и обработали свыше 2 миллионов документов. Государственный архив не только выполнил, но и превысил многие плановые показатели, особенно в оцифровке и популяризации архивных фондов. </w:t>
      </w:r>
    </w:p>
    <w:p w14:paraId="31B13689" w14:textId="77777777" w:rsidR="008566E1" w:rsidRPr="00E47AA9" w:rsidRDefault="008566E1" w:rsidP="008566E1">
      <w:pPr>
        <w:spacing w:after="0" w:line="240" w:lineRule="auto"/>
        <w:ind w:firstLine="709"/>
        <w:jc w:val="both"/>
        <w:rPr>
          <w:rFonts w:ascii="Times New Roman" w:hAnsi="Times New Roman" w:cs="Times New Roman"/>
          <w:sz w:val="28"/>
          <w:szCs w:val="28"/>
          <w:lang w:eastAsia="x-none"/>
        </w:rPr>
      </w:pPr>
      <w:r w:rsidRPr="00E47AA9">
        <w:rPr>
          <w:rFonts w:ascii="Times New Roman" w:hAnsi="Times New Roman" w:cs="Times New Roman"/>
          <w:sz w:val="28"/>
          <w:szCs w:val="28"/>
          <w:lang w:eastAsia="x-none"/>
        </w:rPr>
        <w:t>На субсидии краевым государственным учреждениям на иные цели направлено в плани</w:t>
      </w:r>
      <w:r w:rsidR="008767F3" w:rsidRPr="00E47AA9">
        <w:rPr>
          <w:rFonts w:ascii="Times New Roman" w:hAnsi="Times New Roman" w:cs="Times New Roman"/>
          <w:sz w:val="28"/>
          <w:szCs w:val="28"/>
          <w:lang w:eastAsia="x-none"/>
        </w:rPr>
        <w:t>р</w:t>
      </w:r>
      <w:r w:rsidRPr="00E47AA9">
        <w:rPr>
          <w:rFonts w:ascii="Times New Roman" w:hAnsi="Times New Roman" w:cs="Times New Roman"/>
          <w:sz w:val="28"/>
          <w:szCs w:val="28"/>
          <w:lang w:eastAsia="x-none"/>
        </w:rPr>
        <w:t xml:space="preserve">уемом объеме 91,66 млн рублей, из них: </w:t>
      </w:r>
    </w:p>
    <w:p w14:paraId="7685F03F" w14:textId="77777777" w:rsidR="008566E1" w:rsidRPr="00E47AA9" w:rsidRDefault="008566E1" w:rsidP="008566E1">
      <w:pPr>
        <w:spacing w:after="0" w:line="240" w:lineRule="auto"/>
        <w:ind w:firstLine="709"/>
        <w:jc w:val="both"/>
        <w:rPr>
          <w:rFonts w:ascii="Times New Roman" w:hAnsi="Times New Roman" w:cs="Times New Roman"/>
          <w:sz w:val="28"/>
          <w:szCs w:val="28"/>
          <w:lang w:eastAsia="x-none"/>
        </w:rPr>
      </w:pPr>
      <w:r w:rsidRPr="00E47AA9">
        <w:rPr>
          <w:rFonts w:ascii="Times New Roman" w:hAnsi="Times New Roman" w:cs="Times New Roman"/>
          <w:sz w:val="28"/>
          <w:szCs w:val="28"/>
          <w:lang w:eastAsia="x-none"/>
        </w:rPr>
        <w:t>на укрепление материально-технической базы 6 краевых государственных учреждений культуры и искусства</w:t>
      </w:r>
      <w:r w:rsidRPr="00E47AA9">
        <w:rPr>
          <w:rStyle w:val="a8"/>
          <w:rFonts w:ascii="Times New Roman" w:hAnsi="Times New Roman"/>
          <w:sz w:val="28"/>
          <w:szCs w:val="28"/>
          <w:lang w:eastAsia="x-none"/>
        </w:rPr>
        <w:footnoteReference w:id="40"/>
      </w:r>
      <w:r w:rsidRPr="00E47AA9">
        <w:rPr>
          <w:rFonts w:ascii="Times New Roman" w:hAnsi="Times New Roman" w:cs="Times New Roman"/>
          <w:sz w:val="28"/>
          <w:szCs w:val="28"/>
          <w:lang w:eastAsia="x-none"/>
        </w:rPr>
        <w:t xml:space="preserve"> – 49,96 млн рублей;</w:t>
      </w:r>
    </w:p>
    <w:p w14:paraId="0B5E8FDC" w14:textId="77777777" w:rsidR="008566E1" w:rsidRPr="00E47AA9" w:rsidRDefault="008566E1" w:rsidP="008566E1">
      <w:pPr>
        <w:spacing w:after="0" w:line="240" w:lineRule="auto"/>
        <w:ind w:firstLine="709"/>
        <w:jc w:val="both"/>
        <w:rPr>
          <w:rFonts w:ascii="Times New Roman" w:hAnsi="Times New Roman" w:cs="Times New Roman"/>
          <w:sz w:val="28"/>
          <w:szCs w:val="28"/>
          <w:lang w:eastAsia="x-none"/>
        </w:rPr>
      </w:pPr>
      <w:r w:rsidRPr="00E47AA9">
        <w:rPr>
          <w:rFonts w:ascii="Times New Roman" w:eastAsia="Times New Roman" w:hAnsi="Times New Roman" w:cs="Times New Roman"/>
          <w:sz w:val="28"/>
          <w:szCs w:val="28"/>
          <w:lang w:eastAsia="ru-RU"/>
        </w:rPr>
        <w:t xml:space="preserve">на обеспечение видеонаблюдения и иные мероприятия, направленные на защищенность объектов (территорий) 3 краевых государственных учреждений Приморского края – </w:t>
      </w:r>
      <w:r w:rsidRPr="00E47AA9">
        <w:rPr>
          <w:rFonts w:ascii="Times New Roman" w:hAnsi="Times New Roman" w:cs="Times New Roman"/>
          <w:sz w:val="28"/>
          <w:szCs w:val="28"/>
          <w:lang w:eastAsia="x-none"/>
        </w:rPr>
        <w:t>8,80 млн рублей (</w:t>
      </w:r>
      <w:r w:rsidRPr="00E47AA9">
        <w:rPr>
          <w:rFonts w:ascii="Times New Roman" w:eastAsia="Times New Roman" w:hAnsi="Times New Roman" w:cs="Times New Roman"/>
          <w:sz w:val="28"/>
          <w:szCs w:val="28"/>
          <w:lang w:eastAsia="ru-RU"/>
        </w:rPr>
        <w:t>ГАУК "Приморская государственная картинная галерея"</w:t>
      </w:r>
      <w:r w:rsidRPr="00E47AA9">
        <w:t xml:space="preserve">, </w:t>
      </w:r>
      <w:r w:rsidRPr="00E47AA9">
        <w:rPr>
          <w:rFonts w:ascii="Times New Roman" w:eastAsia="Times New Roman" w:hAnsi="Times New Roman" w:cs="Times New Roman"/>
          <w:sz w:val="28"/>
          <w:szCs w:val="28"/>
          <w:lang w:eastAsia="ru-RU"/>
        </w:rPr>
        <w:t>ГБУК "Приморская краевая публичная библиотека им.</w:t>
      </w:r>
      <w:r w:rsidR="008767F3"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А.М. Горького"</w:t>
      </w:r>
      <w:r w:rsidRPr="00E47AA9">
        <w:t xml:space="preserve">, </w:t>
      </w:r>
      <w:r w:rsidRPr="00E47AA9">
        <w:rPr>
          <w:rFonts w:ascii="Times New Roman" w:eastAsia="Times New Roman" w:hAnsi="Times New Roman" w:cs="Times New Roman"/>
          <w:sz w:val="28"/>
          <w:szCs w:val="28"/>
          <w:lang w:eastAsia="ru-RU"/>
        </w:rPr>
        <w:t>ГАУК "Приморский академический краевой драматический театр имени М. Горького"</w:t>
      </w:r>
      <w:r w:rsidRPr="00E47AA9">
        <w:rPr>
          <w:rFonts w:ascii="Times New Roman" w:hAnsi="Times New Roman" w:cs="Times New Roman"/>
          <w:sz w:val="28"/>
          <w:szCs w:val="28"/>
          <w:lang w:eastAsia="x-none"/>
        </w:rPr>
        <w:t>);</w:t>
      </w:r>
    </w:p>
    <w:p w14:paraId="45C19ED9" w14:textId="77777777" w:rsidR="008566E1" w:rsidRPr="00E47AA9" w:rsidRDefault="008566E1" w:rsidP="008566E1">
      <w:pPr>
        <w:spacing w:after="0" w:line="240" w:lineRule="auto"/>
        <w:ind w:firstLine="709"/>
        <w:jc w:val="both"/>
        <w:rPr>
          <w:rFonts w:ascii="Times New Roman" w:hAnsi="Times New Roman" w:cs="Times New Roman"/>
          <w:sz w:val="28"/>
          <w:szCs w:val="28"/>
          <w:lang w:eastAsia="x-none"/>
        </w:rPr>
      </w:pPr>
      <w:r w:rsidRPr="00E47AA9">
        <w:rPr>
          <w:rFonts w:ascii="Times New Roman" w:hAnsi="Times New Roman" w:cs="Times New Roman"/>
          <w:sz w:val="28"/>
          <w:szCs w:val="28"/>
          <w:lang w:eastAsia="x-none"/>
        </w:rPr>
        <w:t>на содержание имущества, не используемого при оказании государственных услуг (выполнении работ)</w:t>
      </w:r>
      <w:r w:rsidR="008767F3" w:rsidRPr="00E47AA9">
        <w:rPr>
          <w:rFonts w:ascii="Times New Roman" w:hAnsi="Times New Roman" w:cs="Times New Roman"/>
          <w:sz w:val="28"/>
          <w:szCs w:val="28"/>
          <w:lang w:eastAsia="x-none"/>
        </w:rPr>
        <w:t>,</w:t>
      </w:r>
      <w:r w:rsidRPr="00E47AA9">
        <w:rPr>
          <w:rFonts w:ascii="Times New Roman" w:hAnsi="Times New Roman" w:cs="Times New Roman"/>
          <w:sz w:val="28"/>
          <w:szCs w:val="28"/>
          <w:lang w:eastAsia="x-none"/>
        </w:rPr>
        <w:t xml:space="preserve"> – 5,47 млн рублей для ГАУ "Приморский краевой центр народной культуры"</w:t>
      </w:r>
      <w:r w:rsidR="008767F3" w:rsidRPr="00E47AA9">
        <w:rPr>
          <w:rFonts w:ascii="Times New Roman" w:hAnsi="Times New Roman" w:cs="Times New Roman"/>
          <w:sz w:val="28"/>
          <w:szCs w:val="28"/>
          <w:lang w:eastAsia="x-none"/>
        </w:rPr>
        <w:t xml:space="preserve"> </w:t>
      </w:r>
      <w:r w:rsidRPr="00E47AA9">
        <w:rPr>
          <w:rFonts w:ascii="Times New Roman" w:hAnsi="Times New Roman" w:cs="Times New Roman"/>
          <w:sz w:val="28"/>
          <w:szCs w:val="28"/>
        </w:rPr>
        <w:t>(оплата налогов, коммунальных услуг за здание, расположенное по адресу ул. Аксаковская, 12);</w:t>
      </w:r>
      <w:r w:rsidRPr="00E47AA9">
        <w:rPr>
          <w:rFonts w:ascii="Times New Roman" w:hAnsi="Times New Roman" w:cs="Times New Roman"/>
          <w:sz w:val="28"/>
          <w:szCs w:val="28"/>
          <w:lang w:eastAsia="x-none"/>
        </w:rPr>
        <w:t xml:space="preserve"> </w:t>
      </w:r>
    </w:p>
    <w:p w14:paraId="2FF7BFF4" w14:textId="77777777" w:rsidR="008566E1" w:rsidRPr="00E47AA9" w:rsidRDefault="008566E1" w:rsidP="008566E1">
      <w:pPr>
        <w:spacing w:after="0" w:line="240" w:lineRule="auto"/>
        <w:ind w:firstLine="709"/>
        <w:jc w:val="both"/>
        <w:rPr>
          <w:rFonts w:ascii="Times New Roman" w:hAnsi="Times New Roman" w:cs="Times New Roman"/>
          <w:sz w:val="28"/>
          <w:szCs w:val="28"/>
          <w:lang w:eastAsia="x-none"/>
        </w:rPr>
      </w:pPr>
      <w:r w:rsidRPr="00E47AA9">
        <w:rPr>
          <w:rFonts w:ascii="Times New Roman" w:hAnsi="Times New Roman" w:cs="Times New Roman"/>
          <w:sz w:val="28"/>
          <w:szCs w:val="28"/>
          <w:lang w:eastAsia="x-none"/>
        </w:rPr>
        <w:t>расходы по оплате договоров на выполнение работ, оказание услуг, связанных с капитальным ремонтом нефинансовых активов, полученных в аренду или безвозмездное пользование, закрепленных за 3 краевыми государственными учреждениями на праве оперативного управления – 27,43 млн рублей</w:t>
      </w:r>
      <w:r w:rsidRPr="00E47AA9">
        <w:rPr>
          <w:rStyle w:val="a8"/>
          <w:rFonts w:ascii="Times New Roman" w:hAnsi="Times New Roman"/>
          <w:sz w:val="28"/>
          <w:szCs w:val="28"/>
          <w:lang w:eastAsia="x-none"/>
        </w:rPr>
        <w:footnoteReference w:id="41"/>
      </w:r>
      <w:r w:rsidRPr="00E47AA9">
        <w:rPr>
          <w:rFonts w:ascii="Times New Roman" w:hAnsi="Times New Roman" w:cs="Times New Roman"/>
          <w:sz w:val="28"/>
          <w:szCs w:val="28"/>
          <w:lang w:eastAsia="x-none"/>
        </w:rPr>
        <w:t>.</w:t>
      </w:r>
    </w:p>
    <w:p w14:paraId="4E8BB44E" w14:textId="77777777" w:rsidR="008566E1" w:rsidRPr="00E47AA9" w:rsidRDefault="008566E1" w:rsidP="008566E1">
      <w:pPr>
        <w:spacing w:after="0" w:line="240" w:lineRule="auto"/>
        <w:ind w:firstLine="709"/>
        <w:jc w:val="both"/>
        <w:rPr>
          <w:rFonts w:ascii="Times New Roman" w:hAnsi="Times New Roman" w:cs="Times New Roman"/>
          <w:sz w:val="28"/>
          <w:szCs w:val="28"/>
          <w:lang w:eastAsia="ru-RU"/>
        </w:rPr>
      </w:pPr>
      <w:r w:rsidRPr="00E47AA9">
        <w:rPr>
          <w:rFonts w:ascii="Times New Roman" w:eastAsia="Calibri" w:hAnsi="Times New Roman" w:cs="Times New Roman"/>
          <w:sz w:val="28"/>
          <w:szCs w:val="28"/>
        </w:rPr>
        <w:t xml:space="preserve">Кроме того, исполнение расходов </w:t>
      </w:r>
      <w:r w:rsidRPr="00E47AA9">
        <w:rPr>
          <w:rFonts w:ascii="Times New Roman" w:eastAsia="Times New Roman" w:hAnsi="Times New Roman" w:cs="Times New Roman"/>
          <w:sz w:val="28"/>
          <w:szCs w:val="28"/>
          <w:lang w:eastAsia="ru-RU"/>
        </w:rPr>
        <w:t xml:space="preserve">на управление и распоряжение имуществом, находящимся в собственности и ведении Приморского края, составило 62,22 млн рублей, или 91,09 % (68,31 млн рублей). Не исполнено </w:t>
      </w:r>
      <w:r w:rsidRPr="00E47AA9">
        <w:rPr>
          <w:rFonts w:ascii="Times New Roman" w:hAnsi="Times New Roman" w:cs="Times New Roman"/>
          <w:sz w:val="28"/>
          <w:szCs w:val="28"/>
          <w:lang w:eastAsia="ru-RU"/>
        </w:rPr>
        <w:t>6,09 млн рублей в результате экономии, сложившейся в связи со снижением остаточной стоимости недвижимого имущества, закрепленного за министерством, с которой начисляется налог на имущество.</w:t>
      </w:r>
    </w:p>
    <w:p w14:paraId="6090E4CF" w14:textId="4D04A553" w:rsidR="008566E1" w:rsidRPr="00E47AA9" w:rsidRDefault="008566E1" w:rsidP="008566E1">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sz w:val="28"/>
          <w:szCs w:val="28"/>
          <w:lang w:eastAsia="ru-RU"/>
        </w:rPr>
        <w:t>Как и в предыдущие периоды,</w:t>
      </w:r>
      <w:r w:rsidR="001059E0" w:rsidRPr="00E47AA9">
        <w:rPr>
          <w:rFonts w:ascii="Times New Roman" w:eastAsia="Times New Roman" w:hAnsi="Times New Roman" w:cs="Times New Roman"/>
          <w:sz w:val="28"/>
          <w:szCs w:val="28"/>
          <w:lang w:eastAsia="ru-RU"/>
        </w:rPr>
        <w:t xml:space="preserve"> в 2024 году</w:t>
      </w:r>
      <w:r w:rsidRPr="00E47AA9">
        <w:rPr>
          <w:rFonts w:ascii="Times New Roman" w:eastAsia="Times New Roman" w:hAnsi="Times New Roman" w:cs="Times New Roman"/>
          <w:sz w:val="28"/>
          <w:szCs w:val="28"/>
          <w:lang w:eastAsia="ru-RU"/>
        </w:rPr>
        <w:t xml:space="preserve"> п</w:t>
      </w:r>
      <w:r w:rsidRPr="00E47AA9">
        <w:rPr>
          <w:rFonts w:ascii="Times New Roman" w:hAnsi="Times New Roman" w:cs="Times New Roman"/>
          <w:sz w:val="28"/>
          <w:szCs w:val="28"/>
        </w:rPr>
        <w:t>роблемой продолжа</w:t>
      </w:r>
      <w:r w:rsidR="001059E0" w:rsidRPr="00E47AA9">
        <w:rPr>
          <w:rFonts w:ascii="Times New Roman" w:hAnsi="Times New Roman" w:cs="Times New Roman"/>
          <w:sz w:val="28"/>
          <w:szCs w:val="28"/>
        </w:rPr>
        <w:t>ло</w:t>
      </w:r>
      <w:r w:rsidRPr="00E47AA9">
        <w:rPr>
          <w:rFonts w:ascii="Times New Roman" w:hAnsi="Times New Roman" w:cs="Times New Roman"/>
          <w:sz w:val="28"/>
          <w:szCs w:val="28"/>
        </w:rPr>
        <w:t xml:space="preserve"> оставаться отсутствие в краевой собственности специализированного здания для размещения </w:t>
      </w:r>
      <w:r w:rsidRPr="00E47AA9">
        <w:rPr>
          <w:rFonts w:ascii="Times New Roman" w:eastAsia="Times New Roman" w:hAnsi="Times New Roman" w:cs="Times New Roman"/>
          <w:sz w:val="28"/>
          <w:szCs w:val="28"/>
          <w:lang w:eastAsia="ru-RU"/>
        </w:rPr>
        <w:t>хранилища библиотечного фонда ГБУК "Приморская краевая публичная библиотека им. А.М. Горького", в связи с чем библиотека им.</w:t>
      </w:r>
      <w:r w:rsidR="00671E90"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А.М. Горького арендует у АО "Торговый дом Владивостокский ГУМ" нежилое помещение площадью 364,9 кв. м, расположенное на 3 этаже здания по адресу: г. Владивосток ул. </w:t>
      </w:r>
      <w:proofErr w:type="spellStart"/>
      <w:r w:rsidRPr="00E47AA9">
        <w:rPr>
          <w:rFonts w:ascii="Times New Roman" w:eastAsia="Times New Roman" w:hAnsi="Times New Roman" w:cs="Times New Roman"/>
          <w:sz w:val="28"/>
          <w:szCs w:val="28"/>
          <w:lang w:eastAsia="ru-RU"/>
        </w:rPr>
        <w:t>Светланская</w:t>
      </w:r>
      <w:proofErr w:type="spellEnd"/>
      <w:r w:rsidRPr="00E47AA9">
        <w:rPr>
          <w:rFonts w:ascii="Times New Roman" w:eastAsia="Times New Roman" w:hAnsi="Times New Roman" w:cs="Times New Roman"/>
          <w:sz w:val="28"/>
          <w:szCs w:val="28"/>
          <w:lang w:eastAsia="ru-RU"/>
        </w:rPr>
        <w:t>, 33 (лит 6)</w:t>
      </w:r>
      <w:r w:rsidRPr="00E47AA9">
        <w:rPr>
          <w:rStyle w:val="a8"/>
          <w:rFonts w:ascii="Times New Roman" w:hAnsi="Times New Roman"/>
          <w:szCs w:val="28"/>
        </w:rPr>
        <w:footnoteReference w:id="42"/>
      </w:r>
      <w:r w:rsidRPr="00E47AA9">
        <w:rPr>
          <w:rFonts w:ascii="Times New Roman" w:eastAsia="Times New Roman" w:hAnsi="Times New Roman" w:cs="Times New Roman"/>
          <w:sz w:val="28"/>
          <w:szCs w:val="28"/>
          <w:lang w:eastAsia="ru-RU"/>
        </w:rPr>
        <w:t xml:space="preserve">, оплачивает арендную </w:t>
      </w:r>
      <w:r w:rsidRPr="00E47AA9">
        <w:rPr>
          <w:rFonts w:ascii="Times New Roman" w:eastAsia="Times New Roman" w:hAnsi="Times New Roman" w:cs="Times New Roman"/>
          <w:sz w:val="28"/>
          <w:szCs w:val="28"/>
          <w:lang w:eastAsia="ru-RU"/>
        </w:rPr>
        <w:lastRenderedPageBreak/>
        <w:t xml:space="preserve">плату в размере </w:t>
      </w:r>
      <w:r w:rsidR="00EB0DAF" w:rsidRPr="00E47AA9">
        <w:rPr>
          <w:rFonts w:ascii="Times New Roman" w:eastAsia="Times New Roman" w:hAnsi="Times New Roman" w:cs="Times New Roman"/>
          <w:sz w:val="28"/>
          <w:szCs w:val="28"/>
          <w:lang w:eastAsia="ru-RU"/>
        </w:rPr>
        <w:t>3,13</w:t>
      </w:r>
      <w:r w:rsidRPr="00E47AA9">
        <w:rPr>
          <w:rFonts w:ascii="Times New Roman" w:eastAsia="Times New Roman" w:hAnsi="Times New Roman" w:cs="Times New Roman"/>
          <w:sz w:val="28"/>
          <w:szCs w:val="28"/>
          <w:lang w:eastAsia="ru-RU"/>
        </w:rPr>
        <w:t xml:space="preserve"> млн рублей ежегодно. При этом качественно предоставлять абонентские услуги библиотечного фонда у библиотеки не</w:t>
      </w:r>
      <w:r w:rsidR="00671E90" w:rsidRPr="00E47AA9">
        <w:rPr>
          <w:rFonts w:ascii="Times New Roman" w:eastAsia="Times New Roman" w:hAnsi="Times New Roman" w:cs="Times New Roman"/>
          <w:sz w:val="28"/>
          <w:szCs w:val="28"/>
          <w:lang w:eastAsia="ru-RU"/>
        </w:rPr>
        <w:t>т</w:t>
      </w:r>
      <w:r w:rsidRPr="00E47AA9">
        <w:rPr>
          <w:rFonts w:ascii="Times New Roman" w:eastAsia="Times New Roman" w:hAnsi="Times New Roman" w:cs="Times New Roman"/>
          <w:sz w:val="28"/>
          <w:szCs w:val="28"/>
          <w:lang w:eastAsia="ru-RU"/>
        </w:rPr>
        <w:t xml:space="preserve"> возможности.</w:t>
      </w:r>
      <w:r w:rsidR="00EB0DAF" w:rsidRPr="00E47AA9">
        <w:rPr>
          <w:rFonts w:ascii="Times New Roman" w:eastAsia="Times New Roman" w:hAnsi="Times New Roman" w:cs="Times New Roman"/>
          <w:sz w:val="28"/>
          <w:szCs w:val="28"/>
          <w:lang w:eastAsia="ru-RU"/>
        </w:rPr>
        <w:t xml:space="preserve"> </w:t>
      </w:r>
      <w:r w:rsidR="00EB0DAF" w:rsidRPr="00E47AA9">
        <w:rPr>
          <w:rFonts w:ascii="Times New Roman" w:eastAsia="Times New Roman" w:hAnsi="Times New Roman" w:cs="Times New Roman"/>
          <w:i/>
          <w:sz w:val="28"/>
          <w:szCs w:val="28"/>
          <w:lang w:eastAsia="ru-RU"/>
        </w:rPr>
        <w:t xml:space="preserve">Справочно: </w:t>
      </w:r>
      <w:r w:rsidR="009C37BC" w:rsidRPr="00E47AA9">
        <w:rPr>
          <w:rFonts w:ascii="Times New Roman" w:eastAsia="Times New Roman" w:hAnsi="Times New Roman" w:cs="Times New Roman"/>
          <w:i/>
          <w:sz w:val="28"/>
          <w:szCs w:val="28"/>
          <w:lang w:eastAsia="ru-RU"/>
        </w:rPr>
        <w:t>в</w:t>
      </w:r>
      <w:r w:rsidR="00EB0DAF" w:rsidRPr="00E47AA9">
        <w:rPr>
          <w:rFonts w:ascii="Times New Roman" w:eastAsia="Times New Roman" w:hAnsi="Times New Roman" w:cs="Times New Roman"/>
          <w:i/>
          <w:sz w:val="28"/>
          <w:szCs w:val="28"/>
          <w:lang w:eastAsia="ru-RU"/>
        </w:rPr>
        <w:t xml:space="preserve"> феврале 2025 года ГБУК "Приморская краевая публичная библиотека им. А.М. Горького" заключен контракт на работы по разработке проектно-сметной документации на капитальный ремонт здания по адресу г. Владивосток, ул. Некрасовская, 59а (2,34 млн рублей).</w:t>
      </w:r>
    </w:p>
    <w:p w14:paraId="31A6B630" w14:textId="77777777" w:rsidR="008566E1" w:rsidRPr="00E47AA9" w:rsidRDefault="008566E1" w:rsidP="008566E1">
      <w:pPr>
        <w:spacing w:after="0" w:line="240" w:lineRule="auto"/>
        <w:ind w:firstLine="709"/>
        <w:jc w:val="both"/>
        <w:rPr>
          <w:rFonts w:ascii="Times New Roman" w:hAnsi="Times New Roman" w:cs="Times New Roman"/>
          <w:sz w:val="28"/>
          <w:szCs w:val="28"/>
          <w:lang w:eastAsia="x-none"/>
        </w:rPr>
      </w:pPr>
      <w:r w:rsidRPr="00E47AA9">
        <w:rPr>
          <w:rFonts w:ascii="Times New Roman" w:hAnsi="Times New Roman" w:cs="Times New Roman"/>
          <w:sz w:val="28"/>
          <w:szCs w:val="28"/>
          <w:lang w:eastAsia="x-none"/>
        </w:rPr>
        <w:t xml:space="preserve">На </w:t>
      </w:r>
      <w:r w:rsidRPr="00E47AA9">
        <w:rPr>
          <w:rFonts w:ascii="Times New Roman" w:hAnsi="Times New Roman" w:cs="Times New Roman"/>
          <w:i/>
          <w:sz w:val="28"/>
          <w:szCs w:val="28"/>
          <w:lang w:eastAsia="x-none"/>
        </w:rPr>
        <w:t xml:space="preserve">КПМ "Обеспечение деятельности краевых государственных образовательных учреждений в сфере культуры" </w:t>
      </w:r>
      <w:r w:rsidRPr="00E47AA9">
        <w:rPr>
          <w:rFonts w:ascii="Times New Roman" w:hAnsi="Times New Roman" w:cs="Times New Roman"/>
          <w:sz w:val="28"/>
          <w:szCs w:val="28"/>
          <w:lang w:eastAsia="x-none"/>
        </w:rPr>
        <w:t xml:space="preserve">направлено 707,02 млн рублей, или 99,99 % (707,06 млн рублей), из которых: </w:t>
      </w:r>
    </w:p>
    <w:p w14:paraId="63A812DF" w14:textId="77777777" w:rsidR="002A02FD" w:rsidRPr="00E47AA9" w:rsidRDefault="008566E1" w:rsidP="002A02FD">
      <w:pPr>
        <w:spacing w:after="0" w:line="240" w:lineRule="auto"/>
        <w:ind w:firstLine="709"/>
        <w:jc w:val="both"/>
        <w:rPr>
          <w:rFonts w:ascii="Times New Roman" w:hAnsi="Times New Roman" w:cs="Times New Roman"/>
          <w:bCs/>
          <w:sz w:val="28"/>
          <w:szCs w:val="28"/>
          <w:shd w:val="clear" w:color="auto" w:fill="FFFFFF"/>
        </w:rPr>
      </w:pPr>
      <w:r w:rsidRPr="00E47AA9">
        <w:rPr>
          <w:rFonts w:ascii="Times New Roman" w:eastAsia="Times New Roman" w:hAnsi="Times New Roman" w:cs="Times New Roman"/>
          <w:sz w:val="28"/>
          <w:szCs w:val="28"/>
          <w:lang w:eastAsia="ru-RU"/>
        </w:rPr>
        <w:t>в полном объеме на обеспечение деятельности краевых государственных образовательных учреждений в сфере культуры – 457,08 млн рублей, в том числе: КГБУ ДО "ДШЦИ им. В.М. </w:t>
      </w:r>
      <w:proofErr w:type="spellStart"/>
      <w:r w:rsidRPr="00E47AA9">
        <w:rPr>
          <w:rFonts w:ascii="Times New Roman" w:eastAsia="Times New Roman" w:hAnsi="Times New Roman" w:cs="Times New Roman"/>
          <w:sz w:val="28"/>
          <w:szCs w:val="28"/>
          <w:lang w:eastAsia="ru-RU"/>
        </w:rPr>
        <w:t>Агарёва</w:t>
      </w:r>
      <w:proofErr w:type="spellEnd"/>
      <w:r w:rsidRPr="00E47AA9">
        <w:rPr>
          <w:rFonts w:ascii="Times New Roman" w:eastAsia="Times New Roman" w:hAnsi="Times New Roman" w:cs="Times New Roman"/>
          <w:sz w:val="28"/>
          <w:szCs w:val="28"/>
          <w:lang w:eastAsia="ru-RU"/>
        </w:rPr>
        <w:t xml:space="preserve">" – 38,68 млн рублей, </w:t>
      </w:r>
      <w:r w:rsidRPr="00E47AA9">
        <w:rPr>
          <w:rFonts w:ascii="Times New Roman" w:hAnsi="Times New Roman" w:cs="Times New Roman"/>
          <w:sz w:val="28"/>
          <w:szCs w:val="28"/>
          <w:lang w:eastAsia="x-none"/>
        </w:rPr>
        <w:t xml:space="preserve">ГАПОУ "Приморский краевой колледж искусств" – 314,23 млн рублей, </w:t>
      </w:r>
      <w:r w:rsidRPr="00E47AA9">
        <w:rPr>
          <w:rFonts w:ascii="Times New Roman" w:hAnsi="Times New Roman" w:cs="Times New Roman"/>
          <w:bCs/>
          <w:sz w:val="28"/>
          <w:szCs w:val="28"/>
          <w:shd w:val="clear" w:color="auto" w:fill="FFFFFF"/>
        </w:rPr>
        <w:t>ГАПОУ</w:t>
      </w:r>
      <w:r w:rsidRPr="00E47AA9">
        <w:rPr>
          <w:rFonts w:ascii="Times New Roman" w:hAnsi="Times New Roman" w:cs="Times New Roman"/>
          <w:sz w:val="28"/>
          <w:szCs w:val="28"/>
          <w:shd w:val="clear" w:color="auto" w:fill="FFFFFF"/>
        </w:rPr>
        <w:t xml:space="preserve"> "</w:t>
      </w:r>
      <w:r w:rsidRPr="00E47AA9">
        <w:rPr>
          <w:rFonts w:ascii="Times New Roman" w:hAnsi="Times New Roman" w:cs="Times New Roman"/>
          <w:bCs/>
          <w:sz w:val="28"/>
          <w:szCs w:val="28"/>
          <w:shd w:val="clear" w:color="auto" w:fill="FFFFFF"/>
        </w:rPr>
        <w:t>Приморский краевой колледж</w:t>
      </w:r>
      <w:r w:rsidRPr="00E47AA9">
        <w:rPr>
          <w:rFonts w:ascii="Times New Roman" w:hAnsi="Times New Roman" w:cs="Times New Roman"/>
          <w:sz w:val="28"/>
          <w:szCs w:val="28"/>
          <w:shd w:val="clear" w:color="auto" w:fill="FFFFFF"/>
        </w:rPr>
        <w:t xml:space="preserve"> </w:t>
      </w:r>
      <w:r w:rsidRPr="00E47AA9">
        <w:rPr>
          <w:rFonts w:ascii="Times New Roman" w:hAnsi="Times New Roman" w:cs="Times New Roman"/>
          <w:bCs/>
          <w:sz w:val="28"/>
          <w:szCs w:val="28"/>
          <w:shd w:val="clear" w:color="auto" w:fill="FFFFFF"/>
        </w:rPr>
        <w:t>культуры" – 118,81 млн рублей</w:t>
      </w:r>
      <w:r w:rsidR="002A02FD" w:rsidRPr="00E47AA9">
        <w:rPr>
          <w:rFonts w:ascii="Times New Roman" w:hAnsi="Times New Roman" w:cs="Times New Roman"/>
          <w:bCs/>
          <w:sz w:val="28"/>
          <w:szCs w:val="28"/>
          <w:shd w:val="clear" w:color="auto" w:fill="FFFFFF"/>
        </w:rPr>
        <w:t xml:space="preserve">, КГАПОУ "Приморский краевой художественный колледж" – 82,0 млн рублей. </w:t>
      </w:r>
    </w:p>
    <w:p w14:paraId="41E8E122" w14:textId="77777777" w:rsidR="008566E1" w:rsidRPr="00E47AA9" w:rsidRDefault="008566E1" w:rsidP="002A02FD">
      <w:pPr>
        <w:spacing w:after="0" w:line="240" w:lineRule="auto"/>
        <w:ind w:firstLine="709"/>
        <w:jc w:val="both"/>
        <w:rPr>
          <w:rFonts w:ascii="Times New Roman" w:hAnsi="Times New Roman" w:cs="Times New Roman"/>
          <w:bCs/>
          <w:sz w:val="28"/>
          <w:szCs w:val="28"/>
          <w:shd w:val="clear" w:color="auto" w:fill="FFFFFF"/>
        </w:rPr>
      </w:pPr>
      <w:r w:rsidRPr="00E47AA9">
        <w:rPr>
          <w:rFonts w:ascii="Times New Roman" w:hAnsi="Times New Roman" w:cs="Times New Roman"/>
          <w:sz w:val="28"/>
          <w:szCs w:val="28"/>
          <w:lang w:eastAsia="x-none"/>
        </w:rPr>
        <w:t>На субсидии краевым государственным учреждениям на иные цели направлено в полном объеме 148,83 млн рублей</w:t>
      </w:r>
      <w:r w:rsidRPr="00E47AA9">
        <w:rPr>
          <w:rFonts w:ascii="Times New Roman" w:eastAsia="Times New Roman" w:hAnsi="Times New Roman" w:cs="Times New Roman"/>
          <w:sz w:val="28"/>
          <w:szCs w:val="28"/>
          <w:lang w:eastAsia="ru-RU"/>
        </w:rPr>
        <w:t xml:space="preserve">, </w:t>
      </w:r>
      <w:r w:rsidRPr="00E47AA9">
        <w:rPr>
          <w:rFonts w:ascii="Times New Roman" w:hAnsi="Times New Roman" w:cs="Times New Roman"/>
          <w:sz w:val="28"/>
          <w:szCs w:val="28"/>
          <w:lang w:eastAsia="x-none"/>
        </w:rPr>
        <w:t xml:space="preserve">из них: </w:t>
      </w:r>
    </w:p>
    <w:p w14:paraId="1E11B350" w14:textId="77777777" w:rsidR="008566E1" w:rsidRPr="00E47AA9" w:rsidRDefault="008566E1" w:rsidP="008566E1">
      <w:pPr>
        <w:spacing w:after="0" w:line="240" w:lineRule="auto"/>
        <w:ind w:firstLine="709"/>
        <w:jc w:val="both"/>
        <w:rPr>
          <w:rFonts w:ascii="Times New Roman" w:hAnsi="Times New Roman" w:cs="Times New Roman"/>
          <w:sz w:val="28"/>
          <w:szCs w:val="28"/>
          <w:lang w:eastAsia="x-none"/>
        </w:rPr>
      </w:pPr>
      <w:r w:rsidRPr="00E47AA9">
        <w:rPr>
          <w:rFonts w:ascii="Times New Roman" w:hAnsi="Times New Roman" w:cs="Times New Roman"/>
          <w:sz w:val="28"/>
          <w:szCs w:val="28"/>
          <w:lang w:eastAsia="x-none"/>
        </w:rPr>
        <w:t xml:space="preserve">на стипендии обучающимся в краевых государственных профессиональных образовательных учреждениях ГАПОУ "Приморский краевой колледж культуры", ГАПОУ "Приморский краевой колледж искусств", КГАПОУ "Приморский краевой художественный колледж" – 5,35 млн рублей. </w:t>
      </w:r>
      <w:r w:rsidRPr="00E47AA9">
        <w:rPr>
          <w:rFonts w:ascii="Times New Roman" w:eastAsia="Times New Roman" w:hAnsi="Times New Roman" w:cs="Times New Roman"/>
          <w:sz w:val="28"/>
          <w:szCs w:val="28"/>
        </w:rPr>
        <w:t>Выплачена социальная и академическая стипендия 921 обучающемуся</w:t>
      </w:r>
      <w:r w:rsidRPr="00E47AA9">
        <w:rPr>
          <w:rFonts w:ascii="Times New Roman" w:hAnsi="Times New Roman" w:cs="Times New Roman"/>
          <w:sz w:val="28"/>
          <w:szCs w:val="28"/>
          <w:lang w:eastAsia="x-none"/>
        </w:rPr>
        <w:t>;</w:t>
      </w:r>
    </w:p>
    <w:p w14:paraId="2818D55D" w14:textId="77777777" w:rsidR="008566E1" w:rsidRPr="00E47AA9" w:rsidRDefault="008566E1" w:rsidP="008566E1">
      <w:pPr>
        <w:spacing w:after="0" w:line="240" w:lineRule="auto"/>
        <w:ind w:firstLine="709"/>
        <w:jc w:val="both"/>
        <w:rPr>
          <w:rFonts w:ascii="Times New Roman" w:hAnsi="Times New Roman" w:cs="Times New Roman"/>
          <w:sz w:val="28"/>
          <w:szCs w:val="28"/>
          <w:lang w:eastAsia="x-none"/>
        </w:rPr>
      </w:pPr>
      <w:r w:rsidRPr="00E47AA9">
        <w:rPr>
          <w:rFonts w:ascii="Times New Roman" w:hAnsi="Times New Roman" w:cs="Times New Roman"/>
          <w:sz w:val="28"/>
          <w:szCs w:val="28"/>
          <w:lang w:eastAsia="x-none"/>
        </w:rPr>
        <w:t>на расходы по оплате договоров на выполнение работ, оказание услуг, связанных с капитальным ремонтом нефинансовых активов, полученных в аренду или безвозмездное пользование, закрепленных за краевыми государственными учреждениями на праве оперативного управления – 113,55 млн рублей (ГАПОУ "Приморский краевой колледж культуры" и "Приморский краевой колледж искусств");</w:t>
      </w:r>
    </w:p>
    <w:p w14:paraId="5BBE0755" w14:textId="77777777" w:rsidR="008566E1" w:rsidRPr="00E47AA9" w:rsidRDefault="008566E1" w:rsidP="008566E1">
      <w:pPr>
        <w:spacing w:after="0" w:line="240" w:lineRule="auto"/>
        <w:ind w:firstLine="709"/>
        <w:jc w:val="both"/>
        <w:rPr>
          <w:rFonts w:ascii="Times New Roman" w:hAnsi="Times New Roman" w:cs="Times New Roman"/>
          <w:sz w:val="28"/>
          <w:szCs w:val="28"/>
          <w:lang w:eastAsia="x-none"/>
        </w:rPr>
      </w:pPr>
      <w:r w:rsidRPr="00E47AA9">
        <w:rPr>
          <w:rFonts w:ascii="Times New Roman" w:eastAsia="Times New Roman" w:hAnsi="Times New Roman" w:cs="Times New Roman"/>
          <w:sz w:val="28"/>
          <w:szCs w:val="28"/>
          <w:lang w:eastAsia="ru-RU"/>
        </w:rPr>
        <w:t>на организацию питания обучающихся средних профессиональных образовательных учреждений, проживающих в общежитии – 7,07 млн рублей, в объеме фактической потребности</w:t>
      </w:r>
      <w:r w:rsidRPr="00E47AA9">
        <w:rPr>
          <w:rFonts w:ascii="Times New Roman" w:hAnsi="Times New Roman" w:cs="Times New Roman"/>
          <w:sz w:val="28"/>
          <w:szCs w:val="28"/>
          <w:lang w:eastAsia="x-none"/>
        </w:rPr>
        <w:t>;</w:t>
      </w:r>
    </w:p>
    <w:p w14:paraId="242C2AB6" w14:textId="77777777" w:rsidR="008566E1" w:rsidRPr="00E47AA9" w:rsidRDefault="008566E1" w:rsidP="008566E1">
      <w:pPr>
        <w:spacing w:after="0" w:line="240" w:lineRule="auto"/>
        <w:ind w:firstLine="709"/>
        <w:jc w:val="both"/>
        <w:rPr>
          <w:rFonts w:ascii="Times New Roman" w:hAnsi="Times New Roman" w:cs="Times New Roman"/>
          <w:sz w:val="28"/>
          <w:szCs w:val="28"/>
          <w:lang w:eastAsia="x-none"/>
        </w:rPr>
      </w:pPr>
      <w:r w:rsidRPr="00E47AA9">
        <w:rPr>
          <w:rFonts w:ascii="Times New Roman" w:hAnsi="Times New Roman" w:cs="Times New Roman"/>
          <w:sz w:val="28"/>
          <w:szCs w:val="28"/>
          <w:lang w:eastAsia="x-none"/>
        </w:rPr>
        <w:t>на укрепление материально-технической базы 3 краевых государственных образовательных учреждений в сфере культуры и искусства</w:t>
      </w:r>
      <w:r w:rsidR="00671E90" w:rsidRPr="00E47AA9">
        <w:rPr>
          <w:rFonts w:ascii="Times New Roman" w:hAnsi="Times New Roman" w:cs="Times New Roman"/>
          <w:sz w:val="28"/>
          <w:szCs w:val="28"/>
          <w:lang w:eastAsia="x-none"/>
        </w:rPr>
        <w:t> –</w:t>
      </w:r>
      <w:r w:rsidRPr="00E47AA9">
        <w:rPr>
          <w:rFonts w:ascii="Times New Roman" w:hAnsi="Times New Roman" w:cs="Times New Roman"/>
          <w:sz w:val="28"/>
          <w:szCs w:val="28"/>
          <w:lang w:eastAsia="x-none"/>
        </w:rPr>
        <w:t xml:space="preserve"> 16,92 млн рублей (ГАПОУ "Приморский краевой колледж культуры" и "Приморский краевой колледж искусств", </w:t>
      </w:r>
      <w:r w:rsidRPr="00E47AA9">
        <w:rPr>
          <w:rFonts w:ascii="Times New Roman" w:eastAsia="Times New Roman" w:hAnsi="Times New Roman" w:cs="Times New Roman"/>
          <w:sz w:val="28"/>
          <w:szCs w:val="28"/>
          <w:lang w:eastAsia="ru-RU"/>
        </w:rPr>
        <w:t>КГБУ ДО "ДШЦИ им.</w:t>
      </w:r>
      <w:r w:rsidR="00671E90"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В.М. </w:t>
      </w:r>
      <w:proofErr w:type="spellStart"/>
      <w:r w:rsidRPr="00E47AA9">
        <w:rPr>
          <w:rFonts w:ascii="Times New Roman" w:eastAsia="Times New Roman" w:hAnsi="Times New Roman" w:cs="Times New Roman"/>
          <w:sz w:val="28"/>
          <w:szCs w:val="28"/>
          <w:lang w:eastAsia="ru-RU"/>
        </w:rPr>
        <w:t>Агарёва</w:t>
      </w:r>
      <w:proofErr w:type="spellEnd"/>
      <w:r w:rsidRPr="00E47AA9">
        <w:rPr>
          <w:rFonts w:ascii="Times New Roman" w:eastAsia="Times New Roman" w:hAnsi="Times New Roman" w:cs="Times New Roman"/>
          <w:sz w:val="28"/>
          <w:szCs w:val="28"/>
          <w:lang w:eastAsia="ru-RU"/>
        </w:rPr>
        <w:t>"</w:t>
      </w:r>
      <w:r w:rsidRPr="00E47AA9">
        <w:rPr>
          <w:rFonts w:ascii="Times New Roman" w:hAnsi="Times New Roman" w:cs="Times New Roman"/>
          <w:sz w:val="28"/>
          <w:szCs w:val="28"/>
          <w:lang w:eastAsia="x-none"/>
        </w:rPr>
        <w:t>).</w:t>
      </w:r>
    </w:p>
    <w:p w14:paraId="4D6F51FF" w14:textId="32542C2C" w:rsidR="008566E1" w:rsidRPr="00E47AA9" w:rsidRDefault="008566E1" w:rsidP="008566E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Расходы на предоставление мер социальной поддержки педагогическим работникам краевых государственных образовательных организаций составили 2,78 млн рублей, или 99,95 % (план</w:t>
      </w:r>
      <w:r w:rsidR="00576C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 2,79 млн рублей). Размер выплат, установленных З</w:t>
      </w:r>
      <w:r w:rsidRPr="00E47AA9">
        <w:rPr>
          <w:rFonts w:ascii="Times New Roman" w:hAnsi="Times New Roman" w:cs="Times New Roman"/>
          <w:sz w:val="28"/>
          <w:szCs w:val="28"/>
        </w:rPr>
        <w:t>аконом Приморского края от 23.11.2018 № 389-КЗ "О предоставлении мер социальной поддержки педагогическим работникам краевых государственных и муниципальных образовательных организаций Приморского края", как и в 2023 году, в 2024 году не менялся</w:t>
      </w:r>
      <w:r w:rsidRPr="00E47AA9">
        <w:rPr>
          <w:rFonts w:ascii="Times New Roman" w:eastAsia="Times New Roman" w:hAnsi="Times New Roman" w:cs="Times New Roman"/>
          <w:sz w:val="28"/>
          <w:szCs w:val="28"/>
          <w:lang w:eastAsia="ru-RU"/>
        </w:rPr>
        <w:t>:</w:t>
      </w:r>
      <w:r w:rsidRPr="00E47AA9">
        <w:rPr>
          <w:rFonts w:ascii="Times New Roman" w:hAnsi="Times New Roman" w:cs="Times New Roman"/>
          <w:sz w:val="28"/>
          <w:szCs w:val="28"/>
        </w:rPr>
        <w:t xml:space="preserve"> е</w:t>
      </w:r>
      <w:r w:rsidRPr="00E47AA9">
        <w:rPr>
          <w:rFonts w:ascii="Times New Roman" w:eastAsia="Times New Roman" w:hAnsi="Times New Roman" w:cs="Times New Roman"/>
          <w:sz w:val="28"/>
          <w:szCs w:val="28"/>
          <w:lang w:eastAsia="ru-RU"/>
        </w:rPr>
        <w:t xml:space="preserve">диновременная </w:t>
      </w:r>
      <w:r w:rsidRPr="00E47AA9">
        <w:rPr>
          <w:rFonts w:ascii="Times New Roman" w:eastAsia="Times New Roman" w:hAnsi="Times New Roman" w:cs="Times New Roman"/>
          <w:sz w:val="28"/>
          <w:szCs w:val="28"/>
          <w:lang w:eastAsia="ru-RU"/>
        </w:rPr>
        <w:lastRenderedPageBreak/>
        <w:t xml:space="preserve">выплата молодым специалистам (от 250 до 440,00 тыс. рублей), </w:t>
      </w:r>
      <w:r w:rsidRPr="00E47AA9">
        <w:rPr>
          <w:rFonts w:ascii="Times New Roman" w:hAnsi="Times New Roman" w:cs="Times New Roman"/>
          <w:sz w:val="28"/>
          <w:szCs w:val="28"/>
        </w:rPr>
        <w:t>ежемесячные денежные выплаты</w:t>
      </w:r>
      <w:r w:rsidRPr="00E47AA9">
        <w:rPr>
          <w:rStyle w:val="a8"/>
          <w:szCs w:val="28"/>
        </w:rPr>
        <w:footnoteReference w:id="43"/>
      </w:r>
      <w:r w:rsidRPr="00E47AA9">
        <w:rPr>
          <w:rFonts w:ascii="Times New Roman" w:hAnsi="Times New Roman" w:cs="Times New Roman"/>
          <w:sz w:val="28"/>
          <w:szCs w:val="28"/>
        </w:rPr>
        <w:t>. Кроме того, по основному месту работы на должности педагогического работника раз в три года предоставляется мера социальной поддержки в виде компенсации части стоимости путевки на санаторно-курортное лечение в размере 25 % фактических расходов стоимости путевки.</w:t>
      </w:r>
      <w:r w:rsidRPr="00E47AA9">
        <w:rPr>
          <w:rFonts w:ascii="Times New Roman" w:eastAsia="Times New Roman" w:hAnsi="Times New Roman" w:cs="Times New Roman"/>
          <w:sz w:val="28"/>
          <w:szCs w:val="28"/>
          <w:lang w:eastAsia="ru-RU"/>
        </w:rPr>
        <w:t xml:space="preserve"> </w:t>
      </w:r>
    </w:p>
    <w:p w14:paraId="56B53022" w14:textId="29A2747C" w:rsidR="00EE02F8" w:rsidRPr="00E47AA9" w:rsidRDefault="008566E1" w:rsidP="00EE02F8">
      <w:pPr>
        <w:autoSpaceDE w:val="0"/>
        <w:autoSpaceDN w:val="0"/>
        <w:adjustRightInd w:val="0"/>
        <w:spacing w:after="0" w:line="240" w:lineRule="auto"/>
        <w:ind w:firstLine="709"/>
        <w:contextualSpacing/>
        <w:jc w:val="both"/>
        <w:rPr>
          <w:rFonts w:ascii="Times New Roman" w:eastAsia="Calibri" w:hAnsi="Times New Roman" w:cs="Times New Roman"/>
          <w:sz w:val="28"/>
          <w:szCs w:val="28"/>
        </w:rPr>
      </w:pPr>
      <w:r w:rsidRPr="00E47AA9">
        <w:rPr>
          <w:rFonts w:ascii="Times New Roman" w:eastAsia="Times New Roman" w:hAnsi="Times New Roman" w:cs="Times New Roman"/>
          <w:sz w:val="28"/>
          <w:szCs w:val="28"/>
          <w:lang w:eastAsia="ru-RU"/>
        </w:rPr>
        <w:t>Бюджетные ассигнования на предоставление социальных и иных выплат гражданам, а именно на социальное обеспечение детей сирот и детей, оставшихся без попечения родителей, и лиц из данной категории, обучающихся в краевых государственных учреждениях, составили 1,67 млн рублей, или 97,45 % (1,72 млн рублей)</w:t>
      </w:r>
      <w:r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lang w:eastAsia="ru-RU"/>
        </w:rPr>
        <w:t xml:space="preserve"> С 01.01.2024 предусмотрено увеличение</w:t>
      </w:r>
      <w:r w:rsidRPr="00E47AA9">
        <w:rPr>
          <w:rStyle w:val="a8"/>
          <w:szCs w:val="28"/>
        </w:rPr>
        <w:footnoteReference w:id="44"/>
      </w:r>
      <w:r w:rsidRPr="00E47AA9">
        <w:rPr>
          <w:rFonts w:ascii="Times New Roman" w:eastAsia="Times New Roman" w:hAnsi="Times New Roman" w:cs="Times New Roman"/>
          <w:sz w:val="28"/>
          <w:szCs w:val="28"/>
          <w:lang w:eastAsia="ru-RU"/>
        </w:rPr>
        <w:t xml:space="preserve">: </w:t>
      </w:r>
      <w:r w:rsidRPr="00E47AA9">
        <w:rPr>
          <w:rFonts w:ascii="Times New Roman" w:hAnsi="Times New Roman" w:cs="Times New Roman"/>
          <w:sz w:val="28"/>
          <w:szCs w:val="28"/>
        </w:rPr>
        <w:t>нормы денежного обеспечения питанием в рублях в день на одного человека на время пребывания в организациях, при временной передаче в семьи граждан устанавливается с ростом на 4,3 % с 01.01.2024 – 290 рублей; размера денежной компенсации взамен одежды, обуви, мягкого инвентаря и оборудования устанавливается с ростом на 4,0 % с 01.01.2024 – 52338 рублей; размер единовременного денежного пособия устанавливается с ростом на 4,0 % с 01.01.2024 – 2296 рублей</w:t>
      </w:r>
      <w:r w:rsidR="00EE02F8" w:rsidRPr="00E47AA9">
        <w:rPr>
          <w:rFonts w:ascii="Times New Roman" w:hAnsi="Times New Roman" w:cs="Times New Roman"/>
          <w:sz w:val="28"/>
          <w:szCs w:val="28"/>
        </w:rPr>
        <w:t xml:space="preserve">; </w:t>
      </w:r>
      <w:r w:rsidR="00EE02F8" w:rsidRPr="00E47AA9">
        <w:rPr>
          <w:rFonts w:ascii="Times New Roman" w:eastAsia="Calibri" w:hAnsi="Times New Roman" w:cs="Times New Roman"/>
          <w:sz w:val="28"/>
          <w:szCs w:val="28"/>
        </w:rPr>
        <w:t>размера государственной академической стипендии и (или) государственной социальной стипендии студентам на 4,5 %.</w:t>
      </w:r>
    </w:p>
    <w:p w14:paraId="0321B92D" w14:textId="77777777" w:rsidR="008566E1" w:rsidRPr="00E47AA9" w:rsidRDefault="008566E1" w:rsidP="008566E1">
      <w:pPr>
        <w:spacing w:after="0" w:line="240" w:lineRule="auto"/>
        <w:ind w:firstLine="709"/>
        <w:contextualSpacing/>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 xml:space="preserve">Подпрограмма "Мероприятия в сфере культуры и охраны объектов историко-культурного наследия" </w:t>
      </w:r>
    </w:p>
    <w:p w14:paraId="3FC99F1B"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Cs/>
          <w:sz w:val="28"/>
          <w:szCs w:val="28"/>
          <w:lang w:eastAsia="ru-RU"/>
        </w:rPr>
        <w:t>На</w:t>
      </w:r>
      <w:r w:rsidRPr="00E47AA9">
        <w:rPr>
          <w:rFonts w:ascii="Times New Roman" w:eastAsia="Times New Roman" w:hAnsi="Times New Roman" w:cs="Times New Roman"/>
          <w:i/>
          <w:sz w:val="28"/>
          <w:szCs w:val="28"/>
          <w:lang w:eastAsia="ru-RU"/>
        </w:rPr>
        <w:t xml:space="preserve"> КПМ "Организация проведения социально значимых культурных мероприятий и их популяризация" </w:t>
      </w:r>
      <w:r w:rsidRPr="00E47AA9">
        <w:rPr>
          <w:rFonts w:ascii="Times New Roman" w:eastAsia="Times New Roman" w:hAnsi="Times New Roman" w:cs="Times New Roman"/>
          <w:iCs/>
          <w:sz w:val="28"/>
          <w:szCs w:val="28"/>
          <w:lang w:eastAsia="ru-RU"/>
        </w:rPr>
        <w:t xml:space="preserve">направлено </w:t>
      </w:r>
      <w:r w:rsidRPr="00E47AA9">
        <w:rPr>
          <w:rFonts w:ascii="Times New Roman" w:eastAsia="Times New Roman" w:hAnsi="Times New Roman" w:cs="Times New Roman"/>
          <w:sz w:val="28"/>
          <w:szCs w:val="28"/>
          <w:lang w:eastAsia="ru-RU"/>
        </w:rPr>
        <w:t>533,94 млн рублей в полном объеме годовых бюджетных назначений, из которых:</w:t>
      </w:r>
    </w:p>
    <w:p w14:paraId="34E9ABA6" w14:textId="77777777" w:rsidR="008566E1" w:rsidRPr="00E47AA9" w:rsidRDefault="008566E1" w:rsidP="008566E1">
      <w:pPr>
        <w:spacing w:after="0" w:line="240" w:lineRule="auto"/>
        <w:ind w:firstLine="720"/>
        <w:jc w:val="both"/>
        <w:rPr>
          <w:rFonts w:ascii="Times New Roman" w:hAnsi="Times New Roman" w:cs="Times New Roman"/>
          <w:sz w:val="28"/>
          <w:szCs w:val="28"/>
        </w:rPr>
      </w:pPr>
      <w:r w:rsidRPr="00E47AA9">
        <w:rPr>
          <w:rFonts w:ascii="Times New Roman" w:eastAsia="Times New Roman" w:hAnsi="Times New Roman" w:cs="Times New Roman"/>
          <w:sz w:val="28"/>
          <w:szCs w:val="28"/>
          <w:u w:val="single"/>
          <w:lang w:eastAsia="ru-RU"/>
        </w:rPr>
        <w:t xml:space="preserve">министерством </w:t>
      </w:r>
      <w:r w:rsidRPr="00E47AA9">
        <w:rPr>
          <w:rFonts w:ascii="Times New Roman" w:hAnsi="Times New Roman" w:cs="Times New Roman"/>
          <w:sz w:val="28"/>
          <w:szCs w:val="28"/>
          <w:u w:val="single"/>
        </w:rPr>
        <w:t>культуры и архивного дела Приморского края</w:t>
      </w:r>
      <w:r w:rsidRPr="00E47AA9">
        <w:rPr>
          <w:rFonts w:ascii="Times New Roman" w:hAnsi="Times New Roman" w:cs="Times New Roman"/>
          <w:sz w:val="28"/>
          <w:szCs w:val="28"/>
        </w:rPr>
        <w:t xml:space="preserve"> – 522,30 млн рублей, из них:</w:t>
      </w:r>
    </w:p>
    <w:p w14:paraId="036ACBCF" w14:textId="77777777" w:rsidR="008566E1" w:rsidRPr="00E47AA9" w:rsidRDefault="008566E1" w:rsidP="008566E1">
      <w:pPr>
        <w:pStyle w:val="ConsPlusCell"/>
        <w:ind w:firstLine="697"/>
        <w:jc w:val="both"/>
        <w:rPr>
          <w:rFonts w:ascii="Times New Roman" w:hAnsi="Times New Roman" w:cs="Times New Roman"/>
          <w:sz w:val="28"/>
          <w:szCs w:val="28"/>
        </w:rPr>
      </w:pPr>
      <w:r w:rsidRPr="00E47AA9">
        <w:rPr>
          <w:rFonts w:ascii="Times New Roman" w:hAnsi="Times New Roman" w:cs="Times New Roman"/>
          <w:sz w:val="28"/>
          <w:szCs w:val="28"/>
        </w:rPr>
        <w:t>на обеспечение уставной деятельности автономной некоммерческой организации "Приморский культурно-исторический центр" – 413,02 млн рублей. За 2024 год мероприятия, проводимые АНО</w:t>
      </w:r>
      <w:r w:rsidR="00DC6B7A" w:rsidRPr="00E47AA9">
        <w:rPr>
          <w:rFonts w:ascii="Times New Roman" w:hAnsi="Times New Roman" w:cs="Times New Roman"/>
          <w:sz w:val="28"/>
          <w:szCs w:val="28"/>
        </w:rPr>
        <w:t>,</w:t>
      </w:r>
      <w:r w:rsidRPr="00E47AA9">
        <w:rPr>
          <w:rFonts w:ascii="Times New Roman" w:hAnsi="Times New Roman" w:cs="Times New Roman"/>
          <w:sz w:val="28"/>
          <w:szCs w:val="28"/>
        </w:rPr>
        <w:t xml:space="preserve"> посетили более 65000 человек, проведено более 1500 экскурсий, реализовано 12 проектов в сфере культуры;</w:t>
      </w:r>
    </w:p>
    <w:p w14:paraId="33198922" w14:textId="77777777" w:rsidR="008566E1" w:rsidRPr="00E47AA9" w:rsidRDefault="008566E1" w:rsidP="008566E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субсидии краевым государственным бюджетным и автономным учреждениям на иные цели – 109,28 млн рублей, из них:</w:t>
      </w:r>
    </w:p>
    <w:p w14:paraId="75AEBB62" w14:textId="77777777" w:rsidR="008566E1" w:rsidRPr="00E47AA9" w:rsidRDefault="008566E1" w:rsidP="008566E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гастрольную деятельность краевых государственных учреждений культуры и их участие в творческих мероприятиях – 24,79,00 млн рублей;</w:t>
      </w:r>
    </w:p>
    <w:p w14:paraId="4B579D3B" w14:textId="77777777" w:rsidR="008566E1" w:rsidRPr="00E47AA9" w:rsidRDefault="008566E1" w:rsidP="008566E1">
      <w:pPr>
        <w:spacing w:after="0" w:line="240" w:lineRule="auto"/>
        <w:ind w:firstLine="709"/>
        <w:jc w:val="both"/>
        <w:rPr>
          <w:rFonts w:ascii="Times New Roman" w:eastAsia="Calibri" w:hAnsi="Times New Roman" w:cs="Times New Roman"/>
          <w:sz w:val="28"/>
          <w:szCs w:val="28"/>
        </w:rPr>
      </w:pPr>
      <w:r w:rsidRPr="00E47AA9">
        <w:rPr>
          <w:rFonts w:ascii="Times New Roman" w:eastAsia="Times New Roman" w:hAnsi="Times New Roman" w:cs="Times New Roman"/>
          <w:sz w:val="28"/>
          <w:szCs w:val="28"/>
          <w:lang w:eastAsia="ru-RU"/>
        </w:rPr>
        <w:lastRenderedPageBreak/>
        <w:t xml:space="preserve">на </w:t>
      </w:r>
      <w:r w:rsidRPr="00E47AA9">
        <w:rPr>
          <w:rFonts w:ascii="Times New Roman" w:eastAsia="Calibri" w:hAnsi="Times New Roman" w:cs="Times New Roman"/>
          <w:sz w:val="28"/>
          <w:szCs w:val="28"/>
        </w:rPr>
        <w:t xml:space="preserve">реализацию проекта "Народные театры" – 10,00 млн рублей, </w:t>
      </w:r>
      <w:r w:rsidRPr="00E47AA9">
        <w:rPr>
          <w:rFonts w:ascii="Times New Roman" w:hAnsi="Times New Roman" w:cs="Times New Roman"/>
          <w:sz w:val="28"/>
          <w:szCs w:val="28"/>
        </w:rPr>
        <w:t>открыты 2 "Народных театра" в селе Черниговка и п. Ольга</w:t>
      </w:r>
      <w:r w:rsidRPr="00E47AA9">
        <w:rPr>
          <w:rFonts w:ascii="Times New Roman" w:eastAsia="Calibri" w:hAnsi="Times New Roman" w:cs="Times New Roman"/>
          <w:sz w:val="28"/>
          <w:szCs w:val="28"/>
        </w:rPr>
        <w:t>;</w:t>
      </w:r>
    </w:p>
    <w:p w14:paraId="7B37B95F"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eastAsia="Calibri" w:hAnsi="Times New Roman" w:cs="Times New Roman"/>
          <w:sz w:val="28"/>
          <w:szCs w:val="28"/>
        </w:rPr>
        <w:t xml:space="preserve">на организацию и проведение культурных мероприятий краевыми государственными учреждениями культуры – 57,42 млн рублей. </w:t>
      </w:r>
      <w:r w:rsidRPr="00E47AA9">
        <w:rPr>
          <w:rFonts w:ascii="Times New Roman" w:hAnsi="Times New Roman" w:cs="Times New Roman"/>
          <w:sz w:val="28"/>
          <w:szCs w:val="28"/>
        </w:rPr>
        <w:t>Перечень культурно-массовых мероприятий, финансируемых за счет средств краевого бюджета, на 2023 – 2025 годы</w:t>
      </w:r>
      <w:r w:rsidRPr="00E47AA9">
        <w:rPr>
          <w:rFonts w:ascii="Times New Roman" w:eastAsia="Times New Roman" w:hAnsi="Times New Roman" w:cs="Times New Roman"/>
          <w:sz w:val="28"/>
          <w:szCs w:val="28"/>
          <w:lang w:eastAsia="ru-RU"/>
        </w:rPr>
        <w:t xml:space="preserve"> утвержден п</w:t>
      </w:r>
      <w:r w:rsidRPr="00E47AA9">
        <w:rPr>
          <w:rFonts w:ascii="Times New Roman" w:hAnsi="Times New Roman" w:cs="Times New Roman"/>
          <w:sz w:val="28"/>
          <w:szCs w:val="28"/>
        </w:rPr>
        <w:t xml:space="preserve">остановлением Правительства Приморского края от 18.12.2024 № 869-пп. </w:t>
      </w:r>
    </w:p>
    <w:p w14:paraId="23CF62A8" w14:textId="77777777" w:rsidR="008566E1" w:rsidRPr="00E47AA9" w:rsidRDefault="008566E1" w:rsidP="008566E1">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hAnsi="Times New Roman" w:cs="Times New Roman"/>
          <w:sz w:val="28"/>
          <w:szCs w:val="28"/>
        </w:rPr>
        <w:t>Субсидии на иные цели предоставляются в соответствии с Порядком, утвержденным постановлением Правительства Приморского края от 02.02.2021 № 34-пп</w:t>
      </w:r>
      <w:r w:rsidRPr="00E47AA9">
        <w:rPr>
          <w:rStyle w:val="a8"/>
          <w:szCs w:val="28"/>
        </w:rPr>
        <w:footnoteReference w:id="45"/>
      </w:r>
      <w:r w:rsidRPr="00E47AA9">
        <w:rPr>
          <w:rFonts w:ascii="Times New Roman" w:hAnsi="Times New Roman" w:cs="Times New Roman"/>
          <w:sz w:val="28"/>
          <w:szCs w:val="28"/>
        </w:rPr>
        <w:t>, результаты и значения результатов предоставления субсидии отражаются в соглашении о предоставлении субсидии, заключаемо</w:t>
      </w:r>
      <w:r w:rsidR="00852726" w:rsidRPr="00E47AA9">
        <w:rPr>
          <w:rFonts w:ascii="Times New Roman" w:hAnsi="Times New Roman" w:cs="Times New Roman"/>
          <w:sz w:val="28"/>
          <w:szCs w:val="28"/>
        </w:rPr>
        <w:t>м</w:t>
      </w:r>
      <w:r w:rsidRPr="00E47AA9">
        <w:rPr>
          <w:rFonts w:ascii="Times New Roman" w:hAnsi="Times New Roman" w:cs="Times New Roman"/>
          <w:sz w:val="28"/>
          <w:szCs w:val="28"/>
        </w:rPr>
        <w:t xml:space="preserve"> между министерством и </w:t>
      </w:r>
      <w:r w:rsidR="00852726" w:rsidRPr="00E47AA9">
        <w:rPr>
          <w:rFonts w:ascii="Times New Roman" w:hAnsi="Times New Roman" w:cs="Times New Roman"/>
          <w:sz w:val="28"/>
          <w:szCs w:val="28"/>
        </w:rPr>
        <w:t>краевым учреждением (достижение</w:t>
      </w:r>
      <w:r w:rsidRPr="00E47AA9">
        <w:rPr>
          <w:rFonts w:ascii="Times New Roman" w:hAnsi="Times New Roman" w:cs="Times New Roman"/>
          <w:sz w:val="28"/>
          <w:szCs w:val="28"/>
        </w:rPr>
        <w:t xml:space="preserve"> или </w:t>
      </w:r>
      <w:proofErr w:type="spellStart"/>
      <w:r w:rsidRPr="00E47AA9">
        <w:rPr>
          <w:rFonts w:ascii="Times New Roman" w:hAnsi="Times New Roman" w:cs="Times New Roman"/>
          <w:sz w:val="28"/>
          <w:szCs w:val="28"/>
        </w:rPr>
        <w:t>недостижение</w:t>
      </w:r>
      <w:proofErr w:type="spellEnd"/>
      <w:r w:rsidRPr="00E47AA9">
        <w:rPr>
          <w:rFonts w:ascii="Times New Roman" w:hAnsi="Times New Roman" w:cs="Times New Roman"/>
          <w:sz w:val="28"/>
          <w:szCs w:val="28"/>
        </w:rPr>
        <w:t xml:space="preserve"> показателей отражается в отчете о достижении значений результатов предоставления субсидии). В связи с отсутствием показателей результативности субсидий на иные цели в паспорте ГП (например, "О</w:t>
      </w:r>
      <w:r w:rsidRPr="00E47AA9">
        <w:rPr>
          <w:rFonts w:ascii="Times New Roman" w:eastAsia="Times New Roman" w:hAnsi="Times New Roman" w:cs="Times New Roman"/>
          <w:sz w:val="28"/>
          <w:szCs w:val="28"/>
          <w:lang w:eastAsia="ru-RU"/>
        </w:rPr>
        <w:t>хват населения Приморского края культурными мероприятиями, проводимыми за счет средств краевого бюджета", "К</w:t>
      </w:r>
      <w:r w:rsidRPr="00E47AA9">
        <w:rPr>
          <w:rFonts w:ascii="Times New Roman" w:hAnsi="Times New Roman" w:cs="Times New Roman"/>
          <w:sz w:val="28"/>
          <w:szCs w:val="28"/>
        </w:rPr>
        <w:t>оличество обучающихся, обеспеченных питанием"</w:t>
      </w:r>
      <w:r w:rsidRPr="00E47AA9">
        <w:rPr>
          <w:rFonts w:ascii="Times New Roman" w:eastAsia="Times New Roman" w:hAnsi="Times New Roman" w:cs="Times New Roman"/>
          <w:sz w:val="28"/>
          <w:szCs w:val="28"/>
          <w:lang w:eastAsia="ru-RU"/>
        </w:rPr>
        <w:t>), проанализировать достаточность планирования указанных средств и эффективность их расходования в предыдущие периоды не представляется возможным.</w:t>
      </w:r>
    </w:p>
    <w:p w14:paraId="6608854B" w14:textId="77777777" w:rsidR="008566E1" w:rsidRPr="00E47AA9" w:rsidRDefault="008566E1" w:rsidP="008566E1">
      <w:pPr>
        <w:spacing w:after="0" w:line="240" w:lineRule="auto"/>
        <w:ind w:firstLine="720"/>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lang w:eastAsia="ru-RU"/>
        </w:rPr>
        <w:t xml:space="preserve">Расходы </w:t>
      </w:r>
      <w:r w:rsidRPr="00E47AA9">
        <w:rPr>
          <w:rFonts w:ascii="Times New Roman" w:eastAsia="Times New Roman" w:hAnsi="Times New Roman" w:cs="Times New Roman"/>
          <w:sz w:val="28"/>
          <w:szCs w:val="28"/>
          <w:u w:val="single"/>
          <w:lang w:eastAsia="ru-RU"/>
        </w:rPr>
        <w:t>департаментом информационной политики Приморского края</w:t>
      </w:r>
      <w:r w:rsidRPr="00E47AA9">
        <w:rPr>
          <w:rFonts w:ascii="Times New Roman" w:eastAsia="Times New Roman" w:hAnsi="Times New Roman" w:cs="Times New Roman"/>
          <w:sz w:val="28"/>
          <w:szCs w:val="28"/>
          <w:lang w:eastAsia="ru-RU"/>
        </w:rPr>
        <w:t xml:space="preserve"> осуществлялись в сумме 11,63 млн рублей на уровне уточненных назначений в 2024 году, из них по </w:t>
      </w:r>
      <w:r w:rsidRPr="00E47AA9">
        <w:rPr>
          <w:rFonts w:ascii="Times New Roman" w:eastAsia="Times New Roman" w:hAnsi="Times New Roman" w:cs="Times New Roman"/>
          <w:sz w:val="28"/>
          <w:szCs w:val="28"/>
        </w:rPr>
        <w:t>мероприятиям</w:t>
      </w:r>
      <w:r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rPr>
        <w:t>на изготовление и размещение информационных материалов, направленных на популяризацию социально значимых культурных мероприятий Приморского края:</w:t>
      </w:r>
    </w:p>
    <w:p w14:paraId="6FEE8C46" w14:textId="77777777" w:rsidR="008566E1" w:rsidRPr="00E47AA9" w:rsidRDefault="008566E1" w:rsidP="008566E1">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sz w:val="28"/>
          <w:szCs w:val="28"/>
          <w:lang w:eastAsia="ru-RU"/>
        </w:rPr>
        <w:t xml:space="preserve">на радиостанциях, вещающих на территории Приморского края, – 1,00 млн рублей, </w:t>
      </w:r>
      <w:r w:rsidRPr="00E47AA9">
        <w:rPr>
          <w:rFonts w:ascii="Times New Roman" w:eastAsia="Times New Roman" w:hAnsi="Times New Roman" w:cs="Times New Roman"/>
          <w:sz w:val="28"/>
          <w:szCs w:val="28"/>
          <w:lang w:eastAsia="zh-CN"/>
        </w:rPr>
        <w:t>услуги по изготовлению и размещению на радиостанциях 5</w:t>
      </w:r>
      <w:r w:rsidR="003926B4" w:rsidRPr="00E47AA9">
        <w:rPr>
          <w:rFonts w:ascii="Times New Roman" w:eastAsia="Times New Roman" w:hAnsi="Times New Roman" w:cs="Times New Roman"/>
          <w:sz w:val="28"/>
          <w:szCs w:val="28"/>
          <w:lang w:eastAsia="zh-CN"/>
        </w:rPr>
        <w:t> </w:t>
      </w:r>
      <w:r w:rsidRPr="00E47AA9">
        <w:rPr>
          <w:rFonts w:ascii="Times New Roman" w:eastAsia="Times New Roman" w:hAnsi="Times New Roman" w:cs="Times New Roman"/>
          <w:sz w:val="28"/>
          <w:szCs w:val="28"/>
          <w:lang w:eastAsia="zh-CN"/>
        </w:rPr>
        <w:t xml:space="preserve">информационных материалов объемом </w:t>
      </w:r>
      <w:r w:rsidRPr="00E47AA9">
        <w:rPr>
          <w:rFonts w:ascii="Times New Roman" w:eastAsia="Times New Roman" w:hAnsi="Times New Roman" w:cs="Times New Roman"/>
          <w:bCs/>
          <w:sz w:val="28"/>
          <w:szCs w:val="28"/>
          <w:lang w:eastAsia="zh-CN"/>
        </w:rPr>
        <w:t>1000 выхода</w:t>
      </w:r>
      <w:r w:rsidRPr="00E47AA9">
        <w:rPr>
          <w:rFonts w:ascii="Times New Roman" w:eastAsia="Times New Roman" w:hAnsi="Times New Roman" w:cs="Times New Roman"/>
          <w:sz w:val="28"/>
          <w:szCs w:val="28"/>
          <w:lang w:eastAsia="ru-RU"/>
        </w:rPr>
        <w:t>;</w:t>
      </w:r>
    </w:p>
    <w:p w14:paraId="2D884733" w14:textId="77777777" w:rsidR="008566E1" w:rsidRPr="00E47AA9" w:rsidRDefault="008566E1" w:rsidP="008566E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телеканалах, вещающих на территории Приморского края, – 4,35 млн рублей. О</w:t>
      </w:r>
      <w:r w:rsidRPr="00E47AA9">
        <w:rPr>
          <w:rFonts w:ascii="Times New Roman" w:eastAsia="Times New Roman" w:hAnsi="Times New Roman" w:cs="Times New Roman"/>
          <w:sz w:val="28"/>
          <w:szCs w:val="28"/>
          <w:lang w:eastAsia="zh-CN"/>
        </w:rPr>
        <w:t xml:space="preserve">казаны услуги по изготовлению 35 телевизионных сюжетов общим объемом 175 выходов, </w:t>
      </w:r>
      <w:r w:rsidRPr="00E47AA9">
        <w:rPr>
          <w:rFonts w:ascii="Times New Roman" w:eastAsia="Times New Roman" w:hAnsi="Times New Roman" w:cs="Times New Roman"/>
          <w:bCs/>
          <w:sz w:val="28"/>
          <w:szCs w:val="28"/>
          <w:lang w:eastAsia="zh-CN"/>
        </w:rPr>
        <w:t xml:space="preserve">385 минут, </w:t>
      </w:r>
      <w:r w:rsidRPr="00E47AA9">
        <w:rPr>
          <w:rFonts w:ascii="Times New Roman" w:hAnsi="Times New Roman" w:cs="Times New Roman"/>
          <w:sz w:val="28"/>
          <w:szCs w:val="28"/>
          <w:lang w:eastAsia="ru-RU"/>
        </w:rPr>
        <w:t>с последующим размещением на 2</w:t>
      </w:r>
      <w:r w:rsidR="003926B4" w:rsidRPr="00E47AA9">
        <w:rPr>
          <w:rFonts w:ascii="Times New Roman" w:hAnsi="Times New Roman" w:cs="Times New Roman"/>
          <w:sz w:val="28"/>
          <w:szCs w:val="28"/>
          <w:lang w:eastAsia="ru-RU"/>
        </w:rPr>
        <w:t> </w:t>
      </w:r>
      <w:r w:rsidRPr="00E47AA9">
        <w:rPr>
          <w:rFonts w:ascii="Times New Roman" w:hAnsi="Times New Roman" w:cs="Times New Roman"/>
          <w:sz w:val="28"/>
          <w:szCs w:val="28"/>
          <w:lang w:eastAsia="ru-RU"/>
        </w:rPr>
        <w:t>телеканалах Приморского края, а также размещение видеороликов общим объемом 200 выходов</w:t>
      </w:r>
      <w:r w:rsidRPr="00E47AA9">
        <w:rPr>
          <w:rFonts w:ascii="Times New Roman" w:eastAsia="Times New Roman" w:hAnsi="Times New Roman" w:cs="Times New Roman"/>
          <w:sz w:val="28"/>
          <w:szCs w:val="28"/>
          <w:lang w:eastAsia="zh-CN"/>
        </w:rPr>
        <w:t>;</w:t>
      </w:r>
    </w:p>
    <w:p w14:paraId="60204D69" w14:textId="77777777" w:rsidR="008566E1" w:rsidRPr="00E47AA9" w:rsidRDefault="008566E1" w:rsidP="008566E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на ресурсах информационных агентств информационных материалов –4,00 млн рублей, </w:t>
      </w:r>
      <w:r w:rsidRPr="00E47AA9">
        <w:rPr>
          <w:rFonts w:ascii="Times New Roman" w:eastAsia="Times New Roman" w:hAnsi="Times New Roman" w:cs="Times New Roman"/>
          <w:sz w:val="28"/>
          <w:szCs w:val="28"/>
          <w:lang w:eastAsia="zh-CN"/>
        </w:rPr>
        <w:t xml:space="preserve">объем услуг по государственному контракту составляет </w:t>
      </w:r>
      <w:r w:rsidRPr="00E47AA9">
        <w:rPr>
          <w:rFonts w:ascii="Times New Roman" w:eastAsia="Times New Roman" w:hAnsi="Times New Roman" w:cs="Times New Roman"/>
          <w:bCs/>
          <w:sz w:val="28"/>
          <w:szCs w:val="28"/>
          <w:lang w:eastAsia="zh-CN"/>
        </w:rPr>
        <w:t>285</w:t>
      </w:r>
      <w:r w:rsidR="003926B4" w:rsidRPr="00E47AA9">
        <w:rPr>
          <w:rFonts w:ascii="Times New Roman" w:eastAsia="Times New Roman" w:hAnsi="Times New Roman" w:cs="Times New Roman"/>
          <w:bCs/>
          <w:sz w:val="28"/>
          <w:szCs w:val="28"/>
          <w:lang w:eastAsia="zh-CN"/>
        </w:rPr>
        <w:t> </w:t>
      </w:r>
      <w:r w:rsidRPr="00E47AA9">
        <w:rPr>
          <w:rFonts w:ascii="Times New Roman" w:eastAsia="Times New Roman" w:hAnsi="Times New Roman" w:cs="Times New Roman"/>
          <w:bCs/>
          <w:sz w:val="28"/>
          <w:szCs w:val="28"/>
          <w:lang w:eastAsia="zh-CN"/>
        </w:rPr>
        <w:t>информационных материалов</w:t>
      </w:r>
      <w:r w:rsidRPr="00E47AA9">
        <w:rPr>
          <w:rFonts w:ascii="Times New Roman" w:eastAsia="Times New Roman" w:hAnsi="Times New Roman" w:cs="Times New Roman"/>
          <w:b/>
          <w:bCs/>
          <w:sz w:val="28"/>
          <w:szCs w:val="28"/>
          <w:lang w:eastAsia="zh-CN"/>
        </w:rPr>
        <w:t xml:space="preserve"> </w:t>
      </w:r>
      <w:r w:rsidRPr="00E47AA9">
        <w:rPr>
          <w:rFonts w:ascii="Times New Roman" w:eastAsia="Times New Roman" w:hAnsi="Times New Roman" w:cs="Times New Roman"/>
          <w:sz w:val="28"/>
          <w:szCs w:val="28"/>
          <w:lang w:eastAsia="zh-CN"/>
        </w:rPr>
        <w:t>в сети Интернет</w:t>
      </w:r>
      <w:r w:rsidRPr="00E47AA9">
        <w:rPr>
          <w:rFonts w:ascii="Times New Roman" w:eastAsia="Times New Roman" w:hAnsi="Times New Roman" w:cs="Times New Roman"/>
          <w:sz w:val="28"/>
          <w:szCs w:val="28"/>
          <w:lang w:eastAsia="ru-RU"/>
        </w:rPr>
        <w:t xml:space="preserve">; </w:t>
      </w:r>
    </w:p>
    <w:p w14:paraId="5246A5D6" w14:textId="77777777" w:rsidR="008566E1" w:rsidRPr="00E47AA9" w:rsidRDefault="008566E1" w:rsidP="008566E1">
      <w:pPr>
        <w:widowControl w:val="0"/>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Times New Roman" w:hAnsi="Times New Roman" w:cs="Times New Roman"/>
          <w:sz w:val="28"/>
          <w:szCs w:val="28"/>
          <w:lang w:eastAsia="ru-RU"/>
        </w:rPr>
        <w:t>в печатных средствах массовой информации, распространяемых на территории Приморского края, – 2,29 млн рублей, о</w:t>
      </w:r>
      <w:r w:rsidRPr="00E47AA9">
        <w:rPr>
          <w:rFonts w:ascii="Times New Roman" w:eastAsia="Times New Roman" w:hAnsi="Times New Roman" w:cs="Times New Roman"/>
          <w:sz w:val="28"/>
          <w:szCs w:val="28"/>
          <w:lang w:eastAsia="zh-CN"/>
        </w:rPr>
        <w:t xml:space="preserve">бъем услуг составляет </w:t>
      </w:r>
      <w:r w:rsidRPr="00E47AA9">
        <w:rPr>
          <w:rFonts w:ascii="Times New Roman" w:eastAsia="Times New Roman" w:hAnsi="Times New Roman" w:cs="Times New Roman"/>
          <w:bCs/>
          <w:sz w:val="28"/>
          <w:szCs w:val="28"/>
          <w:lang w:eastAsia="zh-CN"/>
        </w:rPr>
        <w:t>27300 кв. см</w:t>
      </w:r>
      <w:r w:rsidRPr="00E47AA9">
        <w:rPr>
          <w:rFonts w:ascii="Times New Roman" w:eastAsia="Calibri" w:hAnsi="Times New Roman" w:cs="Times New Roman"/>
          <w:sz w:val="28"/>
          <w:szCs w:val="28"/>
        </w:rPr>
        <w:t>.</w:t>
      </w:r>
    </w:p>
    <w:p w14:paraId="7B54E3C5"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Расходы</w:t>
      </w:r>
      <w:r w:rsidRPr="00E47AA9">
        <w:rPr>
          <w:rFonts w:ascii="Times New Roman" w:eastAsia="Times New Roman" w:hAnsi="Times New Roman" w:cs="Times New Roman"/>
          <w:b/>
          <w:i/>
          <w:sz w:val="28"/>
          <w:szCs w:val="28"/>
          <w:lang w:eastAsia="ru-RU"/>
        </w:rPr>
        <w:t xml:space="preserve"> </w:t>
      </w:r>
      <w:r w:rsidRPr="00E47AA9">
        <w:rPr>
          <w:rFonts w:ascii="Times New Roman" w:eastAsia="Times New Roman" w:hAnsi="Times New Roman" w:cs="Times New Roman"/>
          <w:bCs/>
          <w:iCs/>
          <w:sz w:val="28"/>
          <w:szCs w:val="28"/>
          <w:lang w:eastAsia="ru-RU"/>
        </w:rPr>
        <w:t>по</w:t>
      </w:r>
      <w:r w:rsidRPr="00E47AA9">
        <w:rPr>
          <w:rFonts w:ascii="Times New Roman" w:eastAsia="Times New Roman" w:hAnsi="Times New Roman" w:cs="Times New Roman"/>
          <w:bCs/>
          <w:i/>
          <w:sz w:val="28"/>
          <w:szCs w:val="28"/>
          <w:lang w:eastAsia="ru-RU"/>
        </w:rPr>
        <w:t xml:space="preserve"> КПМ "Государственная охрана и сохранение объектов культурного наследия"</w:t>
      </w:r>
      <w:r w:rsidRPr="00E47AA9">
        <w:rPr>
          <w:rFonts w:ascii="Times New Roman" w:eastAsia="Times New Roman" w:hAnsi="Times New Roman" w:cs="Times New Roman"/>
          <w:b/>
          <w:i/>
          <w:sz w:val="28"/>
          <w:szCs w:val="28"/>
          <w:lang w:eastAsia="ru-RU"/>
        </w:rPr>
        <w:t xml:space="preserve"> </w:t>
      </w:r>
      <w:r w:rsidRPr="00E47AA9">
        <w:rPr>
          <w:rFonts w:ascii="Times New Roman" w:eastAsia="Times New Roman" w:hAnsi="Times New Roman" w:cs="Times New Roman"/>
          <w:sz w:val="28"/>
          <w:szCs w:val="28"/>
          <w:lang w:eastAsia="ru-RU"/>
        </w:rPr>
        <w:t xml:space="preserve">исполнены </w:t>
      </w:r>
      <w:r w:rsidRPr="00E47AA9">
        <w:rPr>
          <w:rFonts w:ascii="Times New Roman" w:eastAsia="Calibri" w:hAnsi="Times New Roman" w:cs="Times New Roman"/>
          <w:sz w:val="28"/>
          <w:szCs w:val="28"/>
          <w:u w:val="single"/>
        </w:rPr>
        <w:t>инспекцией по охране объектов культурного наследия Приморского края</w:t>
      </w:r>
      <w:r w:rsidRPr="00E47AA9">
        <w:rPr>
          <w:rFonts w:ascii="Times New Roman" w:eastAsia="Times New Roman" w:hAnsi="Times New Roman" w:cs="Times New Roman"/>
          <w:sz w:val="28"/>
          <w:szCs w:val="28"/>
          <w:lang w:eastAsia="ru-RU"/>
        </w:rPr>
        <w:t xml:space="preserve"> в полном объеме</w:t>
      </w:r>
      <w:r w:rsidRPr="00E47AA9">
        <w:rPr>
          <w:rFonts w:ascii="Times New Roman" w:eastAsia="Times New Roman" w:hAnsi="Times New Roman" w:cs="Times New Roman"/>
          <w:i/>
          <w:sz w:val="28"/>
          <w:szCs w:val="28"/>
        </w:rPr>
        <w:t xml:space="preserve"> </w:t>
      </w:r>
      <w:r w:rsidRPr="00E47AA9">
        <w:rPr>
          <w:rFonts w:ascii="Times New Roman" w:eastAsia="Times New Roman" w:hAnsi="Times New Roman" w:cs="Times New Roman"/>
          <w:sz w:val="28"/>
          <w:szCs w:val="28"/>
          <w:lang w:eastAsia="ru-RU"/>
        </w:rPr>
        <w:t>в сумме 55,23 млн рублей</w:t>
      </w:r>
      <w:r w:rsidRPr="00E47AA9">
        <w:rPr>
          <w:rFonts w:ascii="Times New Roman" w:eastAsia="Calibri" w:hAnsi="Times New Roman" w:cs="Times New Roman"/>
          <w:sz w:val="28"/>
          <w:szCs w:val="28"/>
        </w:rPr>
        <w:t xml:space="preserve">, </w:t>
      </w:r>
      <w:r w:rsidRPr="00E47AA9">
        <w:rPr>
          <w:rFonts w:ascii="Times New Roman" w:eastAsia="Times New Roman" w:hAnsi="Times New Roman" w:cs="Times New Roman"/>
          <w:sz w:val="28"/>
          <w:szCs w:val="28"/>
          <w:lang w:eastAsia="ru-RU"/>
        </w:rPr>
        <w:t>в том числе:</w:t>
      </w:r>
    </w:p>
    <w:p w14:paraId="02B30564"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33,57 млн</w:t>
      </w:r>
      <w:r w:rsidR="003926B4" w:rsidRPr="00E47AA9">
        <w:rPr>
          <w:rFonts w:ascii="Times New Roman" w:hAnsi="Times New Roman" w:cs="Times New Roman"/>
          <w:sz w:val="28"/>
          <w:szCs w:val="28"/>
        </w:rPr>
        <w:t xml:space="preserve"> рублей –</w:t>
      </w:r>
      <w:r w:rsidRPr="00E47AA9">
        <w:rPr>
          <w:rFonts w:ascii="Times New Roman" w:hAnsi="Times New Roman" w:cs="Times New Roman"/>
          <w:sz w:val="28"/>
          <w:szCs w:val="28"/>
        </w:rPr>
        <w:t xml:space="preserve"> проведение работ по сохранению объектов культурного наследия. В отчетном году инспекцией заключено соглашение о предоставлении субсидий из краевого бюджета бюджету Владивостокского ГО Приморского края на проведение работ по сохранению объекта культурного наследия "Дом доходный </w:t>
      </w:r>
      <w:proofErr w:type="spellStart"/>
      <w:r w:rsidRPr="00E47AA9">
        <w:rPr>
          <w:rFonts w:ascii="Times New Roman" w:hAnsi="Times New Roman" w:cs="Times New Roman"/>
          <w:sz w:val="28"/>
          <w:szCs w:val="28"/>
        </w:rPr>
        <w:t>Демби</w:t>
      </w:r>
      <w:proofErr w:type="spellEnd"/>
      <w:r w:rsidRPr="00E47AA9">
        <w:rPr>
          <w:rFonts w:ascii="Times New Roman" w:hAnsi="Times New Roman" w:cs="Times New Roman"/>
          <w:sz w:val="28"/>
          <w:szCs w:val="28"/>
        </w:rPr>
        <w:t xml:space="preserve"> А.Г.";</w:t>
      </w:r>
    </w:p>
    <w:p w14:paraId="28E27484"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21,66 млн рублей </w:t>
      </w:r>
      <w:r w:rsidR="003926B4" w:rsidRPr="00E47AA9">
        <w:rPr>
          <w:rFonts w:ascii="Times New Roman" w:hAnsi="Times New Roman" w:cs="Times New Roman"/>
          <w:sz w:val="28"/>
          <w:szCs w:val="28"/>
        </w:rPr>
        <w:t>–</w:t>
      </w:r>
      <w:r w:rsidRPr="00E47AA9">
        <w:rPr>
          <w:rFonts w:ascii="Times New Roman" w:hAnsi="Times New Roman" w:cs="Times New Roman"/>
          <w:sz w:val="28"/>
          <w:szCs w:val="28"/>
        </w:rPr>
        <w:t xml:space="preserve"> мероприятия по государственной охране объектов культурного наследия. Заключены 8 государственных контрактов по итогам электронных аукционов и 5 прямых договоров, из них:</w:t>
      </w:r>
    </w:p>
    <w:p w14:paraId="129CC5B9"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разработаны проекты границ территорий, предмета охраны 94 объектов археологического наследия, расположенных на территории Красноармейского муниципального округа и Уссурийского городского округа;</w:t>
      </w:r>
    </w:p>
    <w:p w14:paraId="235A058D"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проведена государственная историко-культурная экспертиза, документов, обосновывающих отнесение 7 объектов культурного наследия федерального значения к особо ценным объектам культурного наследия народов Российской Федерации;</w:t>
      </w:r>
    </w:p>
    <w:p w14:paraId="4F93C6AB"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разработаны проекты границ территорий 25 объектов культурного наследия, включенных в реестр объектов культурного наследия, расположенных на территории Лесозаводского и Дальнереченского городских округов;</w:t>
      </w:r>
    </w:p>
    <w:p w14:paraId="73395CCB"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разработаны проекты предметов охраны 25 объектов культурного наследия регионального значения, расположенных на территории Владивостокского городского округа;</w:t>
      </w:r>
    </w:p>
    <w:p w14:paraId="7AA9CD4E"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проведена государственная историко-культурн</w:t>
      </w:r>
      <w:r w:rsidR="003926B4" w:rsidRPr="00E47AA9">
        <w:rPr>
          <w:rFonts w:ascii="Times New Roman" w:hAnsi="Times New Roman" w:cs="Times New Roman"/>
          <w:sz w:val="28"/>
          <w:szCs w:val="28"/>
        </w:rPr>
        <w:t>ая</w:t>
      </w:r>
      <w:r w:rsidRPr="00E47AA9">
        <w:rPr>
          <w:rFonts w:ascii="Times New Roman" w:hAnsi="Times New Roman" w:cs="Times New Roman"/>
          <w:sz w:val="28"/>
          <w:szCs w:val="28"/>
        </w:rPr>
        <w:t xml:space="preserve"> экспертиза 4 выявленных объектов культурного наследия в целях обоснования целесообразности включения их в единый государственный реестр объектов культурного наследия (памятников истории и культуры) народов Российской Федерации;</w:t>
      </w:r>
    </w:p>
    <w:p w14:paraId="5F362963"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разработан проект объединенной зоны охраны 7 объектов культурного наследия регионального значения, расположенных на территории Уссурийского городского округа;</w:t>
      </w:r>
    </w:p>
    <w:p w14:paraId="3BDEA524"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разработан эскизный проект реставрации объекта культурного наследия регионального значения "Здание библиотеки им. Гоголя (ныне – им.</w:t>
      </w:r>
      <w:r w:rsidR="003926B4" w:rsidRPr="00E47AA9">
        <w:rPr>
          <w:rFonts w:ascii="Times New Roman" w:hAnsi="Times New Roman" w:cs="Times New Roman"/>
          <w:sz w:val="28"/>
          <w:szCs w:val="28"/>
        </w:rPr>
        <w:t> </w:t>
      </w:r>
      <w:r w:rsidRPr="00E47AA9">
        <w:rPr>
          <w:rFonts w:ascii="Times New Roman" w:hAnsi="Times New Roman" w:cs="Times New Roman"/>
          <w:sz w:val="28"/>
          <w:szCs w:val="28"/>
        </w:rPr>
        <w:t>М.</w:t>
      </w:r>
      <w:r w:rsidR="003926B4" w:rsidRPr="00E47AA9">
        <w:rPr>
          <w:rFonts w:ascii="Times New Roman" w:hAnsi="Times New Roman" w:cs="Times New Roman"/>
          <w:sz w:val="28"/>
          <w:szCs w:val="28"/>
        </w:rPr>
        <w:t> </w:t>
      </w:r>
      <w:r w:rsidRPr="00E47AA9">
        <w:rPr>
          <w:rFonts w:ascii="Times New Roman" w:hAnsi="Times New Roman" w:cs="Times New Roman"/>
          <w:sz w:val="28"/>
          <w:szCs w:val="28"/>
        </w:rPr>
        <w:t>Горького) – первой на Дальнем Востоке публичной библиотеки";</w:t>
      </w:r>
    </w:p>
    <w:p w14:paraId="67721850"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проведена государственная историко-культурная экспертиза с целью уточнения сведений (</w:t>
      </w:r>
      <w:proofErr w:type="spellStart"/>
      <w:r w:rsidRPr="00E47AA9">
        <w:rPr>
          <w:rFonts w:ascii="Times New Roman" w:hAnsi="Times New Roman" w:cs="Times New Roman"/>
          <w:sz w:val="28"/>
          <w:szCs w:val="28"/>
        </w:rPr>
        <w:t>пообъектного</w:t>
      </w:r>
      <w:proofErr w:type="spellEnd"/>
      <w:r w:rsidRPr="00E47AA9">
        <w:rPr>
          <w:rFonts w:ascii="Times New Roman" w:hAnsi="Times New Roman" w:cs="Times New Roman"/>
          <w:sz w:val="28"/>
          <w:szCs w:val="28"/>
        </w:rPr>
        <w:t xml:space="preserve"> состава) об объекте культурного наследия регионального значения "Ансамбль застройки проспекта Блюхера (47</w:t>
      </w:r>
      <w:r w:rsidR="003926B4" w:rsidRPr="00E47AA9">
        <w:rPr>
          <w:rFonts w:ascii="Times New Roman" w:hAnsi="Times New Roman" w:cs="Times New Roman"/>
          <w:sz w:val="28"/>
          <w:szCs w:val="28"/>
        </w:rPr>
        <w:t> </w:t>
      </w:r>
      <w:r w:rsidRPr="00E47AA9">
        <w:rPr>
          <w:rFonts w:ascii="Times New Roman" w:hAnsi="Times New Roman" w:cs="Times New Roman"/>
          <w:sz w:val="28"/>
          <w:szCs w:val="28"/>
        </w:rPr>
        <w:t>зданий)";</w:t>
      </w:r>
    </w:p>
    <w:p w14:paraId="1F1BA4C8"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разработан эскизный проект благоустройства территории достопримечательного места "</w:t>
      </w:r>
      <w:proofErr w:type="spellStart"/>
      <w:r w:rsidRPr="00E47AA9">
        <w:rPr>
          <w:rFonts w:ascii="Times New Roman" w:hAnsi="Times New Roman" w:cs="Times New Roman"/>
          <w:sz w:val="28"/>
          <w:szCs w:val="28"/>
        </w:rPr>
        <w:t>Хасанская</w:t>
      </w:r>
      <w:proofErr w:type="spellEnd"/>
      <w:r w:rsidRPr="00E47AA9">
        <w:rPr>
          <w:rFonts w:ascii="Times New Roman" w:hAnsi="Times New Roman" w:cs="Times New Roman"/>
          <w:sz w:val="28"/>
          <w:szCs w:val="28"/>
        </w:rPr>
        <w:t xml:space="preserve"> историко-культурная мемориальная </w:t>
      </w:r>
      <w:r w:rsidRPr="00E47AA9">
        <w:rPr>
          <w:rFonts w:ascii="Times New Roman" w:hAnsi="Times New Roman" w:cs="Times New Roman"/>
          <w:sz w:val="28"/>
          <w:szCs w:val="28"/>
        </w:rPr>
        <w:lastRenderedPageBreak/>
        <w:t>заповедная территория" (у подножья сопки Заозерная) и расположенных на ней объектов культурного наследия;</w:t>
      </w:r>
    </w:p>
    <w:p w14:paraId="028D5FD5"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разработано </w:t>
      </w:r>
      <w:proofErr w:type="spellStart"/>
      <w:r w:rsidRPr="00E47AA9">
        <w:rPr>
          <w:rFonts w:ascii="Times New Roman" w:hAnsi="Times New Roman" w:cs="Times New Roman"/>
          <w:sz w:val="28"/>
          <w:szCs w:val="28"/>
        </w:rPr>
        <w:t>предпроектное</w:t>
      </w:r>
      <w:proofErr w:type="spellEnd"/>
      <w:r w:rsidRPr="00E47AA9">
        <w:rPr>
          <w:rFonts w:ascii="Times New Roman" w:hAnsi="Times New Roman" w:cs="Times New Roman"/>
          <w:sz w:val="28"/>
          <w:szCs w:val="28"/>
        </w:rPr>
        <w:t xml:space="preserve"> (эскизное) предложение развития территории этно-археологического парка "</w:t>
      </w:r>
      <w:proofErr w:type="spellStart"/>
      <w:r w:rsidRPr="00E47AA9">
        <w:rPr>
          <w:rFonts w:ascii="Times New Roman" w:hAnsi="Times New Roman" w:cs="Times New Roman"/>
          <w:sz w:val="28"/>
          <w:szCs w:val="28"/>
        </w:rPr>
        <w:t>Стеклянухинское</w:t>
      </w:r>
      <w:proofErr w:type="spellEnd"/>
      <w:r w:rsidRPr="00E47AA9">
        <w:rPr>
          <w:rFonts w:ascii="Times New Roman" w:hAnsi="Times New Roman" w:cs="Times New Roman"/>
          <w:sz w:val="28"/>
          <w:szCs w:val="28"/>
        </w:rPr>
        <w:t xml:space="preserve"> городище";</w:t>
      </w:r>
    </w:p>
    <w:p w14:paraId="04A21353"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b/>
          <w:sz w:val="28"/>
          <w:szCs w:val="28"/>
          <w:lang w:eastAsia="ru-RU"/>
        </w:rPr>
        <w:t>Подпрограмма "Управление государственной программой Приморского края"</w:t>
      </w:r>
      <w:r w:rsidRPr="00E47AA9">
        <w:rPr>
          <w:rFonts w:ascii="Times New Roman" w:hAnsi="Times New Roman" w:cs="Times New Roman"/>
          <w:sz w:val="28"/>
          <w:szCs w:val="28"/>
        </w:rPr>
        <w:t xml:space="preserve"> </w:t>
      </w:r>
    </w:p>
    <w:p w14:paraId="58CBF952"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"Управление государственной программой Приморского края"</w:t>
      </w:r>
      <w:r w:rsidRPr="00E47AA9">
        <w:rPr>
          <w:rFonts w:ascii="Times New Roman" w:eastAsia="Times New Roman" w:hAnsi="Times New Roman" w:cs="Times New Roman"/>
          <w:b/>
          <w:i/>
          <w:sz w:val="28"/>
          <w:szCs w:val="28"/>
          <w:lang w:eastAsia="ru-RU"/>
        </w:rPr>
        <w:t xml:space="preserve"> </w:t>
      </w:r>
      <w:r w:rsidRPr="00E47AA9">
        <w:rPr>
          <w:rFonts w:ascii="Times New Roman" w:eastAsia="Times New Roman" w:hAnsi="Times New Roman" w:cs="Times New Roman"/>
          <w:sz w:val="28"/>
          <w:szCs w:val="28"/>
          <w:lang w:eastAsia="ru-RU"/>
        </w:rPr>
        <w:t>исполнен в сумме 92,53 млн рублей в полном объеме, в том числе:</w:t>
      </w:r>
    </w:p>
    <w:p w14:paraId="2428A908"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u w:val="single"/>
          <w:lang w:eastAsia="ru-RU"/>
        </w:rPr>
      </w:pPr>
      <w:r w:rsidRPr="00E47AA9">
        <w:rPr>
          <w:rFonts w:ascii="Times New Roman" w:eastAsia="Times New Roman" w:hAnsi="Times New Roman" w:cs="Times New Roman"/>
          <w:sz w:val="28"/>
          <w:szCs w:val="28"/>
          <w:u w:val="single"/>
          <w:lang w:eastAsia="ru-RU"/>
        </w:rPr>
        <w:t>инспекцией по охране объектов культурного наследия Приморского края:</w:t>
      </w:r>
    </w:p>
    <w:p w14:paraId="46E951D3" w14:textId="77777777" w:rsidR="008566E1" w:rsidRPr="00E47AA9" w:rsidRDefault="008566E1" w:rsidP="008566E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iCs/>
          <w:sz w:val="28"/>
          <w:szCs w:val="28"/>
        </w:rPr>
        <w:t>24,63 млн рублей за счет средств краевого бюджета на руководство и управление в сфере установленных функций инспекции</w:t>
      </w:r>
      <w:r w:rsidRPr="00E47AA9">
        <w:rPr>
          <w:rFonts w:ascii="Times New Roman" w:hAnsi="Times New Roman" w:cs="Times New Roman"/>
          <w:sz w:val="28"/>
          <w:szCs w:val="28"/>
        </w:rPr>
        <w:t>;</w:t>
      </w:r>
    </w:p>
    <w:p w14:paraId="7FF4F526" w14:textId="77777777" w:rsidR="008566E1" w:rsidRPr="00E47AA9" w:rsidRDefault="008566E1" w:rsidP="008566E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ind w:firstLine="709"/>
        <w:jc w:val="both"/>
        <w:rPr>
          <w:rFonts w:ascii="Times New Roman" w:eastAsia="Times New Roman" w:hAnsi="Times New Roman" w:cs="Times New Roman"/>
          <w:sz w:val="28"/>
          <w:szCs w:val="28"/>
          <w:u w:val="single"/>
          <w:lang w:eastAsia="ru-RU"/>
        </w:rPr>
      </w:pPr>
      <w:r w:rsidRPr="00E47AA9">
        <w:rPr>
          <w:rFonts w:ascii="Times New Roman" w:hAnsi="Times New Roman" w:cs="Times New Roman"/>
          <w:sz w:val="28"/>
          <w:szCs w:val="28"/>
        </w:rPr>
        <w:t>7,02 млн рублей за счет федеральных средств на осуществление переданных полномочий в отношении объектов культурного наследия. В результате реализации мероприятия доля объектов культурного наследия федерального значения, в отношении которых осуществлены плановые мероприятия по контролю их состояния, в общем числе таких объектов по итогам 2024 года составила 20,0 % в соответствии с показателем, установленным Приложением № 1 к ГП</w:t>
      </w:r>
      <w:r w:rsidRPr="00E47AA9">
        <w:rPr>
          <w:rStyle w:val="a8"/>
          <w:rFonts w:ascii="Times New Roman" w:hAnsi="Times New Roman"/>
          <w:sz w:val="28"/>
          <w:szCs w:val="28"/>
        </w:rPr>
        <w:footnoteReference w:id="46"/>
      </w:r>
      <w:r w:rsidRPr="00E47AA9">
        <w:rPr>
          <w:rFonts w:ascii="Times New Roman" w:hAnsi="Times New Roman" w:cs="Times New Roman"/>
          <w:sz w:val="28"/>
          <w:szCs w:val="28"/>
        </w:rPr>
        <w:t>;</w:t>
      </w:r>
    </w:p>
    <w:p w14:paraId="736DA96A" w14:textId="77777777" w:rsidR="008566E1" w:rsidRPr="00E47AA9" w:rsidRDefault="008566E1" w:rsidP="008566E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u w:val="single"/>
          <w:lang w:eastAsia="ru-RU"/>
        </w:rPr>
        <w:t xml:space="preserve">министерством культуры и архивного дела Приморского края </w:t>
      </w:r>
      <w:r w:rsidRPr="00E47AA9">
        <w:rPr>
          <w:rFonts w:ascii="Times New Roman" w:eastAsia="Times New Roman" w:hAnsi="Times New Roman" w:cs="Times New Roman"/>
          <w:sz w:val="28"/>
          <w:szCs w:val="28"/>
          <w:lang w:eastAsia="ru-RU"/>
        </w:rPr>
        <w:t>– на руководство и управление в сфере установленных функций – 60,88 млн рублей.</w:t>
      </w:r>
    </w:p>
    <w:p w14:paraId="51093607" w14:textId="77777777" w:rsidR="008566E1" w:rsidRPr="00E47AA9" w:rsidRDefault="008566E1" w:rsidP="008566E1">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noProof/>
          <w:sz w:val="20"/>
          <w:szCs w:val="20"/>
          <w:lang w:eastAsia="ru-RU"/>
        </w:rPr>
        <w:drawing>
          <wp:anchor distT="0" distB="0" distL="114300" distR="114300" simplePos="0" relativeHeight="251672576" behindDoc="0" locked="0" layoutInCell="1" allowOverlap="1" wp14:anchorId="7FD6DAB7" wp14:editId="7091A965">
            <wp:simplePos x="0" y="0"/>
            <wp:positionH relativeFrom="column">
              <wp:posOffset>-17417</wp:posOffset>
            </wp:positionH>
            <wp:positionV relativeFrom="paragraph">
              <wp:posOffset>205014</wp:posOffset>
            </wp:positionV>
            <wp:extent cx="1431925" cy="1042035"/>
            <wp:effectExtent l="0" t="0" r="0" b="5715"/>
            <wp:wrapSquare wrapText="bothSides"/>
            <wp:docPr id="58" name="Рисунок 58" descr="C:\Users\zavzyataya_sv\Desktop\Картинки к исполнению\apt._buildin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zavzyataya_sv\Desktop\Картинки к исполнению\apt._buildings.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31925" cy="1042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6A8162" w14:textId="77777777" w:rsidR="008566E1" w:rsidRPr="00E47AA9" w:rsidRDefault="008566E1" w:rsidP="00FD476E">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 xml:space="preserve">5.2.6. Государственная программа Приморского края "Обеспечение доступным жильем и качественными услугами жилищно-коммунального хозяйства населения Приморского края" </w:t>
      </w:r>
    </w:p>
    <w:p w14:paraId="35F27A73" w14:textId="4DC669A8" w:rsidR="0006322E" w:rsidRPr="00E47AA9" w:rsidRDefault="0006322E" w:rsidP="0006322E">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Уточненные бюджетные назначения на 2024 год на реализацию ГП составили 32039,94 млн рублей. Исполнено 92,53 %, или 29645,98 млн рублей, из них за счет средств федерального бюджета – 1426,59 млн рублей, или 98,65 % (план</w:t>
      </w:r>
      <w:r w:rsidR="00576C74"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rPr>
        <w:t xml:space="preserve"> 1446,12 млн рублей), краевого бюджета – 28110,55 млн рублей, или 92,30 % (30456,98 млн рублей), средств, поступивших от публично-правовой компании "Фонд развития территорий", – 108,83 млн рублей, или 79,53 % (136,84 млн рублей).</w:t>
      </w:r>
    </w:p>
    <w:p w14:paraId="32504C32" w14:textId="1734F960" w:rsidR="0006322E" w:rsidRPr="00E47AA9" w:rsidRDefault="0006322E" w:rsidP="0006322E">
      <w:pPr>
        <w:autoSpaceDE w:val="0"/>
        <w:autoSpaceDN w:val="0"/>
        <w:adjustRightInd w:val="0"/>
        <w:spacing w:after="0" w:line="240" w:lineRule="auto"/>
        <w:ind w:firstLine="708"/>
        <w:jc w:val="both"/>
        <w:rPr>
          <w:rFonts w:ascii="Times New Roman" w:eastAsia="Calibri" w:hAnsi="Times New Roman" w:cs="Times New Roman"/>
          <w:sz w:val="28"/>
          <w:szCs w:val="28"/>
        </w:rPr>
      </w:pPr>
      <w:r w:rsidRPr="00E47AA9">
        <w:rPr>
          <w:rFonts w:ascii="Times New Roman" w:eastAsia="Times New Roman" w:hAnsi="Times New Roman" w:cs="Times New Roman"/>
          <w:sz w:val="28"/>
          <w:szCs w:val="28"/>
        </w:rPr>
        <w:t xml:space="preserve">По паспорту ответственным исполнителем ГП является </w:t>
      </w:r>
      <w:r w:rsidRPr="00E47AA9">
        <w:rPr>
          <w:rFonts w:ascii="Times New Roman" w:hAnsi="Times New Roman" w:cs="Times New Roman"/>
          <w:sz w:val="28"/>
          <w:szCs w:val="28"/>
        </w:rPr>
        <w:t>министерство строительства Приморского края, соисполнители – 8 ведомств.</w:t>
      </w:r>
      <w:r w:rsidRPr="00E47AA9">
        <w:rPr>
          <w:rFonts w:ascii="Times New Roman" w:eastAsia="Calibri" w:hAnsi="Times New Roman" w:cs="Times New Roman"/>
          <w:sz w:val="28"/>
          <w:szCs w:val="28"/>
        </w:rPr>
        <w:t xml:space="preserve"> </w:t>
      </w:r>
    </w:p>
    <w:p w14:paraId="4D87D967" w14:textId="77777777" w:rsidR="0006322E" w:rsidRPr="00E47AA9" w:rsidRDefault="0006322E" w:rsidP="0006322E">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Исполнение ГП за отчетный период в разрезе главных распорядителей средств краевого бюджета приведено в таблице.</w:t>
      </w:r>
    </w:p>
    <w:tbl>
      <w:tblPr>
        <w:tblW w:w="9180" w:type="dxa"/>
        <w:tblLook w:val="04A0" w:firstRow="1" w:lastRow="0" w:firstColumn="1" w:lastColumn="0" w:noHBand="0" w:noVBand="1"/>
      </w:tblPr>
      <w:tblGrid>
        <w:gridCol w:w="2484"/>
        <w:gridCol w:w="588"/>
        <w:gridCol w:w="1334"/>
        <w:gridCol w:w="1334"/>
        <w:gridCol w:w="1221"/>
        <w:gridCol w:w="1036"/>
        <w:gridCol w:w="1183"/>
      </w:tblGrid>
      <w:tr w:rsidR="00E47AA9" w:rsidRPr="00E47AA9" w14:paraId="0BD5A1EE" w14:textId="77777777" w:rsidTr="00F77241">
        <w:trPr>
          <w:cantSplit/>
          <w:trHeight w:val="20"/>
          <w:tblHeader/>
        </w:trPr>
        <w:tc>
          <w:tcPr>
            <w:tcW w:w="2484" w:type="dxa"/>
            <w:tcBorders>
              <w:bottom w:val="single" w:sz="4" w:space="0" w:color="auto"/>
            </w:tcBorders>
            <w:shd w:val="clear" w:color="auto" w:fill="auto"/>
            <w:vAlign w:val="center"/>
          </w:tcPr>
          <w:p w14:paraId="6FAC29F1"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p>
        </w:tc>
        <w:tc>
          <w:tcPr>
            <w:tcW w:w="588" w:type="dxa"/>
            <w:tcBorders>
              <w:bottom w:val="single" w:sz="4" w:space="0" w:color="auto"/>
            </w:tcBorders>
            <w:shd w:val="clear" w:color="auto" w:fill="auto"/>
            <w:textDirection w:val="btLr"/>
            <w:vAlign w:val="center"/>
          </w:tcPr>
          <w:p w14:paraId="3AD20779"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p>
        </w:tc>
        <w:tc>
          <w:tcPr>
            <w:tcW w:w="1334" w:type="dxa"/>
            <w:tcBorders>
              <w:bottom w:val="single" w:sz="4" w:space="0" w:color="auto"/>
            </w:tcBorders>
            <w:shd w:val="clear" w:color="auto" w:fill="auto"/>
            <w:vAlign w:val="center"/>
          </w:tcPr>
          <w:p w14:paraId="26758FCA"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p>
        </w:tc>
        <w:tc>
          <w:tcPr>
            <w:tcW w:w="4774" w:type="dxa"/>
            <w:gridSpan w:val="4"/>
            <w:tcBorders>
              <w:bottom w:val="single" w:sz="4" w:space="0" w:color="auto"/>
            </w:tcBorders>
            <w:shd w:val="clear" w:color="auto" w:fill="auto"/>
            <w:vAlign w:val="center"/>
          </w:tcPr>
          <w:p w14:paraId="071A0244"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44286276" w14:textId="77777777" w:rsidTr="00F77241">
        <w:trPr>
          <w:cantSplit/>
          <w:trHeight w:val="20"/>
          <w:tblHeader/>
        </w:trPr>
        <w:tc>
          <w:tcPr>
            <w:tcW w:w="248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B1D5EB"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показателя</w:t>
            </w:r>
          </w:p>
        </w:tc>
        <w:tc>
          <w:tcPr>
            <w:tcW w:w="58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A686386"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Ведомство</w:t>
            </w:r>
          </w:p>
        </w:tc>
        <w:tc>
          <w:tcPr>
            <w:tcW w:w="13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BEECA4"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3591" w:type="dxa"/>
            <w:gridSpan w:val="3"/>
            <w:tcBorders>
              <w:top w:val="single" w:sz="4" w:space="0" w:color="auto"/>
              <w:left w:val="nil"/>
              <w:bottom w:val="single" w:sz="4" w:space="0" w:color="auto"/>
              <w:right w:val="single" w:sz="4" w:space="0" w:color="auto"/>
            </w:tcBorders>
            <w:shd w:val="clear" w:color="auto" w:fill="auto"/>
            <w:vAlign w:val="center"/>
          </w:tcPr>
          <w:p w14:paraId="348904B4"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18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863EEB"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r>
      <w:tr w:rsidR="00E47AA9" w:rsidRPr="00E47AA9" w14:paraId="190835F6" w14:textId="77777777" w:rsidTr="00F77241">
        <w:trPr>
          <w:cantSplit/>
          <w:trHeight w:val="825"/>
        </w:trPr>
        <w:tc>
          <w:tcPr>
            <w:tcW w:w="2484" w:type="dxa"/>
            <w:vMerge/>
            <w:tcBorders>
              <w:top w:val="single" w:sz="4" w:space="0" w:color="auto"/>
              <w:left w:val="single" w:sz="4" w:space="0" w:color="auto"/>
              <w:bottom w:val="single" w:sz="4" w:space="0" w:color="auto"/>
              <w:right w:val="single" w:sz="4" w:space="0" w:color="auto"/>
            </w:tcBorders>
            <w:vAlign w:val="center"/>
          </w:tcPr>
          <w:p w14:paraId="5C561F55" w14:textId="77777777" w:rsidR="0006322E" w:rsidRPr="00E47AA9" w:rsidRDefault="0006322E" w:rsidP="00F77241">
            <w:pPr>
              <w:spacing w:after="0" w:line="240" w:lineRule="auto"/>
              <w:rPr>
                <w:rFonts w:ascii="Times New Roman" w:eastAsia="Times New Roman" w:hAnsi="Times New Roman" w:cs="Times New Roman"/>
                <w:sz w:val="20"/>
                <w:szCs w:val="20"/>
                <w:lang w:eastAsia="ru-RU"/>
              </w:rPr>
            </w:pPr>
          </w:p>
        </w:tc>
        <w:tc>
          <w:tcPr>
            <w:tcW w:w="588" w:type="dxa"/>
            <w:vMerge/>
            <w:tcBorders>
              <w:top w:val="single" w:sz="4" w:space="0" w:color="auto"/>
              <w:left w:val="single" w:sz="4" w:space="0" w:color="auto"/>
              <w:bottom w:val="single" w:sz="4" w:space="0" w:color="auto"/>
              <w:right w:val="single" w:sz="4" w:space="0" w:color="auto"/>
            </w:tcBorders>
            <w:vAlign w:val="center"/>
          </w:tcPr>
          <w:p w14:paraId="6EFCF13E" w14:textId="77777777" w:rsidR="0006322E" w:rsidRPr="00E47AA9" w:rsidRDefault="0006322E" w:rsidP="00F77241">
            <w:pPr>
              <w:spacing w:after="0" w:line="240" w:lineRule="auto"/>
              <w:rPr>
                <w:rFonts w:ascii="Times New Roman" w:eastAsia="Times New Roman" w:hAnsi="Times New Roman" w:cs="Times New Roman"/>
                <w:sz w:val="20"/>
                <w:szCs w:val="20"/>
                <w:lang w:eastAsia="ru-RU"/>
              </w:rPr>
            </w:pPr>
          </w:p>
        </w:tc>
        <w:tc>
          <w:tcPr>
            <w:tcW w:w="1334" w:type="dxa"/>
            <w:vMerge/>
            <w:tcBorders>
              <w:top w:val="single" w:sz="4" w:space="0" w:color="auto"/>
              <w:left w:val="single" w:sz="4" w:space="0" w:color="auto"/>
              <w:bottom w:val="single" w:sz="4" w:space="0" w:color="auto"/>
              <w:right w:val="single" w:sz="4" w:space="0" w:color="auto"/>
            </w:tcBorders>
            <w:vAlign w:val="center"/>
          </w:tcPr>
          <w:p w14:paraId="78BFD0E7" w14:textId="77777777" w:rsidR="0006322E" w:rsidRPr="00E47AA9" w:rsidRDefault="0006322E" w:rsidP="00F77241">
            <w:pPr>
              <w:spacing w:after="0" w:line="240" w:lineRule="auto"/>
              <w:rPr>
                <w:rFonts w:ascii="Times New Roman" w:eastAsia="Times New Roman" w:hAnsi="Times New Roman" w:cs="Times New Roman"/>
                <w:sz w:val="20"/>
                <w:szCs w:val="20"/>
                <w:lang w:eastAsia="ru-RU"/>
              </w:rPr>
            </w:pPr>
          </w:p>
        </w:tc>
        <w:tc>
          <w:tcPr>
            <w:tcW w:w="1334" w:type="dxa"/>
            <w:tcBorders>
              <w:top w:val="nil"/>
              <w:left w:val="nil"/>
              <w:bottom w:val="single" w:sz="4" w:space="0" w:color="auto"/>
              <w:right w:val="single" w:sz="4" w:space="0" w:color="auto"/>
            </w:tcBorders>
            <w:shd w:val="clear" w:color="auto" w:fill="auto"/>
            <w:vAlign w:val="center"/>
          </w:tcPr>
          <w:p w14:paraId="71BE3802"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1221" w:type="dxa"/>
            <w:tcBorders>
              <w:top w:val="nil"/>
              <w:left w:val="nil"/>
              <w:bottom w:val="single" w:sz="4" w:space="0" w:color="auto"/>
              <w:right w:val="single" w:sz="4" w:space="0" w:color="auto"/>
            </w:tcBorders>
            <w:shd w:val="clear" w:color="auto" w:fill="auto"/>
            <w:vAlign w:val="center"/>
          </w:tcPr>
          <w:p w14:paraId="29779BF0"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исполнения</w:t>
            </w:r>
          </w:p>
        </w:tc>
        <w:tc>
          <w:tcPr>
            <w:tcW w:w="1036" w:type="dxa"/>
            <w:tcBorders>
              <w:top w:val="nil"/>
              <w:left w:val="nil"/>
              <w:bottom w:val="single" w:sz="4" w:space="0" w:color="auto"/>
              <w:right w:val="single" w:sz="4" w:space="0" w:color="auto"/>
            </w:tcBorders>
            <w:shd w:val="clear" w:color="auto" w:fill="auto"/>
            <w:vAlign w:val="center"/>
          </w:tcPr>
          <w:p w14:paraId="6CA61FB9"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удель-ный</w:t>
            </w:r>
            <w:proofErr w:type="spellEnd"/>
            <w:proofErr w:type="gramEnd"/>
            <w:r w:rsidRPr="00E47AA9">
              <w:rPr>
                <w:rFonts w:ascii="Times New Roman" w:eastAsia="Times New Roman" w:hAnsi="Times New Roman" w:cs="Times New Roman"/>
                <w:sz w:val="20"/>
                <w:szCs w:val="20"/>
                <w:lang w:eastAsia="ru-RU"/>
              </w:rPr>
              <w:t xml:space="preserve"> вес, %</w:t>
            </w:r>
          </w:p>
        </w:tc>
        <w:tc>
          <w:tcPr>
            <w:tcW w:w="1183" w:type="dxa"/>
            <w:vMerge/>
            <w:tcBorders>
              <w:top w:val="single" w:sz="4" w:space="0" w:color="auto"/>
              <w:left w:val="single" w:sz="4" w:space="0" w:color="auto"/>
              <w:bottom w:val="single" w:sz="4" w:space="0" w:color="auto"/>
              <w:right w:val="single" w:sz="4" w:space="0" w:color="auto"/>
            </w:tcBorders>
            <w:vAlign w:val="center"/>
          </w:tcPr>
          <w:p w14:paraId="3C1BFEBC" w14:textId="77777777" w:rsidR="0006322E" w:rsidRPr="00E47AA9" w:rsidRDefault="0006322E" w:rsidP="00F77241">
            <w:pPr>
              <w:spacing w:after="0" w:line="240" w:lineRule="auto"/>
              <w:rPr>
                <w:rFonts w:ascii="Times New Roman" w:eastAsia="Times New Roman" w:hAnsi="Times New Roman" w:cs="Times New Roman"/>
                <w:sz w:val="20"/>
                <w:szCs w:val="20"/>
                <w:lang w:eastAsia="ru-RU"/>
              </w:rPr>
            </w:pPr>
          </w:p>
        </w:tc>
      </w:tr>
      <w:tr w:rsidR="00E47AA9" w:rsidRPr="00E47AA9" w14:paraId="609E7C71" w14:textId="77777777" w:rsidTr="00F77241">
        <w:trPr>
          <w:cantSplit/>
          <w:trHeight w:val="20"/>
        </w:trPr>
        <w:tc>
          <w:tcPr>
            <w:tcW w:w="2484" w:type="dxa"/>
            <w:tcBorders>
              <w:top w:val="nil"/>
              <w:left w:val="single" w:sz="4" w:space="0" w:color="auto"/>
              <w:bottom w:val="single" w:sz="4" w:space="0" w:color="auto"/>
              <w:right w:val="single" w:sz="4" w:space="0" w:color="auto"/>
            </w:tcBorders>
            <w:shd w:val="clear" w:color="auto" w:fill="auto"/>
          </w:tcPr>
          <w:p w14:paraId="6B0AD2AA" w14:textId="77777777" w:rsidR="0006322E" w:rsidRPr="00E47AA9" w:rsidRDefault="0006322E" w:rsidP="00F77241">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 xml:space="preserve">Расходы по ГП всего, </w:t>
            </w:r>
          </w:p>
          <w:p w14:paraId="1940BBB8" w14:textId="77777777" w:rsidR="0006322E" w:rsidRPr="00E47AA9" w:rsidRDefault="0006322E" w:rsidP="00B124B6">
            <w:pPr>
              <w:spacing w:after="0" w:line="240" w:lineRule="auto"/>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в том числе</w:t>
            </w:r>
          </w:p>
        </w:tc>
        <w:tc>
          <w:tcPr>
            <w:tcW w:w="588" w:type="dxa"/>
            <w:tcBorders>
              <w:top w:val="nil"/>
              <w:left w:val="nil"/>
              <w:bottom w:val="single" w:sz="4" w:space="0" w:color="auto"/>
              <w:right w:val="single" w:sz="4" w:space="0" w:color="auto"/>
            </w:tcBorders>
            <w:shd w:val="clear" w:color="auto" w:fill="auto"/>
          </w:tcPr>
          <w:p w14:paraId="636E5457" w14:textId="77777777" w:rsidR="0006322E" w:rsidRPr="00E47AA9" w:rsidRDefault="0006322E" w:rsidP="00F77241">
            <w:pPr>
              <w:spacing w:after="0" w:line="240" w:lineRule="auto"/>
              <w:jc w:val="center"/>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 </w:t>
            </w:r>
          </w:p>
        </w:tc>
        <w:tc>
          <w:tcPr>
            <w:tcW w:w="1334" w:type="dxa"/>
            <w:tcBorders>
              <w:top w:val="nil"/>
              <w:left w:val="nil"/>
              <w:bottom w:val="single" w:sz="4" w:space="0" w:color="auto"/>
              <w:right w:val="single" w:sz="4" w:space="0" w:color="auto"/>
            </w:tcBorders>
            <w:shd w:val="clear" w:color="auto" w:fill="auto"/>
            <w:noWrap/>
          </w:tcPr>
          <w:p w14:paraId="1AA666EC"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32 039,94</w:t>
            </w:r>
          </w:p>
        </w:tc>
        <w:tc>
          <w:tcPr>
            <w:tcW w:w="1334" w:type="dxa"/>
            <w:tcBorders>
              <w:top w:val="nil"/>
              <w:left w:val="nil"/>
              <w:bottom w:val="single" w:sz="4" w:space="0" w:color="auto"/>
              <w:right w:val="single" w:sz="4" w:space="0" w:color="auto"/>
            </w:tcBorders>
            <w:shd w:val="clear" w:color="auto" w:fill="auto"/>
            <w:noWrap/>
          </w:tcPr>
          <w:p w14:paraId="7CC732FD"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29 645,98</w:t>
            </w:r>
          </w:p>
        </w:tc>
        <w:tc>
          <w:tcPr>
            <w:tcW w:w="1221" w:type="dxa"/>
            <w:tcBorders>
              <w:top w:val="nil"/>
              <w:left w:val="nil"/>
              <w:bottom w:val="single" w:sz="4" w:space="0" w:color="auto"/>
              <w:right w:val="single" w:sz="4" w:space="0" w:color="auto"/>
            </w:tcBorders>
            <w:shd w:val="clear" w:color="auto" w:fill="auto"/>
            <w:noWrap/>
          </w:tcPr>
          <w:p w14:paraId="00FC0A27"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92,53</w:t>
            </w:r>
          </w:p>
        </w:tc>
        <w:tc>
          <w:tcPr>
            <w:tcW w:w="1036" w:type="dxa"/>
            <w:tcBorders>
              <w:top w:val="nil"/>
              <w:left w:val="nil"/>
              <w:bottom w:val="single" w:sz="4" w:space="0" w:color="auto"/>
              <w:right w:val="single" w:sz="4" w:space="0" w:color="auto"/>
            </w:tcBorders>
            <w:shd w:val="clear" w:color="auto" w:fill="auto"/>
            <w:noWrap/>
          </w:tcPr>
          <w:p w14:paraId="601E1F8E"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c>
          <w:tcPr>
            <w:tcW w:w="1183" w:type="dxa"/>
            <w:tcBorders>
              <w:top w:val="nil"/>
              <w:left w:val="nil"/>
              <w:bottom w:val="single" w:sz="4" w:space="0" w:color="auto"/>
              <w:right w:val="single" w:sz="4" w:space="0" w:color="auto"/>
            </w:tcBorders>
            <w:shd w:val="clear" w:color="auto" w:fill="auto"/>
            <w:noWrap/>
          </w:tcPr>
          <w:p w14:paraId="7EAD7CED"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2 393,96</w:t>
            </w:r>
          </w:p>
        </w:tc>
      </w:tr>
      <w:tr w:rsidR="00E47AA9" w:rsidRPr="00E47AA9" w14:paraId="5744B616" w14:textId="77777777" w:rsidTr="00F77241">
        <w:trPr>
          <w:cantSplit/>
          <w:trHeight w:val="20"/>
        </w:trPr>
        <w:tc>
          <w:tcPr>
            <w:tcW w:w="2484" w:type="dxa"/>
            <w:tcBorders>
              <w:top w:val="nil"/>
              <w:left w:val="single" w:sz="4" w:space="0" w:color="auto"/>
              <w:bottom w:val="single" w:sz="4" w:space="0" w:color="auto"/>
              <w:right w:val="single" w:sz="4" w:space="0" w:color="auto"/>
            </w:tcBorders>
            <w:shd w:val="clear" w:color="000000" w:fill="FFFFFF"/>
          </w:tcPr>
          <w:p w14:paraId="3B18EE11" w14:textId="77777777" w:rsidR="0006322E" w:rsidRPr="00E47AA9" w:rsidRDefault="0006322E" w:rsidP="00F7724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транспорта и дорожного хозяйства Приморского края</w:t>
            </w:r>
          </w:p>
        </w:tc>
        <w:tc>
          <w:tcPr>
            <w:tcW w:w="588" w:type="dxa"/>
            <w:tcBorders>
              <w:top w:val="nil"/>
              <w:left w:val="nil"/>
              <w:bottom w:val="single" w:sz="4" w:space="0" w:color="auto"/>
              <w:right w:val="single" w:sz="4" w:space="0" w:color="auto"/>
            </w:tcBorders>
            <w:shd w:val="clear" w:color="auto" w:fill="auto"/>
          </w:tcPr>
          <w:p w14:paraId="4671D50C" w14:textId="77777777" w:rsidR="0006322E" w:rsidRPr="00E47AA9" w:rsidRDefault="0006322E" w:rsidP="00F77241">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754</w:t>
            </w:r>
          </w:p>
        </w:tc>
        <w:tc>
          <w:tcPr>
            <w:tcW w:w="1334" w:type="dxa"/>
            <w:tcBorders>
              <w:top w:val="nil"/>
              <w:left w:val="nil"/>
              <w:bottom w:val="single" w:sz="4" w:space="0" w:color="auto"/>
              <w:right w:val="single" w:sz="4" w:space="0" w:color="auto"/>
            </w:tcBorders>
            <w:shd w:val="clear" w:color="000000" w:fill="FFFFFF"/>
            <w:noWrap/>
          </w:tcPr>
          <w:p w14:paraId="18070328"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125,45</w:t>
            </w:r>
          </w:p>
        </w:tc>
        <w:tc>
          <w:tcPr>
            <w:tcW w:w="1334" w:type="dxa"/>
            <w:tcBorders>
              <w:top w:val="nil"/>
              <w:left w:val="nil"/>
              <w:bottom w:val="single" w:sz="4" w:space="0" w:color="auto"/>
              <w:right w:val="single" w:sz="4" w:space="0" w:color="auto"/>
            </w:tcBorders>
            <w:shd w:val="clear" w:color="000000" w:fill="FFFFFF"/>
            <w:noWrap/>
          </w:tcPr>
          <w:p w14:paraId="6010C82E"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125,45</w:t>
            </w:r>
          </w:p>
        </w:tc>
        <w:tc>
          <w:tcPr>
            <w:tcW w:w="1221" w:type="dxa"/>
            <w:tcBorders>
              <w:top w:val="nil"/>
              <w:left w:val="nil"/>
              <w:bottom w:val="single" w:sz="4" w:space="0" w:color="auto"/>
              <w:right w:val="single" w:sz="4" w:space="0" w:color="auto"/>
            </w:tcBorders>
            <w:shd w:val="clear" w:color="auto" w:fill="auto"/>
            <w:noWrap/>
          </w:tcPr>
          <w:p w14:paraId="7EDC84D1"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100,00</w:t>
            </w:r>
          </w:p>
        </w:tc>
        <w:tc>
          <w:tcPr>
            <w:tcW w:w="1036" w:type="dxa"/>
            <w:tcBorders>
              <w:top w:val="nil"/>
              <w:left w:val="nil"/>
              <w:bottom w:val="single" w:sz="4" w:space="0" w:color="auto"/>
              <w:right w:val="single" w:sz="4" w:space="0" w:color="auto"/>
            </w:tcBorders>
            <w:shd w:val="clear" w:color="auto" w:fill="auto"/>
            <w:noWrap/>
          </w:tcPr>
          <w:p w14:paraId="6CE04CA5"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0,42</w:t>
            </w:r>
          </w:p>
        </w:tc>
        <w:tc>
          <w:tcPr>
            <w:tcW w:w="1183" w:type="dxa"/>
            <w:tcBorders>
              <w:top w:val="nil"/>
              <w:left w:val="nil"/>
              <w:bottom w:val="single" w:sz="4" w:space="0" w:color="auto"/>
              <w:right w:val="single" w:sz="4" w:space="0" w:color="auto"/>
            </w:tcBorders>
            <w:shd w:val="clear" w:color="auto" w:fill="auto"/>
            <w:noWrap/>
          </w:tcPr>
          <w:p w14:paraId="73E9468E"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0,00</w:t>
            </w:r>
          </w:p>
        </w:tc>
      </w:tr>
      <w:tr w:rsidR="00E47AA9" w:rsidRPr="00E47AA9" w14:paraId="317B910A" w14:textId="77777777" w:rsidTr="00F77241">
        <w:trPr>
          <w:cantSplit/>
          <w:trHeight w:val="20"/>
        </w:trPr>
        <w:tc>
          <w:tcPr>
            <w:tcW w:w="2484" w:type="dxa"/>
            <w:tcBorders>
              <w:top w:val="nil"/>
              <w:left w:val="single" w:sz="4" w:space="0" w:color="auto"/>
              <w:bottom w:val="single" w:sz="4" w:space="0" w:color="auto"/>
              <w:right w:val="single" w:sz="4" w:space="0" w:color="auto"/>
            </w:tcBorders>
            <w:shd w:val="clear" w:color="000000" w:fill="FFFFFF"/>
          </w:tcPr>
          <w:p w14:paraId="020A579E" w14:textId="77777777" w:rsidR="0006322E" w:rsidRPr="00E47AA9" w:rsidRDefault="0006322E" w:rsidP="00F7724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труда и социальной политики Приморского края</w:t>
            </w:r>
          </w:p>
        </w:tc>
        <w:tc>
          <w:tcPr>
            <w:tcW w:w="588" w:type="dxa"/>
            <w:tcBorders>
              <w:top w:val="nil"/>
              <w:left w:val="nil"/>
              <w:bottom w:val="single" w:sz="4" w:space="0" w:color="auto"/>
              <w:right w:val="single" w:sz="4" w:space="0" w:color="auto"/>
            </w:tcBorders>
            <w:shd w:val="clear" w:color="auto" w:fill="auto"/>
          </w:tcPr>
          <w:p w14:paraId="61CFF1E8" w14:textId="77777777" w:rsidR="0006322E" w:rsidRPr="00E47AA9" w:rsidRDefault="0006322E" w:rsidP="00F77241">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760</w:t>
            </w:r>
          </w:p>
        </w:tc>
        <w:tc>
          <w:tcPr>
            <w:tcW w:w="1334" w:type="dxa"/>
            <w:tcBorders>
              <w:top w:val="nil"/>
              <w:left w:val="nil"/>
              <w:bottom w:val="single" w:sz="4" w:space="0" w:color="auto"/>
              <w:right w:val="single" w:sz="4" w:space="0" w:color="auto"/>
            </w:tcBorders>
            <w:shd w:val="clear" w:color="000000" w:fill="FFFFFF"/>
            <w:noWrap/>
          </w:tcPr>
          <w:p w14:paraId="01804341"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2 404,40</w:t>
            </w:r>
          </w:p>
        </w:tc>
        <w:tc>
          <w:tcPr>
            <w:tcW w:w="1334" w:type="dxa"/>
            <w:tcBorders>
              <w:top w:val="nil"/>
              <w:left w:val="nil"/>
              <w:bottom w:val="single" w:sz="4" w:space="0" w:color="auto"/>
              <w:right w:val="single" w:sz="4" w:space="0" w:color="auto"/>
            </w:tcBorders>
            <w:shd w:val="clear" w:color="000000" w:fill="FFFFFF"/>
            <w:noWrap/>
          </w:tcPr>
          <w:p w14:paraId="30A0C34B"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2 346,15</w:t>
            </w:r>
          </w:p>
        </w:tc>
        <w:tc>
          <w:tcPr>
            <w:tcW w:w="1221" w:type="dxa"/>
            <w:tcBorders>
              <w:top w:val="nil"/>
              <w:left w:val="nil"/>
              <w:bottom w:val="single" w:sz="4" w:space="0" w:color="auto"/>
              <w:right w:val="single" w:sz="4" w:space="0" w:color="auto"/>
            </w:tcBorders>
            <w:shd w:val="clear" w:color="auto" w:fill="auto"/>
            <w:noWrap/>
          </w:tcPr>
          <w:p w14:paraId="2270F44F"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97,58</w:t>
            </w:r>
          </w:p>
        </w:tc>
        <w:tc>
          <w:tcPr>
            <w:tcW w:w="1036" w:type="dxa"/>
            <w:tcBorders>
              <w:top w:val="nil"/>
              <w:left w:val="nil"/>
              <w:bottom w:val="single" w:sz="4" w:space="0" w:color="auto"/>
              <w:right w:val="single" w:sz="4" w:space="0" w:color="auto"/>
            </w:tcBorders>
            <w:shd w:val="clear" w:color="auto" w:fill="auto"/>
            <w:noWrap/>
          </w:tcPr>
          <w:p w14:paraId="6259346E"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7,91</w:t>
            </w:r>
          </w:p>
        </w:tc>
        <w:tc>
          <w:tcPr>
            <w:tcW w:w="1183" w:type="dxa"/>
            <w:tcBorders>
              <w:top w:val="nil"/>
              <w:left w:val="nil"/>
              <w:bottom w:val="single" w:sz="4" w:space="0" w:color="auto"/>
              <w:right w:val="single" w:sz="4" w:space="0" w:color="auto"/>
            </w:tcBorders>
            <w:shd w:val="clear" w:color="auto" w:fill="auto"/>
            <w:noWrap/>
          </w:tcPr>
          <w:p w14:paraId="133D4B39"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58,25</w:t>
            </w:r>
          </w:p>
        </w:tc>
      </w:tr>
      <w:tr w:rsidR="00E47AA9" w:rsidRPr="00E47AA9" w14:paraId="3DA18D39" w14:textId="77777777" w:rsidTr="00F77241">
        <w:trPr>
          <w:cantSplit/>
          <w:trHeight w:val="20"/>
        </w:trPr>
        <w:tc>
          <w:tcPr>
            <w:tcW w:w="2484" w:type="dxa"/>
            <w:tcBorders>
              <w:top w:val="nil"/>
              <w:left w:val="single" w:sz="4" w:space="0" w:color="auto"/>
              <w:bottom w:val="single" w:sz="4" w:space="0" w:color="auto"/>
              <w:right w:val="single" w:sz="4" w:space="0" w:color="auto"/>
            </w:tcBorders>
            <w:shd w:val="clear" w:color="000000" w:fill="FFFFFF"/>
          </w:tcPr>
          <w:p w14:paraId="6C780379" w14:textId="77777777" w:rsidR="0006322E" w:rsidRPr="00E47AA9" w:rsidRDefault="0006322E" w:rsidP="00F7724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жилищно-коммунального хозяйства Приморского края</w:t>
            </w:r>
          </w:p>
        </w:tc>
        <w:tc>
          <w:tcPr>
            <w:tcW w:w="588" w:type="dxa"/>
            <w:tcBorders>
              <w:top w:val="nil"/>
              <w:left w:val="nil"/>
              <w:bottom w:val="single" w:sz="4" w:space="0" w:color="auto"/>
              <w:right w:val="single" w:sz="4" w:space="0" w:color="auto"/>
            </w:tcBorders>
            <w:shd w:val="clear" w:color="auto" w:fill="auto"/>
          </w:tcPr>
          <w:p w14:paraId="532A26CD" w14:textId="77777777" w:rsidR="0006322E" w:rsidRPr="00E47AA9" w:rsidRDefault="0006322E" w:rsidP="00F77241">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768</w:t>
            </w:r>
          </w:p>
        </w:tc>
        <w:tc>
          <w:tcPr>
            <w:tcW w:w="1334" w:type="dxa"/>
            <w:tcBorders>
              <w:top w:val="nil"/>
              <w:left w:val="nil"/>
              <w:bottom w:val="single" w:sz="4" w:space="0" w:color="auto"/>
              <w:right w:val="single" w:sz="4" w:space="0" w:color="auto"/>
            </w:tcBorders>
            <w:shd w:val="clear" w:color="000000" w:fill="FFFFFF"/>
            <w:noWrap/>
          </w:tcPr>
          <w:p w14:paraId="131F6B67"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17 463,52</w:t>
            </w:r>
          </w:p>
        </w:tc>
        <w:tc>
          <w:tcPr>
            <w:tcW w:w="1334" w:type="dxa"/>
            <w:tcBorders>
              <w:top w:val="nil"/>
              <w:left w:val="nil"/>
              <w:bottom w:val="single" w:sz="4" w:space="0" w:color="auto"/>
              <w:right w:val="single" w:sz="4" w:space="0" w:color="auto"/>
            </w:tcBorders>
            <w:shd w:val="clear" w:color="000000" w:fill="FFFFFF"/>
            <w:noWrap/>
          </w:tcPr>
          <w:p w14:paraId="37681B98"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17 409,78</w:t>
            </w:r>
          </w:p>
        </w:tc>
        <w:tc>
          <w:tcPr>
            <w:tcW w:w="1221" w:type="dxa"/>
            <w:tcBorders>
              <w:top w:val="nil"/>
              <w:left w:val="nil"/>
              <w:bottom w:val="single" w:sz="4" w:space="0" w:color="auto"/>
              <w:right w:val="single" w:sz="4" w:space="0" w:color="auto"/>
            </w:tcBorders>
            <w:shd w:val="clear" w:color="auto" w:fill="auto"/>
            <w:noWrap/>
          </w:tcPr>
          <w:p w14:paraId="2FF77381"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99,69</w:t>
            </w:r>
          </w:p>
        </w:tc>
        <w:tc>
          <w:tcPr>
            <w:tcW w:w="1036" w:type="dxa"/>
            <w:tcBorders>
              <w:top w:val="nil"/>
              <w:left w:val="nil"/>
              <w:bottom w:val="single" w:sz="4" w:space="0" w:color="auto"/>
              <w:right w:val="single" w:sz="4" w:space="0" w:color="auto"/>
            </w:tcBorders>
            <w:shd w:val="clear" w:color="auto" w:fill="auto"/>
            <w:noWrap/>
          </w:tcPr>
          <w:p w14:paraId="4316FB2C"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58,73</w:t>
            </w:r>
          </w:p>
        </w:tc>
        <w:tc>
          <w:tcPr>
            <w:tcW w:w="1183" w:type="dxa"/>
            <w:tcBorders>
              <w:top w:val="nil"/>
              <w:left w:val="nil"/>
              <w:bottom w:val="single" w:sz="4" w:space="0" w:color="auto"/>
              <w:right w:val="single" w:sz="4" w:space="0" w:color="auto"/>
            </w:tcBorders>
            <w:shd w:val="clear" w:color="auto" w:fill="auto"/>
            <w:noWrap/>
          </w:tcPr>
          <w:p w14:paraId="63AEA29F"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53,74</w:t>
            </w:r>
          </w:p>
        </w:tc>
      </w:tr>
      <w:tr w:rsidR="00E47AA9" w:rsidRPr="00E47AA9" w14:paraId="6F6D267B" w14:textId="77777777" w:rsidTr="00F77241">
        <w:trPr>
          <w:cantSplit/>
          <w:trHeight w:val="20"/>
        </w:trPr>
        <w:tc>
          <w:tcPr>
            <w:tcW w:w="2484" w:type="dxa"/>
            <w:tcBorders>
              <w:top w:val="nil"/>
              <w:left w:val="single" w:sz="4" w:space="0" w:color="auto"/>
              <w:bottom w:val="single" w:sz="4" w:space="0" w:color="auto"/>
              <w:right w:val="single" w:sz="4" w:space="0" w:color="auto"/>
            </w:tcBorders>
            <w:shd w:val="clear" w:color="000000" w:fill="FFFFFF"/>
          </w:tcPr>
          <w:p w14:paraId="79B386EA" w14:textId="77777777" w:rsidR="0006322E" w:rsidRPr="00E47AA9" w:rsidRDefault="0006322E" w:rsidP="00F7724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Инспекция регионального строительного надзора и контроля в области долевого строительства Приморского края</w:t>
            </w:r>
          </w:p>
        </w:tc>
        <w:tc>
          <w:tcPr>
            <w:tcW w:w="588" w:type="dxa"/>
            <w:tcBorders>
              <w:top w:val="nil"/>
              <w:left w:val="nil"/>
              <w:bottom w:val="single" w:sz="4" w:space="0" w:color="auto"/>
              <w:right w:val="single" w:sz="4" w:space="0" w:color="auto"/>
            </w:tcBorders>
            <w:shd w:val="clear" w:color="auto" w:fill="auto"/>
          </w:tcPr>
          <w:p w14:paraId="774BBC96" w14:textId="77777777" w:rsidR="0006322E" w:rsidRPr="00E47AA9" w:rsidRDefault="0006322E" w:rsidP="00F77241">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772</w:t>
            </w:r>
          </w:p>
        </w:tc>
        <w:tc>
          <w:tcPr>
            <w:tcW w:w="1334" w:type="dxa"/>
            <w:tcBorders>
              <w:top w:val="nil"/>
              <w:left w:val="nil"/>
              <w:bottom w:val="single" w:sz="4" w:space="0" w:color="auto"/>
              <w:right w:val="single" w:sz="4" w:space="0" w:color="auto"/>
            </w:tcBorders>
            <w:shd w:val="clear" w:color="000000" w:fill="FFFFFF"/>
            <w:noWrap/>
          </w:tcPr>
          <w:p w14:paraId="2F8EB0D1"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83,63</w:t>
            </w:r>
          </w:p>
        </w:tc>
        <w:tc>
          <w:tcPr>
            <w:tcW w:w="1334" w:type="dxa"/>
            <w:tcBorders>
              <w:top w:val="nil"/>
              <w:left w:val="nil"/>
              <w:bottom w:val="single" w:sz="4" w:space="0" w:color="auto"/>
              <w:right w:val="single" w:sz="4" w:space="0" w:color="auto"/>
            </w:tcBorders>
            <w:shd w:val="clear" w:color="000000" w:fill="FFFFFF"/>
            <w:noWrap/>
          </w:tcPr>
          <w:p w14:paraId="1022122D"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83,19</w:t>
            </w:r>
          </w:p>
        </w:tc>
        <w:tc>
          <w:tcPr>
            <w:tcW w:w="1221" w:type="dxa"/>
            <w:tcBorders>
              <w:top w:val="nil"/>
              <w:left w:val="nil"/>
              <w:bottom w:val="single" w:sz="4" w:space="0" w:color="auto"/>
              <w:right w:val="single" w:sz="4" w:space="0" w:color="auto"/>
            </w:tcBorders>
            <w:shd w:val="clear" w:color="auto" w:fill="auto"/>
            <w:noWrap/>
          </w:tcPr>
          <w:p w14:paraId="0620106F"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99,47</w:t>
            </w:r>
          </w:p>
        </w:tc>
        <w:tc>
          <w:tcPr>
            <w:tcW w:w="1036" w:type="dxa"/>
            <w:tcBorders>
              <w:top w:val="nil"/>
              <w:left w:val="nil"/>
              <w:bottom w:val="single" w:sz="4" w:space="0" w:color="auto"/>
              <w:right w:val="single" w:sz="4" w:space="0" w:color="auto"/>
            </w:tcBorders>
            <w:shd w:val="clear" w:color="auto" w:fill="auto"/>
            <w:noWrap/>
          </w:tcPr>
          <w:p w14:paraId="17231BC3"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0,28</w:t>
            </w:r>
          </w:p>
        </w:tc>
        <w:tc>
          <w:tcPr>
            <w:tcW w:w="1183" w:type="dxa"/>
            <w:tcBorders>
              <w:top w:val="nil"/>
              <w:left w:val="nil"/>
              <w:bottom w:val="single" w:sz="4" w:space="0" w:color="auto"/>
              <w:right w:val="single" w:sz="4" w:space="0" w:color="auto"/>
            </w:tcBorders>
            <w:shd w:val="clear" w:color="auto" w:fill="auto"/>
            <w:noWrap/>
          </w:tcPr>
          <w:p w14:paraId="38ECCC7A"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0,44</w:t>
            </w:r>
          </w:p>
        </w:tc>
      </w:tr>
      <w:tr w:rsidR="00E47AA9" w:rsidRPr="00E47AA9" w14:paraId="16830680" w14:textId="77777777" w:rsidTr="00F77241">
        <w:trPr>
          <w:cantSplit/>
          <w:trHeight w:val="20"/>
        </w:trPr>
        <w:tc>
          <w:tcPr>
            <w:tcW w:w="2484" w:type="dxa"/>
            <w:tcBorders>
              <w:top w:val="nil"/>
              <w:left w:val="single" w:sz="4" w:space="0" w:color="auto"/>
              <w:bottom w:val="single" w:sz="4" w:space="0" w:color="auto"/>
              <w:right w:val="single" w:sz="4" w:space="0" w:color="auto"/>
            </w:tcBorders>
            <w:shd w:val="clear" w:color="000000" w:fill="FFFFFF"/>
          </w:tcPr>
          <w:p w14:paraId="496A256F" w14:textId="77777777" w:rsidR="0006322E" w:rsidRPr="00E47AA9" w:rsidRDefault="0006322E" w:rsidP="00F7724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Агентство по делам молодежи Приморского края</w:t>
            </w:r>
          </w:p>
        </w:tc>
        <w:tc>
          <w:tcPr>
            <w:tcW w:w="588" w:type="dxa"/>
            <w:tcBorders>
              <w:top w:val="nil"/>
              <w:left w:val="nil"/>
              <w:bottom w:val="single" w:sz="4" w:space="0" w:color="auto"/>
              <w:right w:val="single" w:sz="4" w:space="0" w:color="auto"/>
            </w:tcBorders>
            <w:shd w:val="clear" w:color="auto" w:fill="auto"/>
          </w:tcPr>
          <w:p w14:paraId="082AEAC5" w14:textId="77777777" w:rsidR="0006322E" w:rsidRPr="00E47AA9" w:rsidRDefault="0006322E" w:rsidP="00F77241">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774</w:t>
            </w:r>
          </w:p>
        </w:tc>
        <w:tc>
          <w:tcPr>
            <w:tcW w:w="1334" w:type="dxa"/>
            <w:tcBorders>
              <w:top w:val="nil"/>
              <w:left w:val="nil"/>
              <w:bottom w:val="single" w:sz="4" w:space="0" w:color="auto"/>
              <w:right w:val="single" w:sz="4" w:space="0" w:color="auto"/>
            </w:tcBorders>
            <w:shd w:val="clear" w:color="000000" w:fill="FFFFFF"/>
            <w:noWrap/>
          </w:tcPr>
          <w:p w14:paraId="717D3A11"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355,59</w:t>
            </w:r>
          </w:p>
        </w:tc>
        <w:tc>
          <w:tcPr>
            <w:tcW w:w="1334" w:type="dxa"/>
            <w:tcBorders>
              <w:top w:val="nil"/>
              <w:left w:val="nil"/>
              <w:bottom w:val="single" w:sz="4" w:space="0" w:color="auto"/>
              <w:right w:val="single" w:sz="4" w:space="0" w:color="auto"/>
            </w:tcBorders>
            <w:shd w:val="clear" w:color="000000" w:fill="FFFFFF"/>
            <w:noWrap/>
          </w:tcPr>
          <w:p w14:paraId="6C298859"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354,96</w:t>
            </w:r>
          </w:p>
        </w:tc>
        <w:tc>
          <w:tcPr>
            <w:tcW w:w="1221" w:type="dxa"/>
            <w:tcBorders>
              <w:top w:val="nil"/>
              <w:left w:val="nil"/>
              <w:bottom w:val="single" w:sz="4" w:space="0" w:color="auto"/>
              <w:right w:val="single" w:sz="4" w:space="0" w:color="auto"/>
            </w:tcBorders>
            <w:shd w:val="clear" w:color="auto" w:fill="auto"/>
            <w:noWrap/>
          </w:tcPr>
          <w:p w14:paraId="1060A703"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99,82</w:t>
            </w:r>
          </w:p>
        </w:tc>
        <w:tc>
          <w:tcPr>
            <w:tcW w:w="1036" w:type="dxa"/>
            <w:tcBorders>
              <w:top w:val="nil"/>
              <w:left w:val="nil"/>
              <w:bottom w:val="single" w:sz="4" w:space="0" w:color="auto"/>
              <w:right w:val="single" w:sz="4" w:space="0" w:color="auto"/>
            </w:tcBorders>
            <w:shd w:val="clear" w:color="auto" w:fill="auto"/>
            <w:noWrap/>
          </w:tcPr>
          <w:p w14:paraId="66F3C81F"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1,20</w:t>
            </w:r>
          </w:p>
        </w:tc>
        <w:tc>
          <w:tcPr>
            <w:tcW w:w="1183" w:type="dxa"/>
            <w:tcBorders>
              <w:top w:val="nil"/>
              <w:left w:val="nil"/>
              <w:bottom w:val="single" w:sz="4" w:space="0" w:color="auto"/>
              <w:right w:val="single" w:sz="4" w:space="0" w:color="auto"/>
            </w:tcBorders>
            <w:shd w:val="clear" w:color="auto" w:fill="auto"/>
            <w:noWrap/>
          </w:tcPr>
          <w:p w14:paraId="315149A5"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0,63</w:t>
            </w:r>
          </w:p>
        </w:tc>
      </w:tr>
      <w:tr w:rsidR="00E47AA9" w:rsidRPr="00E47AA9" w14:paraId="50631389" w14:textId="77777777" w:rsidTr="00F77241">
        <w:trPr>
          <w:cantSplit/>
          <w:trHeight w:val="20"/>
        </w:trPr>
        <w:tc>
          <w:tcPr>
            <w:tcW w:w="2484" w:type="dxa"/>
            <w:tcBorders>
              <w:top w:val="nil"/>
              <w:left w:val="single" w:sz="4" w:space="0" w:color="auto"/>
              <w:bottom w:val="single" w:sz="4" w:space="0" w:color="auto"/>
              <w:right w:val="single" w:sz="4" w:space="0" w:color="auto"/>
            </w:tcBorders>
            <w:shd w:val="clear" w:color="000000" w:fill="FFFFFF"/>
          </w:tcPr>
          <w:p w14:paraId="3B9D21E2" w14:textId="77777777" w:rsidR="0006322E" w:rsidRPr="00E47AA9" w:rsidRDefault="0006322E" w:rsidP="00F7724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строительства Приморского края</w:t>
            </w:r>
          </w:p>
        </w:tc>
        <w:tc>
          <w:tcPr>
            <w:tcW w:w="588" w:type="dxa"/>
            <w:tcBorders>
              <w:top w:val="nil"/>
              <w:left w:val="nil"/>
              <w:bottom w:val="single" w:sz="4" w:space="0" w:color="auto"/>
              <w:right w:val="single" w:sz="4" w:space="0" w:color="auto"/>
            </w:tcBorders>
            <w:shd w:val="clear" w:color="auto" w:fill="auto"/>
          </w:tcPr>
          <w:p w14:paraId="1629BC96" w14:textId="77777777" w:rsidR="0006322E" w:rsidRPr="00E47AA9" w:rsidRDefault="0006322E" w:rsidP="00F77241">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775</w:t>
            </w:r>
          </w:p>
        </w:tc>
        <w:tc>
          <w:tcPr>
            <w:tcW w:w="1334" w:type="dxa"/>
            <w:tcBorders>
              <w:top w:val="nil"/>
              <w:left w:val="nil"/>
              <w:bottom w:val="single" w:sz="4" w:space="0" w:color="auto"/>
              <w:right w:val="single" w:sz="4" w:space="0" w:color="auto"/>
            </w:tcBorders>
            <w:shd w:val="clear" w:color="000000" w:fill="FFFFFF"/>
            <w:noWrap/>
          </w:tcPr>
          <w:p w14:paraId="5A348608"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10 861,02</w:t>
            </w:r>
          </w:p>
        </w:tc>
        <w:tc>
          <w:tcPr>
            <w:tcW w:w="1334" w:type="dxa"/>
            <w:tcBorders>
              <w:top w:val="nil"/>
              <w:left w:val="nil"/>
              <w:bottom w:val="single" w:sz="4" w:space="0" w:color="auto"/>
              <w:right w:val="single" w:sz="4" w:space="0" w:color="auto"/>
            </w:tcBorders>
            <w:shd w:val="clear" w:color="000000" w:fill="FFFFFF"/>
            <w:noWrap/>
          </w:tcPr>
          <w:p w14:paraId="2C06BBF2"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8 597,03</w:t>
            </w:r>
          </w:p>
        </w:tc>
        <w:tc>
          <w:tcPr>
            <w:tcW w:w="1221" w:type="dxa"/>
            <w:tcBorders>
              <w:top w:val="nil"/>
              <w:left w:val="nil"/>
              <w:bottom w:val="single" w:sz="4" w:space="0" w:color="auto"/>
              <w:right w:val="single" w:sz="4" w:space="0" w:color="auto"/>
            </w:tcBorders>
            <w:shd w:val="clear" w:color="auto" w:fill="auto"/>
            <w:noWrap/>
          </w:tcPr>
          <w:p w14:paraId="196500FE"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79,15</w:t>
            </w:r>
          </w:p>
        </w:tc>
        <w:tc>
          <w:tcPr>
            <w:tcW w:w="1036" w:type="dxa"/>
            <w:tcBorders>
              <w:top w:val="nil"/>
              <w:left w:val="nil"/>
              <w:bottom w:val="single" w:sz="4" w:space="0" w:color="auto"/>
              <w:right w:val="single" w:sz="4" w:space="0" w:color="auto"/>
            </w:tcBorders>
            <w:shd w:val="clear" w:color="auto" w:fill="auto"/>
            <w:noWrap/>
          </w:tcPr>
          <w:p w14:paraId="52E3CE17"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29,00</w:t>
            </w:r>
          </w:p>
        </w:tc>
        <w:tc>
          <w:tcPr>
            <w:tcW w:w="1183" w:type="dxa"/>
            <w:tcBorders>
              <w:top w:val="nil"/>
              <w:left w:val="nil"/>
              <w:bottom w:val="single" w:sz="4" w:space="0" w:color="auto"/>
              <w:right w:val="single" w:sz="4" w:space="0" w:color="auto"/>
            </w:tcBorders>
            <w:shd w:val="clear" w:color="auto" w:fill="auto"/>
            <w:noWrap/>
          </w:tcPr>
          <w:p w14:paraId="08661C94"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2 263,99</w:t>
            </w:r>
          </w:p>
        </w:tc>
      </w:tr>
      <w:tr w:rsidR="00E47AA9" w:rsidRPr="00E47AA9" w14:paraId="2A8BCF70" w14:textId="77777777" w:rsidTr="00F77241">
        <w:trPr>
          <w:cantSplit/>
          <w:trHeight w:val="20"/>
        </w:trPr>
        <w:tc>
          <w:tcPr>
            <w:tcW w:w="2484" w:type="dxa"/>
            <w:tcBorders>
              <w:top w:val="nil"/>
              <w:left w:val="single" w:sz="4" w:space="0" w:color="auto"/>
              <w:bottom w:val="single" w:sz="4" w:space="0" w:color="auto"/>
              <w:right w:val="single" w:sz="4" w:space="0" w:color="auto"/>
            </w:tcBorders>
            <w:shd w:val="clear" w:color="000000" w:fill="FFFFFF"/>
          </w:tcPr>
          <w:p w14:paraId="03F14A56" w14:textId="77777777" w:rsidR="0006322E" w:rsidRPr="00E47AA9" w:rsidRDefault="0006322E" w:rsidP="00F7724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имущественных и земельных отношений Приморского края</w:t>
            </w:r>
          </w:p>
        </w:tc>
        <w:tc>
          <w:tcPr>
            <w:tcW w:w="588" w:type="dxa"/>
            <w:tcBorders>
              <w:top w:val="nil"/>
              <w:left w:val="nil"/>
              <w:bottom w:val="single" w:sz="4" w:space="0" w:color="auto"/>
              <w:right w:val="single" w:sz="4" w:space="0" w:color="auto"/>
            </w:tcBorders>
            <w:shd w:val="clear" w:color="auto" w:fill="auto"/>
          </w:tcPr>
          <w:p w14:paraId="5ABD775E" w14:textId="77777777" w:rsidR="0006322E" w:rsidRPr="00E47AA9" w:rsidRDefault="0006322E" w:rsidP="00F77241">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779</w:t>
            </w:r>
          </w:p>
        </w:tc>
        <w:tc>
          <w:tcPr>
            <w:tcW w:w="1334" w:type="dxa"/>
            <w:tcBorders>
              <w:top w:val="nil"/>
              <w:left w:val="nil"/>
              <w:bottom w:val="single" w:sz="4" w:space="0" w:color="auto"/>
              <w:right w:val="single" w:sz="4" w:space="0" w:color="auto"/>
            </w:tcBorders>
            <w:shd w:val="clear" w:color="000000" w:fill="FFFFFF"/>
            <w:noWrap/>
          </w:tcPr>
          <w:p w14:paraId="31993ED8"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352,50</w:t>
            </w:r>
          </w:p>
        </w:tc>
        <w:tc>
          <w:tcPr>
            <w:tcW w:w="1334" w:type="dxa"/>
            <w:tcBorders>
              <w:top w:val="nil"/>
              <w:left w:val="nil"/>
              <w:bottom w:val="single" w:sz="4" w:space="0" w:color="auto"/>
              <w:right w:val="single" w:sz="4" w:space="0" w:color="auto"/>
            </w:tcBorders>
            <w:shd w:val="clear" w:color="000000" w:fill="FFFFFF"/>
            <w:noWrap/>
          </w:tcPr>
          <w:p w14:paraId="5F0CBB4F"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349,91</w:t>
            </w:r>
          </w:p>
        </w:tc>
        <w:tc>
          <w:tcPr>
            <w:tcW w:w="1221" w:type="dxa"/>
            <w:tcBorders>
              <w:top w:val="nil"/>
              <w:left w:val="nil"/>
              <w:bottom w:val="single" w:sz="4" w:space="0" w:color="auto"/>
              <w:right w:val="single" w:sz="4" w:space="0" w:color="auto"/>
            </w:tcBorders>
            <w:shd w:val="clear" w:color="auto" w:fill="auto"/>
            <w:noWrap/>
          </w:tcPr>
          <w:p w14:paraId="067AB38C"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99,27</w:t>
            </w:r>
          </w:p>
        </w:tc>
        <w:tc>
          <w:tcPr>
            <w:tcW w:w="1036" w:type="dxa"/>
            <w:tcBorders>
              <w:top w:val="nil"/>
              <w:left w:val="nil"/>
              <w:bottom w:val="single" w:sz="4" w:space="0" w:color="auto"/>
              <w:right w:val="single" w:sz="4" w:space="0" w:color="auto"/>
            </w:tcBorders>
            <w:shd w:val="clear" w:color="auto" w:fill="auto"/>
            <w:noWrap/>
          </w:tcPr>
          <w:p w14:paraId="2C46C047"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1,18</w:t>
            </w:r>
          </w:p>
        </w:tc>
        <w:tc>
          <w:tcPr>
            <w:tcW w:w="1183" w:type="dxa"/>
            <w:tcBorders>
              <w:top w:val="nil"/>
              <w:left w:val="nil"/>
              <w:bottom w:val="single" w:sz="4" w:space="0" w:color="auto"/>
              <w:right w:val="single" w:sz="4" w:space="0" w:color="auto"/>
            </w:tcBorders>
            <w:shd w:val="clear" w:color="auto" w:fill="auto"/>
            <w:noWrap/>
          </w:tcPr>
          <w:p w14:paraId="314B2309"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2,59</w:t>
            </w:r>
          </w:p>
        </w:tc>
      </w:tr>
      <w:tr w:rsidR="00E47AA9" w:rsidRPr="00E47AA9" w14:paraId="241D1002" w14:textId="77777777" w:rsidTr="00F77241">
        <w:trPr>
          <w:cantSplit/>
          <w:trHeight w:val="20"/>
        </w:trPr>
        <w:tc>
          <w:tcPr>
            <w:tcW w:w="2484" w:type="dxa"/>
            <w:tcBorders>
              <w:top w:val="nil"/>
              <w:left w:val="single" w:sz="4" w:space="0" w:color="auto"/>
              <w:bottom w:val="single" w:sz="4" w:space="0" w:color="auto"/>
              <w:right w:val="single" w:sz="4" w:space="0" w:color="auto"/>
            </w:tcBorders>
            <w:shd w:val="clear" w:color="000000" w:fill="FFFFFF"/>
          </w:tcPr>
          <w:p w14:paraId="50A1B3E2" w14:textId="77777777" w:rsidR="0006322E" w:rsidRPr="00E47AA9" w:rsidRDefault="0006322E" w:rsidP="00F7724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Государственная жилищная инспекция Приморского края</w:t>
            </w:r>
          </w:p>
        </w:tc>
        <w:tc>
          <w:tcPr>
            <w:tcW w:w="588" w:type="dxa"/>
            <w:tcBorders>
              <w:top w:val="nil"/>
              <w:left w:val="nil"/>
              <w:bottom w:val="single" w:sz="4" w:space="0" w:color="auto"/>
              <w:right w:val="single" w:sz="4" w:space="0" w:color="auto"/>
            </w:tcBorders>
            <w:shd w:val="clear" w:color="auto" w:fill="auto"/>
          </w:tcPr>
          <w:p w14:paraId="667EC7C8" w14:textId="77777777" w:rsidR="0006322E" w:rsidRPr="00E47AA9" w:rsidRDefault="0006322E" w:rsidP="00F77241">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795</w:t>
            </w:r>
          </w:p>
        </w:tc>
        <w:tc>
          <w:tcPr>
            <w:tcW w:w="1334" w:type="dxa"/>
            <w:tcBorders>
              <w:top w:val="nil"/>
              <w:left w:val="nil"/>
              <w:bottom w:val="single" w:sz="4" w:space="0" w:color="auto"/>
              <w:right w:val="single" w:sz="4" w:space="0" w:color="auto"/>
            </w:tcBorders>
            <w:shd w:val="clear" w:color="000000" w:fill="FFFFFF"/>
            <w:noWrap/>
          </w:tcPr>
          <w:p w14:paraId="28C325F7"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93,83</w:t>
            </w:r>
          </w:p>
        </w:tc>
        <w:tc>
          <w:tcPr>
            <w:tcW w:w="1334" w:type="dxa"/>
            <w:tcBorders>
              <w:top w:val="nil"/>
              <w:left w:val="nil"/>
              <w:bottom w:val="single" w:sz="4" w:space="0" w:color="auto"/>
              <w:right w:val="single" w:sz="4" w:space="0" w:color="auto"/>
            </w:tcBorders>
            <w:shd w:val="clear" w:color="000000" w:fill="FFFFFF"/>
            <w:noWrap/>
          </w:tcPr>
          <w:p w14:paraId="61943431"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90,28</w:t>
            </w:r>
          </w:p>
        </w:tc>
        <w:tc>
          <w:tcPr>
            <w:tcW w:w="1221" w:type="dxa"/>
            <w:tcBorders>
              <w:top w:val="nil"/>
              <w:left w:val="nil"/>
              <w:bottom w:val="single" w:sz="4" w:space="0" w:color="auto"/>
              <w:right w:val="single" w:sz="4" w:space="0" w:color="auto"/>
            </w:tcBorders>
            <w:shd w:val="clear" w:color="auto" w:fill="auto"/>
            <w:noWrap/>
          </w:tcPr>
          <w:p w14:paraId="0DA3363D"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96,22</w:t>
            </w:r>
          </w:p>
        </w:tc>
        <w:tc>
          <w:tcPr>
            <w:tcW w:w="1036" w:type="dxa"/>
            <w:tcBorders>
              <w:top w:val="nil"/>
              <w:left w:val="nil"/>
              <w:bottom w:val="single" w:sz="4" w:space="0" w:color="auto"/>
              <w:right w:val="single" w:sz="4" w:space="0" w:color="auto"/>
            </w:tcBorders>
            <w:shd w:val="clear" w:color="auto" w:fill="auto"/>
            <w:noWrap/>
          </w:tcPr>
          <w:p w14:paraId="49646DFE"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0,30</w:t>
            </w:r>
          </w:p>
        </w:tc>
        <w:tc>
          <w:tcPr>
            <w:tcW w:w="1183" w:type="dxa"/>
            <w:tcBorders>
              <w:top w:val="nil"/>
              <w:left w:val="nil"/>
              <w:bottom w:val="single" w:sz="4" w:space="0" w:color="auto"/>
              <w:right w:val="single" w:sz="4" w:space="0" w:color="auto"/>
            </w:tcBorders>
            <w:shd w:val="clear" w:color="auto" w:fill="auto"/>
            <w:noWrap/>
          </w:tcPr>
          <w:p w14:paraId="2CDC8D14"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3,55</w:t>
            </w:r>
          </w:p>
        </w:tc>
      </w:tr>
      <w:tr w:rsidR="00E47AA9" w:rsidRPr="00E47AA9" w14:paraId="6E60A0D8" w14:textId="77777777" w:rsidTr="00F77241">
        <w:trPr>
          <w:cantSplit/>
          <w:trHeight w:val="20"/>
        </w:trPr>
        <w:tc>
          <w:tcPr>
            <w:tcW w:w="2484" w:type="dxa"/>
            <w:tcBorders>
              <w:top w:val="nil"/>
              <w:left w:val="single" w:sz="4" w:space="0" w:color="auto"/>
              <w:bottom w:val="single" w:sz="4" w:space="0" w:color="auto"/>
              <w:right w:val="single" w:sz="4" w:space="0" w:color="auto"/>
            </w:tcBorders>
            <w:shd w:val="clear" w:color="000000" w:fill="FFFFFF"/>
          </w:tcPr>
          <w:p w14:paraId="09FBEB1B" w14:textId="77777777" w:rsidR="0006322E" w:rsidRPr="00E47AA9" w:rsidRDefault="0006322E" w:rsidP="00F7724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архитектуры и градостроительной политики Приморского края</w:t>
            </w:r>
          </w:p>
        </w:tc>
        <w:tc>
          <w:tcPr>
            <w:tcW w:w="588" w:type="dxa"/>
            <w:tcBorders>
              <w:top w:val="nil"/>
              <w:left w:val="nil"/>
              <w:bottom w:val="single" w:sz="4" w:space="0" w:color="auto"/>
              <w:right w:val="single" w:sz="4" w:space="0" w:color="auto"/>
            </w:tcBorders>
            <w:shd w:val="clear" w:color="auto" w:fill="auto"/>
          </w:tcPr>
          <w:p w14:paraId="20771E23" w14:textId="77777777" w:rsidR="0006322E" w:rsidRPr="00E47AA9" w:rsidRDefault="0006322E" w:rsidP="00F77241">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811</w:t>
            </w:r>
          </w:p>
        </w:tc>
        <w:tc>
          <w:tcPr>
            <w:tcW w:w="1334" w:type="dxa"/>
            <w:tcBorders>
              <w:top w:val="nil"/>
              <w:left w:val="nil"/>
              <w:bottom w:val="single" w:sz="4" w:space="0" w:color="auto"/>
              <w:right w:val="single" w:sz="4" w:space="0" w:color="auto"/>
            </w:tcBorders>
            <w:shd w:val="clear" w:color="000000" w:fill="FFFFFF"/>
            <w:noWrap/>
          </w:tcPr>
          <w:p w14:paraId="14CBE874"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300,00</w:t>
            </w:r>
          </w:p>
        </w:tc>
        <w:tc>
          <w:tcPr>
            <w:tcW w:w="1334" w:type="dxa"/>
            <w:tcBorders>
              <w:top w:val="nil"/>
              <w:left w:val="nil"/>
              <w:bottom w:val="single" w:sz="4" w:space="0" w:color="auto"/>
              <w:right w:val="single" w:sz="4" w:space="0" w:color="auto"/>
            </w:tcBorders>
            <w:shd w:val="clear" w:color="000000" w:fill="FFFFFF"/>
            <w:noWrap/>
          </w:tcPr>
          <w:p w14:paraId="6DA16568"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289,23</w:t>
            </w:r>
          </w:p>
        </w:tc>
        <w:tc>
          <w:tcPr>
            <w:tcW w:w="1221" w:type="dxa"/>
            <w:tcBorders>
              <w:top w:val="nil"/>
              <w:left w:val="nil"/>
              <w:bottom w:val="single" w:sz="4" w:space="0" w:color="auto"/>
              <w:right w:val="single" w:sz="4" w:space="0" w:color="auto"/>
            </w:tcBorders>
            <w:shd w:val="clear" w:color="auto" w:fill="auto"/>
            <w:noWrap/>
          </w:tcPr>
          <w:p w14:paraId="63BC3A9E"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96,41</w:t>
            </w:r>
          </w:p>
        </w:tc>
        <w:tc>
          <w:tcPr>
            <w:tcW w:w="1036" w:type="dxa"/>
            <w:tcBorders>
              <w:top w:val="nil"/>
              <w:left w:val="nil"/>
              <w:bottom w:val="single" w:sz="4" w:space="0" w:color="auto"/>
              <w:right w:val="single" w:sz="4" w:space="0" w:color="auto"/>
            </w:tcBorders>
            <w:shd w:val="clear" w:color="auto" w:fill="auto"/>
            <w:noWrap/>
          </w:tcPr>
          <w:p w14:paraId="4721B8B5"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0,98</w:t>
            </w:r>
          </w:p>
        </w:tc>
        <w:tc>
          <w:tcPr>
            <w:tcW w:w="1183" w:type="dxa"/>
            <w:tcBorders>
              <w:top w:val="nil"/>
              <w:left w:val="nil"/>
              <w:bottom w:val="single" w:sz="4" w:space="0" w:color="auto"/>
              <w:right w:val="single" w:sz="4" w:space="0" w:color="auto"/>
            </w:tcBorders>
            <w:shd w:val="clear" w:color="auto" w:fill="auto"/>
            <w:noWrap/>
          </w:tcPr>
          <w:p w14:paraId="73B7D483" w14:textId="77777777" w:rsidR="0006322E" w:rsidRPr="00E47AA9" w:rsidRDefault="0006322E" w:rsidP="00F77241">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10,77</w:t>
            </w:r>
          </w:p>
        </w:tc>
      </w:tr>
    </w:tbl>
    <w:p w14:paraId="0C077708" w14:textId="77777777" w:rsidR="0006322E" w:rsidRPr="00E47AA9" w:rsidRDefault="0006322E" w:rsidP="0006322E">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14:paraId="156E2B6D" w14:textId="77777777" w:rsidR="0006322E" w:rsidRPr="00E47AA9" w:rsidRDefault="0006322E" w:rsidP="0006322E">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sz w:val="28"/>
          <w:szCs w:val="28"/>
          <w:lang w:eastAsia="ru-RU"/>
        </w:rPr>
        <w:t xml:space="preserve">Исполнение за 2024 год по структурным элементам ГП </w:t>
      </w:r>
      <w:r w:rsidRPr="00E47AA9">
        <w:rPr>
          <w:rFonts w:ascii="Times New Roman" w:hAnsi="Times New Roman" w:cs="Times New Roman"/>
          <w:sz w:val="28"/>
          <w:szCs w:val="28"/>
        </w:rPr>
        <w:t>представлено в таблице.</w:t>
      </w:r>
    </w:p>
    <w:tbl>
      <w:tblPr>
        <w:tblW w:w="9355" w:type="dxa"/>
        <w:tblLook w:val="04A0" w:firstRow="1" w:lastRow="0" w:firstColumn="1" w:lastColumn="0" w:noHBand="0" w:noVBand="1"/>
      </w:tblPr>
      <w:tblGrid>
        <w:gridCol w:w="2552"/>
        <w:gridCol w:w="1279"/>
        <w:gridCol w:w="1340"/>
        <w:gridCol w:w="1221"/>
        <w:gridCol w:w="820"/>
        <w:gridCol w:w="1183"/>
        <w:gridCol w:w="960"/>
      </w:tblGrid>
      <w:tr w:rsidR="00E47AA9" w:rsidRPr="00E47AA9" w14:paraId="03EE8873" w14:textId="77777777" w:rsidTr="00F77241">
        <w:trPr>
          <w:trHeight w:val="300"/>
          <w:tblHeader/>
        </w:trPr>
        <w:tc>
          <w:tcPr>
            <w:tcW w:w="2552" w:type="dxa"/>
            <w:tcBorders>
              <w:top w:val="nil"/>
              <w:left w:val="nil"/>
              <w:bottom w:val="nil"/>
              <w:right w:val="nil"/>
            </w:tcBorders>
            <w:shd w:val="clear" w:color="auto" w:fill="auto"/>
            <w:noWrap/>
            <w:vAlign w:val="bottom"/>
          </w:tcPr>
          <w:p w14:paraId="3E84ACF2" w14:textId="77777777" w:rsidR="0006322E" w:rsidRPr="00E47AA9" w:rsidRDefault="0006322E" w:rsidP="00F77241">
            <w:pPr>
              <w:spacing w:after="0" w:line="240" w:lineRule="auto"/>
              <w:rPr>
                <w:rFonts w:ascii="Calibri" w:eastAsia="Times New Roman" w:hAnsi="Calibri" w:cs="Calibri"/>
                <w:lang w:eastAsia="ru-RU"/>
              </w:rPr>
            </w:pPr>
            <w:r w:rsidRPr="00E47AA9">
              <w:rPr>
                <w:rFonts w:ascii="Calibri" w:eastAsia="Times New Roman" w:hAnsi="Calibri" w:cs="Calibri"/>
                <w:lang w:eastAsia="ru-RU"/>
              </w:rPr>
              <w:t> </w:t>
            </w:r>
          </w:p>
        </w:tc>
        <w:tc>
          <w:tcPr>
            <w:tcW w:w="1279" w:type="dxa"/>
            <w:tcBorders>
              <w:top w:val="nil"/>
              <w:left w:val="nil"/>
              <w:bottom w:val="nil"/>
              <w:right w:val="nil"/>
            </w:tcBorders>
            <w:shd w:val="clear" w:color="auto" w:fill="auto"/>
            <w:noWrap/>
            <w:vAlign w:val="bottom"/>
          </w:tcPr>
          <w:p w14:paraId="02EB8A2C" w14:textId="77777777" w:rsidR="0006322E" w:rsidRPr="00E47AA9" w:rsidRDefault="0006322E" w:rsidP="00F77241">
            <w:pPr>
              <w:spacing w:after="0" w:line="240" w:lineRule="auto"/>
              <w:rPr>
                <w:rFonts w:ascii="Calibri" w:eastAsia="Times New Roman" w:hAnsi="Calibri" w:cs="Calibri"/>
                <w:lang w:eastAsia="ru-RU"/>
              </w:rPr>
            </w:pPr>
            <w:r w:rsidRPr="00E47AA9">
              <w:rPr>
                <w:rFonts w:ascii="Calibri" w:eastAsia="Times New Roman" w:hAnsi="Calibri" w:cs="Calibri"/>
                <w:lang w:eastAsia="ru-RU"/>
              </w:rPr>
              <w:t> </w:t>
            </w:r>
          </w:p>
        </w:tc>
        <w:tc>
          <w:tcPr>
            <w:tcW w:w="1340" w:type="dxa"/>
            <w:tcBorders>
              <w:top w:val="nil"/>
              <w:left w:val="nil"/>
              <w:bottom w:val="nil"/>
              <w:right w:val="nil"/>
            </w:tcBorders>
            <w:shd w:val="clear" w:color="auto" w:fill="auto"/>
            <w:noWrap/>
            <w:vAlign w:val="bottom"/>
          </w:tcPr>
          <w:p w14:paraId="21206DB0" w14:textId="77777777" w:rsidR="0006322E" w:rsidRPr="00E47AA9" w:rsidRDefault="0006322E" w:rsidP="00F77241">
            <w:pPr>
              <w:spacing w:after="0" w:line="240" w:lineRule="auto"/>
              <w:rPr>
                <w:rFonts w:ascii="Calibri" w:eastAsia="Times New Roman" w:hAnsi="Calibri" w:cs="Calibri"/>
                <w:lang w:eastAsia="ru-RU"/>
              </w:rPr>
            </w:pPr>
            <w:r w:rsidRPr="00E47AA9">
              <w:rPr>
                <w:rFonts w:ascii="Calibri" w:eastAsia="Times New Roman" w:hAnsi="Calibri" w:cs="Calibri"/>
                <w:lang w:eastAsia="ru-RU"/>
              </w:rPr>
              <w:t> </w:t>
            </w:r>
          </w:p>
        </w:tc>
        <w:tc>
          <w:tcPr>
            <w:tcW w:w="1221" w:type="dxa"/>
            <w:tcBorders>
              <w:top w:val="nil"/>
              <w:left w:val="nil"/>
              <w:bottom w:val="nil"/>
              <w:right w:val="nil"/>
            </w:tcBorders>
            <w:shd w:val="clear" w:color="auto" w:fill="auto"/>
            <w:noWrap/>
            <w:vAlign w:val="bottom"/>
          </w:tcPr>
          <w:p w14:paraId="741CB927" w14:textId="77777777" w:rsidR="0006322E" w:rsidRPr="00E47AA9" w:rsidRDefault="0006322E" w:rsidP="00F77241">
            <w:pPr>
              <w:spacing w:after="0" w:line="240" w:lineRule="auto"/>
              <w:rPr>
                <w:rFonts w:ascii="Calibri" w:eastAsia="Times New Roman" w:hAnsi="Calibri" w:cs="Calibri"/>
                <w:lang w:eastAsia="ru-RU"/>
              </w:rPr>
            </w:pPr>
            <w:r w:rsidRPr="00E47AA9">
              <w:rPr>
                <w:rFonts w:ascii="Calibri" w:eastAsia="Times New Roman" w:hAnsi="Calibri" w:cs="Calibri"/>
                <w:lang w:eastAsia="ru-RU"/>
              </w:rPr>
              <w:t> </w:t>
            </w:r>
          </w:p>
        </w:tc>
        <w:tc>
          <w:tcPr>
            <w:tcW w:w="820" w:type="dxa"/>
            <w:tcBorders>
              <w:top w:val="nil"/>
              <w:left w:val="nil"/>
              <w:bottom w:val="nil"/>
              <w:right w:val="nil"/>
            </w:tcBorders>
            <w:shd w:val="clear" w:color="auto" w:fill="auto"/>
            <w:noWrap/>
            <w:vAlign w:val="bottom"/>
          </w:tcPr>
          <w:p w14:paraId="0CF7F133" w14:textId="77777777" w:rsidR="0006322E" w:rsidRPr="00E47AA9" w:rsidRDefault="0006322E" w:rsidP="00F77241">
            <w:pPr>
              <w:spacing w:after="0" w:line="240" w:lineRule="auto"/>
              <w:rPr>
                <w:rFonts w:ascii="Calibri" w:eastAsia="Times New Roman" w:hAnsi="Calibri" w:cs="Calibri"/>
                <w:lang w:eastAsia="ru-RU"/>
              </w:rPr>
            </w:pPr>
            <w:r w:rsidRPr="00E47AA9">
              <w:rPr>
                <w:rFonts w:ascii="Calibri" w:eastAsia="Times New Roman" w:hAnsi="Calibri" w:cs="Calibri"/>
                <w:lang w:eastAsia="ru-RU"/>
              </w:rPr>
              <w:t> </w:t>
            </w:r>
          </w:p>
        </w:tc>
        <w:tc>
          <w:tcPr>
            <w:tcW w:w="2143" w:type="dxa"/>
            <w:gridSpan w:val="2"/>
            <w:tcBorders>
              <w:top w:val="nil"/>
              <w:left w:val="nil"/>
              <w:bottom w:val="nil"/>
              <w:right w:val="nil"/>
            </w:tcBorders>
            <w:shd w:val="clear" w:color="auto" w:fill="auto"/>
            <w:noWrap/>
            <w:vAlign w:val="center"/>
          </w:tcPr>
          <w:p w14:paraId="1EECF7E3" w14:textId="77777777" w:rsidR="0006322E" w:rsidRPr="00E47AA9" w:rsidRDefault="0006322E" w:rsidP="00F77241">
            <w:pPr>
              <w:spacing w:after="0" w:line="240" w:lineRule="auto"/>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1383A660" w14:textId="77777777" w:rsidTr="00F77241">
        <w:trPr>
          <w:trHeight w:val="897"/>
          <w:tblHeader/>
        </w:trPr>
        <w:tc>
          <w:tcPr>
            <w:tcW w:w="2552" w:type="dxa"/>
            <w:tcBorders>
              <w:top w:val="single" w:sz="4" w:space="0" w:color="auto"/>
              <w:left w:val="single" w:sz="4" w:space="0" w:color="auto"/>
              <w:bottom w:val="single" w:sz="4" w:space="0" w:color="auto"/>
              <w:right w:val="single" w:sz="4" w:space="0" w:color="auto"/>
            </w:tcBorders>
            <w:shd w:val="clear" w:color="000000" w:fill="FFFFFF"/>
            <w:vAlign w:val="center"/>
          </w:tcPr>
          <w:p w14:paraId="70F5541A" w14:textId="77777777" w:rsidR="0006322E" w:rsidRPr="00E47AA9" w:rsidRDefault="0006322E" w:rsidP="00F77241">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ГП, типа структурного элемента</w:t>
            </w:r>
          </w:p>
        </w:tc>
        <w:tc>
          <w:tcPr>
            <w:tcW w:w="1279" w:type="dxa"/>
            <w:tcBorders>
              <w:top w:val="single" w:sz="4" w:space="0" w:color="auto"/>
              <w:left w:val="nil"/>
              <w:bottom w:val="single" w:sz="4" w:space="0" w:color="auto"/>
              <w:right w:val="single" w:sz="4" w:space="0" w:color="auto"/>
            </w:tcBorders>
            <w:shd w:val="clear" w:color="auto" w:fill="auto"/>
            <w:vAlign w:val="center"/>
          </w:tcPr>
          <w:p w14:paraId="0EA86FB8"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1340" w:type="dxa"/>
            <w:tcBorders>
              <w:top w:val="single" w:sz="4" w:space="0" w:color="auto"/>
              <w:left w:val="nil"/>
              <w:bottom w:val="single" w:sz="4" w:space="0" w:color="auto"/>
              <w:right w:val="single" w:sz="4" w:space="0" w:color="auto"/>
            </w:tcBorders>
            <w:shd w:val="clear" w:color="auto" w:fill="auto"/>
            <w:vAlign w:val="center"/>
          </w:tcPr>
          <w:p w14:paraId="6ED2AC80"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221" w:type="dxa"/>
            <w:tcBorders>
              <w:top w:val="single" w:sz="4" w:space="0" w:color="auto"/>
              <w:left w:val="nil"/>
              <w:bottom w:val="single" w:sz="4" w:space="0" w:color="auto"/>
              <w:right w:val="single" w:sz="4" w:space="0" w:color="auto"/>
            </w:tcBorders>
            <w:shd w:val="clear" w:color="auto" w:fill="auto"/>
            <w:vAlign w:val="center"/>
          </w:tcPr>
          <w:p w14:paraId="23308F5B"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исполнения</w:t>
            </w:r>
          </w:p>
        </w:tc>
        <w:tc>
          <w:tcPr>
            <w:tcW w:w="820" w:type="dxa"/>
            <w:tcBorders>
              <w:top w:val="single" w:sz="4" w:space="0" w:color="auto"/>
              <w:left w:val="nil"/>
              <w:bottom w:val="single" w:sz="4" w:space="0" w:color="auto"/>
              <w:right w:val="single" w:sz="4" w:space="0" w:color="auto"/>
            </w:tcBorders>
            <w:shd w:val="clear" w:color="auto" w:fill="auto"/>
            <w:vAlign w:val="center"/>
          </w:tcPr>
          <w:p w14:paraId="18F85C6B"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удель-ный</w:t>
            </w:r>
            <w:proofErr w:type="spellEnd"/>
            <w:proofErr w:type="gramEnd"/>
            <w:r w:rsidRPr="00E47AA9">
              <w:rPr>
                <w:rFonts w:ascii="Times New Roman" w:eastAsia="Times New Roman" w:hAnsi="Times New Roman" w:cs="Times New Roman"/>
                <w:sz w:val="20"/>
                <w:szCs w:val="20"/>
                <w:lang w:eastAsia="ru-RU"/>
              </w:rPr>
              <w:t xml:space="preserve"> вес, %</w:t>
            </w:r>
          </w:p>
        </w:tc>
        <w:tc>
          <w:tcPr>
            <w:tcW w:w="1183" w:type="dxa"/>
            <w:tcBorders>
              <w:top w:val="single" w:sz="4" w:space="0" w:color="auto"/>
              <w:left w:val="nil"/>
              <w:bottom w:val="single" w:sz="4" w:space="0" w:color="auto"/>
              <w:right w:val="single" w:sz="4" w:space="0" w:color="auto"/>
            </w:tcBorders>
            <w:shd w:val="clear" w:color="auto" w:fill="auto"/>
            <w:vAlign w:val="center"/>
          </w:tcPr>
          <w:p w14:paraId="0AFE3DDB"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c>
          <w:tcPr>
            <w:tcW w:w="960" w:type="dxa"/>
            <w:tcBorders>
              <w:top w:val="single" w:sz="4" w:space="0" w:color="auto"/>
              <w:left w:val="nil"/>
              <w:bottom w:val="single" w:sz="4" w:space="0" w:color="auto"/>
              <w:right w:val="single" w:sz="4" w:space="0" w:color="auto"/>
            </w:tcBorders>
            <w:shd w:val="clear" w:color="auto" w:fill="auto"/>
            <w:vAlign w:val="center"/>
          </w:tcPr>
          <w:p w14:paraId="5697AAE3" w14:textId="77777777" w:rsidR="0006322E" w:rsidRPr="00E47AA9" w:rsidRDefault="0006322E" w:rsidP="00F77241">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удель-ный</w:t>
            </w:r>
            <w:proofErr w:type="spellEnd"/>
            <w:proofErr w:type="gramEnd"/>
            <w:r w:rsidRPr="00E47AA9">
              <w:rPr>
                <w:rFonts w:ascii="Times New Roman" w:eastAsia="Times New Roman" w:hAnsi="Times New Roman" w:cs="Times New Roman"/>
                <w:sz w:val="20"/>
                <w:szCs w:val="20"/>
                <w:lang w:eastAsia="ru-RU"/>
              </w:rPr>
              <w:t xml:space="preserve"> вес, %</w:t>
            </w:r>
          </w:p>
        </w:tc>
      </w:tr>
      <w:tr w:rsidR="00E47AA9" w:rsidRPr="00E47AA9" w14:paraId="30F79D45" w14:textId="77777777" w:rsidTr="00F77241">
        <w:trPr>
          <w:trHeight w:val="300"/>
        </w:trPr>
        <w:tc>
          <w:tcPr>
            <w:tcW w:w="2552" w:type="dxa"/>
            <w:tcBorders>
              <w:top w:val="nil"/>
              <w:left w:val="single" w:sz="4" w:space="0" w:color="auto"/>
              <w:bottom w:val="single" w:sz="4" w:space="0" w:color="auto"/>
              <w:right w:val="single" w:sz="4" w:space="0" w:color="auto"/>
            </w:tcBorders>
            <w:shd w:val="clear" w:color="auto" w:fill="auto"/>
          </w:tcPr>
          <w:p w14:paraId="3C927788" w14:textId="77777777" w:rsidR="0006322E" w:rsidRPr="00E47AA9" w:rsidRDefault="0006322E" w:rsidP="00F77241">
            <w:pPr>
              <w:spacing w:after="0" w:line="240" w:lineRule="auto"/>
              <w:rPr>
                <w:rFonts w:ascii="Times New Roman" w:hAnsi="Times New Roman" w:cs="Times New Roman"/>
                <w:b/>
              </w:rPr>
            </w:pPr>
            <w:r w:rsidRPr="00E47AA9">
              <w:rPr>
                <w:rFonts w:ascii="Times New Roman" w:hAnsi="Times New Roman" w:cs="Times New Roman"/>
                <w:b/>
              </w:rPr>
              <w:t xml:space="preserve">Расходы по ГП всего, </w:t>
            </w:r>
          </w:p>
          <w:p w14:paraId="5A008142" w14:textId="77777777" w:rsidR="0006322E" w:rsidRPr="00E47AA9" w:rsidRDefault="0006322E" w:rsidP="00F77241">
            <w:pPr>
              <w:spacing w:after="0" w:line="240" w:lineRule="auto"/>
              <w:rPr>
                <w:rFonts w:ascii="Times New Roman" w:eastAsia="Times New Roman" w:hAnsi="Times New Roman" w:cs="Times New Roman"/>
                <w:b/>
                <w:bCs/>
                <w:sz w:val="20"/>
                <w:szCs w:val="20"/>
                <w:lang w:eastAsia="ru-RU"/>
              </w:rPr>
            </w:pPr>
            <w:r w:rsidRPr="00E47AA9">
              <w:rPr>
                <w:rFonts w:ascii="Times New Roman" w:hAnsi="Times New Roman" w:cs="Times New Roman"/>
                <w:bCs/>
              </w:rPr>
              <w:t>в том числе:</w:t>
            </w:r>
          </w:p>
        </w:tc>
        <w:tc>
          <w:tcPr>
            <w:tcW w:w="1279" w:type="dxa"/>
            <w:tcBorders>
              <w:top w:val="nil"/>
              <w:left w:val="nil"/>
              <w:bottom w:val="single" w:sz="4" w:space="0" w:color="auto"/>
              <w:right w:val="single" w:sz="4" w:space="0" w:color="auto"/>
            </w:tcBorders>
            <w:shd w:val="clear" w:color="auto" w:fill="auto"/>
          </w:tcPr>
          <w:p w14:paraId="606BAD8C"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32 039,94</w:t>
            </w:r>
          </w:p>
        </w:tc>
        <w:tc>
          <w:tcPr>
            <w:tcW w:w="1340" w:type="dxa"/>
            <w:tcBorders>
              <w:top w:val="nil"/>
              <w:left w:val="nil"/>
              <w:bottom w:val="single" w:sz="4" w:space="0" w:color="auto"/>
              <w:right w:val="single" w:sz="4" w:space="0" w:color="auto"/>
            </w:tcBorders>
            <w:shd w:val="clear" w:color="auto" w:fill="auto"/>
          </w:tcPr>
          <w:p w14:paraId="1DEDB545"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29 645,98</w:t>
            </w:r>
          </w:p>
        </w:tc>
        <w:tc>
          <w:tcPr>
            <w:tcW w:w="1221" w:type="dxa"/>
            <w:tcBorders>
              <w:top w:val="nil"/>
              <w:left w:val="nil"/>
              <w:bottom w:val="single" w:sz="4" w:space="0" w:color="auto"/>
              <w:right w:val="single" w:sz="4" w:space="0" w:color="auto"/>
            </w:tcBorders>
            <w:shd w:val="clear" w:color="auto" w:fill="auto"/>
          </w:tcPr>
          <w:p w14:paraId="434FD0A3"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92,53</w:t>
            </w:r>
          </w:p>
        </w:tc>
        <w:tc>
          <w:tcPr>
            <w:tcW w:w="820" w:type="dxa"/>
            <w:tcBorders>
              <w:top w:val="nil"/>
              <w:left w:val="nil"/>
              <w:bottom w:val="single" w:sz="4" w:space="0" w:color="auto"/>
              <w:right w:val="single" w:sz="4" w:space="0" w:color="auto"/>
            </w:tcBorders>
            <w:shd w:val="clear" w:color="auto" w:fill="auto"/>
          </w:tcPr>
          <w:p w14:paraId="6803DC5F"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c>
          <w:tcPr>
            <w:tcW w:w="1183" w:type="dxa"/>
            <w:tcBorders>
              <w:top w:val="nil"/>
              <w:left w:val="nil"/>
              <w:bottom w:val="single" w:sz="4" w:space="0" w:color="auto"/>
              <w:right w:val="single" w:sz="4" w:space="0" w:color="auto"/>
            </w:tcBorders>
            <w:shd w:val="clear" w:color="auto" w:fill="auto"/>
          </w:tcPr>
          <w:p w14:paraId="772A1C93"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2 393,96</w:t>
            </w:r>
          </w:p>
        </w:tc>
        <w:tc>
          <w:tcPr>
            <w:tcW w:w="960" w:type="dxa"/>
            <w:tcBorders>
              <w:top w:val="nil"/>
              <w:left w:val="nil"/>
              <w:bottom w:val="single" w:sz="4" w:space="0" w:color="auto"/>
              <w:right w:val="single" w:sz="4" w:space="0" w:color="auto"/>
            </w:tcBorders>
            <w:shd w:val="clear" w:color="auto" w:fill="auto"/>
          </w:tcPr>
          <w:p w14:paraId="25971B1B"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r>
      <w:tr w:rsidR="00E47AA9" w:rsidRPr="00E47AA9" w14:paraId="7409B01A" w14:textId="77777777" w:rsidTr="00F77241">
        <w:trPr>
          <w:trHeight w:val="557"/>
        </w:trPr>
        <w:tc>
          <w:tcPr>
            <w:tcW w:w="2552" w:type="dxa"/>
            <w:tcBorders>
              <w:top w:val="nil"/>
              <w:left w:val="single" w:sz="4" w:space="0" w:color="auto"/>
              <w:bottom w:val="single" w:sz="4" w:space="0" w:color="auto"/>
              <w:right w:val="single" w:sz="4" w:space="0" w:color="auto"/>
            </w:tcBorders>
            <w:shd w:val="clear" w:color="000000" w:fill="FFFFFF"/>
          </w:tcPr>
          <w:p w14:paraId="26593E54" w14:textId="77777777" w:rsidR="0006322E" w:rsidRPr="00E47AA9" w:rsidRDefault="0006322E" w:rsidP="00F77241">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проектные мероприятия, в том числе</w:t>
            </w:r>
          </w:p>
        </w:tc>
        <w:tc>
          <w:tcPr>
            <w:tcW w:w="1279" w:type="dxa"/>
            <w:tcBorders>
              <w:top w:val="nil"/>
              <w:left w:val="nil"/>
              <w:bottom w:val="single" w:sz="4" w:space="0" w:color="auto"/>
              <w:right w:val="single" w:sz="4" w:space="0" w:color="auto"/>
            </w:tcBorders>
            <w:shd w:val="clear" w:color="000000" w:fill="FFFFFF"/>
          </w:tcPr>
          <w:p w14:paraId="48B8E353"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1 604,04</w:t>
            </w:r>
          </w:p>
        </w:tc>
        <w:tc>
          <w:tcPr>
            <w:tcW w:w="1340" w:type="dxa"/>
            <w:tcBorders>
              <w:top w:val="nil"/>
              <w:left w:val="nil"/>
              <w:bottom w:val="single" w:sz="4" w:space="0" w:color="auto"/>
              <w:right w:val="single" w:sz="4" w:space="0" w:color="auto"/>
            </w:tcBorders>
            <w:shd w:val="clear" w:color="000000" w:fill="FFFFFF"/>
          </w:tcPr>
          <w:p w14:paraId="77F5B393"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1 558,38</w:t>
            </w:r>
          </w:p>
        </w:tc>
        <w:tc>
          <w:tcPr>
            <w:tcW w:w="1221" w:type="dxa"/>
            <w:tcBorders>
              <w:top w:val="nil"/>
              <w:left w:val="nil"/>
              <w:bottom w:val="single" w:sz="4" w:space="0" w:color="auto"/>
              <w:right w:val="single" w:sz="4" w:space="0" w:color="auto"/>
            </w:tcBorders>
            <w:shd w:val="clear" w:color="000000" w:fill="FFFFFF"/>
          </w:tcPr>
          <w:p w14:paraId="27F71919"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97,15</w:t>
            </w:r>
          </w:p>
        </w:tc>
        <w:tc>
          <w:tcPr>
            <w:tcW w:w="820" w:type="dxa"/>
            <w:tcBorders>
              <w:top w:val="nil"/>
              <w:left w:val="nil"/>
              <w:bottom w:val="single" w:sz="4" w:space="0" w:color="auto"/>
              <w:right w:val="single" w:sz="4" w:space="0" w:color="auto"/>
            </w:tcBorders>
            <w:shd w:val="clear" w:color="000000" w:fill="FFFFFF"/>
          </w:tcPr>
          <w:p w14:paraId="4D8A8FF3"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5,26</w:t>
            </w:r>
          </w:p>
        </w:tc>
        <w:tc>
          <w:tcPr>
            <w:tcW w:w="1183" w:type="dxa"/>
            <w:tcBorders>
              <w:top w:val="nil"/>
              <w:left w:val="nil"/>
              <w:bottom w:val="single" w:sz="4" w:space="0" w:color="auto"/>
              <w:right w:val="single" w:sz="4" w:space="0" w:color="auto"/>
            </w:tcBorders>
            <w:shd w:val="clear" w:color="000000" w:fill="FFFFFF"/>
          </w:tcPr>
          <w:p w14:paraId="57C13C23"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45,66</w:t>
            </w:r>
          </w:p>
        </w:tc>
        <w:tc>
          <w:tcPr>
            <w:tcW w:w="960" w:type="dxa"/>
            <w:tcBorders>
              <w:top w:val="nil"/>
              <w:left w:val="nil"/>
              <w:bottom w:val="single" w:sz="4" w:space="0" w:color="auto"/>
              <w:right w:val="single" w:sz="4" w:space="0" w:color="auto"/>
            </w:tcBorders>
            <w:shd w:val="clear" w:color="000000" w:fill="FFFFFF"/>
          </w:tcPr>
          <w:p w14:paraId="2B2CE2E8"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1,91</w:t>
            </w:r>
          </w:p>
        </w:tc>
      </w:tr>
      <w:tr w:rsidR="00E47AA9" w:rsidRPr="00E47AA9" w14:paraId="2EA84DE3" w14:textId="77777777" w:rsidTr="00F77241">
        <w:trPr>
          <w:trHeight w:val="281"/>
        </w:trPr>
        <w:tc>
          <w:tcPr>
            <w:tcW w:w="2552" w:type="dxa"/>
            <w:tcBorders>
              <w:top w:val="nil"/>
              <w:left w:val="single" w:sz="4" w:space="0" w:color="auto"/>
              <w:bottom w:val="single" w:sz="4" w:space="0" w:color="auto"/>
              <w:right w:val="single" w:sz="4" w:space="0" w:color="auto"/>
            </w:tcBorders>
            <w:shd w:val="clear" w:color="000000" w:fill="FFFFFF"/>
          </w:tcPr>
          <w:p w14:paraId="32B5BCC6" w14:textId="77777777" w:rsidR="0006322E" w:rsidRPr="00E47AA9" w:rsidRDefault="0006322E" w:rsidP="00F77241">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входящие в состав НП</w:t>
            </w:r>
          </w:p>
        </w:tc>
        <w:tc>
          <w:tcPr>
            <w:tcW w:w="1279" w:type="dxa"/>
            <w:tcBorders>
              <w:top w:val="nil"/>
              <w:left w:val="nil"/>
              <w:bottom w:val="single" w:sz="4" w:space="0" w:color="auto"/>
              <w:right w:val="single" w:sz="4" w:space="0" w:color="auto"/>
            </w:tcBorders>
            <w:shd w:val="clear" w:color="000000" w:fill="FFFFFF"/>
          </w:tcPr>
          <w:p w14:paraId="0117BDFE"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1 604,04</w:t>
            </w:r>
          </w:p>
        </w:tc>
        <w:tc>
          <w:tcPr>
            <w:tcW w:w="1340" w:type="dxa"/>
            <w:tcBorders>
              <w:top w:val="nil"/>
              <w:left w:val="nil"/>
              <w:bottom w:val="single" w:sz="4" w:space="0" w:color="auto"/>
              <w:right w:val="single" w:sz="4" w:space="0" w:color="auto"/>
            </w:tcBorders>
            <w:shd w:val="clear" w:color="000000" w:fill="FFFFFF"/>
          </w:tcPr>
          <w:p w14:paraId="06E06662"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1 558,38</w:t>
            </w:r>
          </w:p>
        </w:tc>
        <w:tc>
          <w:tcPr>
            <w:tcW w:w="1221" w:type="dxa"/>
            <w:tcBorders>
              <w:top w:val="nil"/>
              <w:left w:val="nil"/>
              <w:bottom w:val="single" w:sz="4" w:space="0" w:color="auto"/>
              <w:right w:val="single" w:sz="4" w:space="0" w:color="auto"/>
            </w:tcBorders>
            <w:shd w:val="clear" w:color="000000" w:fill="FFFFFF"/>
          </w:tcPr>
          <w:p w14:paraId="69C47E6A"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97,15</w:t>
            </w:r>
          </w:p>
        </w:tc>
        <w:tc>
          <w:tcPr>
            <w:tcW w:w="820" w:type="dxa"/>
            <w:tcBorders>
              <w:top w:val="nil"/>
              <w:left w:val="nil"/>
              <w:bottom w:val="single" w:sz="4" w:space="0" w:color="auto"/>
              <w:right w:val="single" w:sz="4" w:space="0" w:color="auto"/>
            </w:tcBorders>
            <w:shd w:val="clear" w:color="000000" w:fill="FFFFFF"/>
          </w:tcPr>
          <w:p w14:paraId="3232926C"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5,26</w:t>
            </w:r>
          </w:p>
        </w:tc>
        <w:tc>
          <w:tcPr>
            <w:tcW w:w="1183" w:type="dxa"/>
            <w:tcBorders>
              <w:top w:val="nil"/>
              <w:left w:val="nil"/>
              <w:bottom w:val="single" w:sz="4" w:space="0" w:color="auto"/>
              <w:right w:val="single" w:sz="4" w:space="0" w:color="auto"/>
            </w:tcBorders>
            <w:shd w:val="clear" w:color="000000" w:fill="FFFFFF"/>
          </w:tcPr>
          <w:p w14:paraId="5927F63A"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45,66</w:t>
            </w:r>
          </w:p>
        </w:tc>
        <w:tc>
          <w:tcPr>
            <w:tcW w:w="960" w:type="dxa"/>
            <w:tcBorders>
              <w:top w:val="nil"/>
              <w:left w:val="nil"/>
              <w:bottom w:val="single" w:sz="4" w:space="0" w:color="auto"/>
              <w:right w:val="single" w:sz="4" w:space="0" w:color="auto"/>
            </w:tcBorders>
            <w:shd w:val="clear" w:color="000000" w:fill="FFFFFF"/>
          </w:tcPr>
          <w:p w14:paraId="6D1DE35D"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1,91</w:t>
            </w:r>
          </w:p>
        </w:tc>
      </w:tr>
      <w:tr w:rsidR="00E47AA9" w:rsidRPr="00E47AA9" w14:paraId="6C3D4B43" w14:textId="77777777" w:rsidTr="00F77241">
        <w:trPr>
          <w:trHeight w:val="510"/>
        </w:trPr>
        <w:tc>
          <w:tcPr>
            <w:tcW w:w="2552" w:type="dxa"/>
            <w:tcBorders>
              <w:top w:val="nil"/>
              <w:left w:val="single" w:sz="4" w:space="0" w:color="auto"/>
              <w:bottom w:val="single" w:sz="4" w:space="0" w:color="auto"/>
              <w:right w:val="single" w:sz="4" w:space="0" w:color="auto"/>
            </w:tcBorders>
            <w:shd w:val="clear" w:color="000000" w:fill="FFFFFF"/>
          </w:tcPr>
          <w:p w14:paraId="09C0D4E9" w14:textId="77777777" w:rsidR="0006322E" w:rsidRPr="00E47AA9" w:rsidRDefault="0006322E" w:rsidP="00F77241">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"Чистая вода" на 2020-2024 годы</w:t>
            </w:r>
          </w:p>
        </w:tc>
        <w:tc>
          <w:tcPr>
            <w:tcW w:w="1279" w:type="dxa"/>
            <w:tcBorders>
              <w:top w:val="nil"/>
              <w:left w:val="nil"/>
              <w:bottom w:val="single" w:sz="4" w:space="0" w:color="auto"/>
              <w:right w:val="single" w:sz="4" w:space="0" w:color="auto"/>
            </w:tcBorders>
            <w:shd w:val="clear" w:color="000000" w:fill="FFFFFF"/>
          </w:tcPr>
          <w:p w14:paraId="45B4A125"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939,98</w:t>
            </w:r>
          </w:p>
        </w:tc>
        <w:tc>
          <w:tcPr>
            <w:tcW w:w="1340" w:type="dxa"/>
            <w:tcBorders>
              <w:top w:val="nil"/>
              <w:left w:val="nil"/>
              <w:bottom w:val="single" w:sz="4" w:space="0" w:color="auto"/>
              <w:right w:val="single" w:sz="4" w:space="0" w:color="auto"/>
            </w:tcBorders>
            <w:shd w:val="clear" w:color="000000" w:fill="FFFFFF"/>
          </w:tcPr>
          <w:p w14:paraId="3D96F29E"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922,50</w:t>
            </w:r>
          </w:p>
        </w:tc>
        <w:tc>
          <w:tcPr>
            <w:tcW w:w="1221" w:type="dxa"/>
            <w:tcBorders>
              <w:top w:val="nil"/>
              <w:left w:val="nil"/>
              <w:bottom w:val="single" w:sz="4" w:space="0" w:color="auto"/>
              <w:right w:val="single" w:sz="4" w:space="0" w:color="auto"/>
            </w:tcBorders>
            <w:shd w:val="clear" w:color="000000" w:fill="FFFFFF"/>
          </w:tcPr>
          <w:p w14:paraId="62E659A2"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98,14</w:t>
            </w:r>
          </w:p>
        </w:tc>
        <w:tc>
          <w:tcPr>
            <w:tcW w:w="820" w:type="dxa"/>
            <w:tcBorders>
              <w:top w:val="nil"/>
              <w:left w:val="nil"/>
              <w:bottom w:val="single" w:sz="4" w:space="0" w:color="auto"/>
              <w:right w:val="single" w:sz="4" w:space="0" w:color="auto"/>
            </w:tcBorders>
            <w:shd w:val="clear" w:color="000000" w:fill="FFFFFF"/>
          </w:tcPr>
          <w:p w14:paraId="3A098B92"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3,11</w:t>
            </w:r>
          </w:p>
        </w:tc>
        <w:tc>
          <w:tcPr>
            <w:tcW w:w="1183" w:type="dxa"/>
            <w:tcBorders>
              <w:top w:val="nil"/>
              <w:left w:val="nil"/>
              <w:bottom w:val="single" w:sz="4" w:space="0" w:color="auto"/>
              <w:right w:val="single" w:sz="4" w:space="0" w:color="auto"/>
            </w:tcBorders>
            <w:shd w:val="clear" w:color="000000" w:fill="FFFFFF"/>
          </w:tcPr>
          <w:p w14:paraId="1B3C3336"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17,48</w:t>
            </w:r>
          </w:p>
        </w:tc>
        <w:tc>
          <w:tcPr>
            <w:tcW w:w="960" w:type="dxa"/>
            <w:tcBorders>
              <w:top w:val="nil"/>
              <w:left w:val="nil"/>
              <w:bottom w:val="single" w:sz="4" w:space="0" w:color="auto"/>
              <w:right w:val="single" w:sz="4" w:space="0" w:color="auto"/>
            </w:tcBorders>
            <w:shd w:val="clear" w:color="000000" w:fill="FFFFFF"/>
          </w:tcPr>
          <w:p w14:paraId="6F8569EB"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0,73</w:t>
            </w:r>
          </w:p>
        </w:tc>
      </w:tr>
      <w:tr w:rsidR="00E47AA9" w:rsidRPr="00E47AA9" w14:paraId="421A69BB" w14:textId="77777777" w:rsidTr="00F77241">
        <w:trPr>
          <w:trHeight w:val="1008"/>
        </w:trPr>
        <w:tc>
          <w:tcPr>
            <w:tcW w:w="2552" w:type="dxa"/>
            <w:tcBorders>
              <w:top w:val="nil"/>
              <w:left w:val="single" w:sz="4" w:space="0" w:color="auto"/>
              <w:bottom w:val="single" w:sz="4" w:space="0" w:color="auto"/>
              <w:right w:val="single" w:sz="4" w:space="0" w:color="auto"/>
            </w:tcBorders>
            <w:shd w:val="clear" w:color="000000" w:fill="FFFFFF"/>
          </w:tcPr>
          <w:p w14:paraId="067D42F4" w14:textId="77777777" w:rsidR="0006322E" w:rsidRPr="00E47AA9" w:rsidRDefault="0006322E" w:rsidP="00F77241">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"Обеспечение устойчивого сокращения непригодного для проживания жилищного фонда"</w:t>
            </w:r>
          </w:p>
        </w:tc>
        <w:tc>
          <w:tcPr>
            <w:tcW w:w="1279" w:type="dxa"/>
            <w:tcBorders>
              <w:top w:val="nil"/>
              <w:left w:val="nil"/>
              <w:bottom w:val="single" w:sz="4" w:space="0" w:color="auto"/>
              <w:right w:val="single" w:sz="4" w:space="0" w:color="auto"/>
            </w:tcBorders>
            <w:shd w:val="clear" w:color="000000" w:fill="FFFFFF"/>
          </w:tcPr>
          <w:p w14:paraId="0E7E36A0"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664,06</w:t>
            </w:r>
          </w:p>
        </w:tc>
        <w:tc>
          <w:tcPr>
            <w:tcW w:w="1340" w:type="dxa"/>
            <w:tcBorders>
              <w:top w:val="nil"/>
              <w:left w:val="nil"/>
              <w:bottom w:val="single" w:sz="4" w:space="0" w:color="auto"/>
              <w:right w:val="single" w:sz="4" w:space="0" w:color="auto"/>
            </w:tcBorders>
            <w:shd w:val="clear" w:color="000000" w:fill="FFFFFF"/>
          </w:tcPr>
          <w:p w14:paraId="1B026381"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635,88</w:t>
            </w:r>
          </w:p>
        </w:tc>
        <w:tc>
          <w:tcPr>
            <w:tcW w:w="1221" w:type="dxa"/>
            <w:tcBorders>
              <w:top w:val="nil"/>
              <w:left w:val="nil"/>
              <w:bottom w:val="single" w:sz="4" w:space="0" w:color="auto"/>
              <w:right w:val="single" w:sz="4" w:space="0" w:color="auto"/>
            </w:tcBorders>
            <w:shd w:val="clear" w:color="000000" w:fill="FFFFFF"/>
          </w:tcPr>
          <w:p w14:paraId="45B01B5D"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95,76</w:t>
            </w:r>
          </w:p>
        </w:tc>
        <w:tc>
          <w:tcPr>
            <w:tcW w:w="820" w:type="dxa"/>
            <w:tcBorders>
              <w:top w:val="nil"/>
              <w:left w:val="nil"/>
              <w:bottom w:val="single" w:sz="4" w:space="0" w:color="auto"/>
              <w:right w:val="single" w:sz="4" w:space="0" w:color="auto"/>
            </w:tcBorders>
            <w:shd w:val="clear" w:color="000000" w:fill="FFFFFF"/>
          </w:tcPr>
          <w:p w14:paraId="10168DEA"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2,14</w:t>
            </w:r>
          </w:p>
        </w:tc>
        <w:tc>
          <w:tcPr>
            <w:tcW w:w="1183" w:type="dxa"/>
            <w:tcBorders>
              <w:top w:val="nil"/>
              <w:left w:val="nil"/>
              <w:bottom w:val="single" w:sz="4" w:space="0" w:color="auto"/>
              <w:right w:val="single" w:sz="4" w:space="0" w:color="auto"/>
            </w:tcBorders>
            <w:shd w:val="clear" w:color="000000" w:fill="FFFFFF"/>
          </w:tcPr>
          <w:p w14:paraId="4C4EF64A"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28,18</w:t>
            </w:r>
          </w:p>
        </w:tc>
        <w:tc>
          <w:tcPr>
            <w:tcW w:w="960" w:type="dxa"/>
            <w:tcBorders>
              <w:top w:val="nil"/>
              <w:left w:val="nil"/>
              <w:bottom w:val="single" w:sz="4" w:space="0" w:color="auto"/>
              <w:right w:val="single" w:sz="4" w:space="0" w:color="auto"/>
            </w:tcBorders>
            <w:shd w:val="clear" w:color="000000" w:fill="FFFFFF"/>
          </w:tcPr>
          <w:p w14:paraId="0C4B5C23" w14:textId="77777777" w:rsidR="0006322E" w:rsidRPr="00E47AA9" w:rsidRDefault="0006322E"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1,18</w:t>
            </w:r>
          </w:p>
        </w:tc>
      </w:tr>
      <w:tr w:rsidR="00E47AA9" w:rsidRPr="00E47AA9" w14:paraId="160775FB" w14:textId="77777777" w:rsidTr="00F77241">
        <w:trPr>
          <w:trHeight w:val="577"/>
        </w:trPr>
        <w:tc>
          <w:tcPr>
            <w:tcW w:w="2552" w:type="dxa"/>
            <w:tcBorders>
              <w:top w:val="nil"/>
              <w:left w:val="single" w:sz="4" w:space="0" w:color="auto"/>
              <w:bottom w:val="single" w:sz="4" w:space="0" w:color="auto"/>
              <w:right w:val="single" w:sz="4" w:space="0" w:color="auto"/>
            </w:tcBorders>
            <w:shd w:val="clear" w:color="000000" w:fill="FFFFFF"/>
          </w:tcPr>
          <w:p w14:paraId="0A56FB8F" w14:textId="77777777" w:rsidR="0006322E" w:rsidRPr="00E47AA9" w:rsidRDefault="0006322E" w:rsidP="00F77241">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lastRenderedPageBreak/>
              <w:t>комплексы процессных мероприятий</w:t>
            </w:r>
          </w:p>
        </w:tc>
        <w:tc>
          <w:tcPr>
            <w:tcW w:w="1279" w:type="dxa"/>
            <w:tcBorders>
              <w:top w:val="nil"/>
              <w:left w:val="nil"/>
              <w:bottom w:val="single" w:sz="4" w:space="0" w:color="auto"/>
              <w:right w:val="single" w:sz="4" w:space="0" w:color="auto"/>
            </w:tcBorders>
            <w:shd w:val="clear" w:color="000000" w:fill="FFFFFF"/>
          </w:tcPr>
          <w:p w14:paraId="45FD6182"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30 435,90</w:t>
            </w:r>
          </w:p>
        </w:tc>
        <w:tc>
          <w:tcPr>
            <w:tcW w:w="1340" w:type="dxa"/>
            <w:tcBorders>
              <w:top w:val="nil"/>
              <w:left w:val="nil"/>
              <w:bottom w:val="single" w:sz="4" w:space="0" w:color="auto"/>
              <w:right w:val="single" w:sz="4" w:space="0" w:color="auto"/>
            </w:tcBorders>
            <w:shd w:val="clear" w:color="000000" w:fill="FFFFFF"/>
          </w:tcPr>
          <w:p w14:paraId="249299C9"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 xml:space="preserve">28 087,60 </w:t>
            </w:r>
          </w:p>
        </w:tc>
        <w:tc>
          <w:tcPr>
            <w:tcW w:w="1221" w:type="dxa"/>
            <w:tcBorders>
              <w:top w:val="nil"/>
              <w:left w:val="nil"/>
              <w:bottom w:val="single" w:sz="4" w:space="0" w:color="auto"/>
              <w:right w:val="single" w:sz="4" w:space="0" w:color="auto"/>
            </w:tcBorders>
            <w:shd w:val="clear" w:color="000000" w:fill="FFFFFF"/>
          </w:tcPr>
          <w:p w14:paraId="27227A87"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92,28</w:t>
            </w:r>
          </w:p>
        </w:tc>
        <w:tc>
          <w:tcPr>
            <w:tcW w:w="820" w:type="dxa"/>
            <w:tcBorders>
              <w:top w:val="nil"/>
              <w:left w:val="nil"/>
              <w:bottom w:val="single" w:sz="4" w:space="0" w:color="auto"/>
              <w:right w:val="single" w:sz="4" w:space="0" w:color="auto"/>
            </w:tcBorders>
            <w:shd w:val="clear" w:color="000000" w:fill="FFFFFF"/>
          </w:tcPr>
          <w:p w14:paraId="70C363F5"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94,74</w:t>
            </w:r>
          </w:p>
        </w:tc>
        <w:tc>
          <w:tcPr>
            <w:tcW w:w="1183" w:type="dxa"/>
            <w:tcBorders>
              <w:top w:val="nil"/>
              <w:left w:val="nil"/>
              <w:bottom w:val="single" w:sz="4" w:space="0" w:color="auto"/>
              <w:right w:val="single" w:sz="4" w:space="0" w:color="auto"/>
            </w:tcBorders>
            <w:shd w:val="clear" w:color="000000" w:fill="FFFFFF"/>
          </w:tcPr>
          <w:p w14:paraId="12DEA2D2"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2 348,30</w:t>
            </w:r>
          </w:p>
        </w:tc>
        <w:tc>
          <w:tcPr>
            <w:tcW w:w="960" w:type="dxa"/>
            <w:tcBorders>
              <w:top w:val="nil"/>
              <w:left w:val="nil"/>
              <w:bottom w:val="single" w:sz="4" w:space="0" w:color="auto"/>
              <w:right w:val="single" w:sz="4" w:space="0" w:color="auto"/>
            </w:tcBorders>
            <w:shd w:val="clear" w:color="000000" w:fill="FFFFFF"/>
          </w:tcPr>
          <w:p w14:paraId="02190CAA" w14:textId="77777777" w:rsidR="0006322E" w:rsidRPr="00E47AA9" w:rsidRDefault="0006322E" w:rsidP="00F77241">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98,09</w:t>
            </w:r>
          </w:p>
        </w:tc>
      </w:tr>
    </w:tbl>
    <w:p w14:paraId="3745D5B5" w14:textId="77777777" w:rsidR="0006322E" w:rsidRPr="00E47AA9" w:rsidRDefault="0006322E" w:rsidP="0006322E">
      <w:pPr>
        <w:autoSpaceDE w:val="0"/>
        <w:autoSpaceDN w:val="0"/>
        <w:adjustRightInd w:val="0"/>
        <w:spacing w:after="0" w:line="240" w:lineRule="auto"/>
        <w:ind w:firstLine="709"/>
        <w:jc w:val="both"/>
        <w:rPr>
          <w:rFonts w:ascii="Times New Roman" w:eastAsia="Calibri" w:hAnsi="Times New Roman" w:cs="Times New Roman"/>
          <w:sz w:val="28"/>
          <w:szCs w:val="28"/>
          <w:shd w:val="clear" w:color="auto" w:fill="FFFFFF"/>
        </w:rPr>
      </w:pPr>
    </w:p>
    <w:p w14:paraId="32B92C69" w14:textId="77777777" w:rsidR="00296884" w:rsidRPr="00E47AA9" w:rsidRDefault="00296884" w:rsidP="00296884">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В соответствии со Сводным годовым докладом:</w:t>
      </w:r>
    </w:p>
    <w:p w14:paraId="664FA666" w14:textId="258B88C0" w:rsidR="00296884" w:rsidRPr="00E47AA9" w:rsidRDefault="00296884" w:rsidP="0029688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из 72 мероприятий государственной программы, запланированн</w:t>
      </w:r>
      <w:r w:rsidR="00E0556A" w:rsidRPr="00E47AA9">
        <w:rPr>
          <w:rFonts w:ascii="Times New Roman" w:hAnsi="Times New Roman" w:cs="Times New Roman"/>
          <w:sz w:val="28"/>
          <w:szCs w:val="28"/>
        </w:rPr>
        <w:t>ых</w:t>
      </w:r>
      <w:r w:rsidRPr="00E47AA9">
        <w:rPr>
          <w:rFonts w:ascii="Times New Roman" w:hAnsi="Times New Roman" w:cs="Times New Roman"/>
          <w:sz w:val="28"/>
          <w:szCs w:val="28"/>
        </w:rPr>
        <w:t xml:space="preserve"> к выполнению в 2024 году, выполнены в полном объеме 54 мероприятия, </w:t>
      </w:r>
      <w:r w:rsidR="000C5A09" w:rsidRPr="00E47AA9">
        <w:rPr>
          <w:rFonts w:ascii="Times New Roman" w:hAnsi="Times New Roman" w:cs="Times New Roman"/>
          <w:sz w:val="28"/>
          <w:szCs w:val="28"/>
        </w:rPr>
        <w:br/>
      </w:r>
      <w:r w:rsidRPr="00E47AA9">
        <w:rPr>
          <w:rFonts w:ascii="Times New Roman" w:hAnsi="Times New Roman" w:cs="Times New Roman"/>
          <w:sz w:val="28"/>
          <w:szCs w:val="28"/>
        </w:rPr>
        <w:t>8 мероприятий выполнено не в полном объеме, 10 мероприятий не выполнено;</w:t>
      </w:r>
    </w:p>
    <w:p w14:paraId="3870D855" w14:textId="704E1112" w:rsidR="00296884" w:rsidRPr="00E47AA9" w:rsidRDefault="00296884" w:rsidP="00296884">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из 57 показателей государственной программы 36 достигли планового значения, 14 показателей достигнуты не в полном объеме, 7 показателей </w:t>
      </w:r>
      <w:r w:rsidR="000C5A09" w:rsidRPr="00E47AA9">
        <w:rPr>
          <w:rFonts w:ascii="Times New Roman" w:eastAsia="Times New Roman" w:hAnsi="Times New Roman" w:cs="Times New Roman"/>
          <w:sz w:val="28"/>
          <w:szCs w:val="28"/>
          <w:lang w:eastAsia="ru-RU"/>
        </w:rPr>
        <w:br/>
      </w:r>
      <w:r w:rsidRPr="00E47AA9">
        <w:rPr>
          <w:rFonts w:ascii="Times New Roman" w:eastAsia="Times New Roman" w:hAnsi="Times New Roman" w:cs="Times New Roman"/>
          <w:sz w:val="28"/>
          <w:szCs w:val="28"/>
          <w:lang w:eastAsia="ru-RU"/>
        </w:rPr>
        <w:t>не достигнуты;</w:t>
      </w:r>
    </w:p>
    <w:p w14:paraId="63E6CF78" w14:textId="64ED9F53" w:rsidR="00296884" w:rsidRPr="00E47AA9" w:rsidRDefault="00296884" w:rsidP="00296884">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эффективность реализации государственной программы составила 85,3</w:t>
      </w:r>
      <w:r w:rsidR="00E0556A"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(ни</w:t>
      </w:r>
      <w:r w:rsidR="00AA6DE5" w:rsidRPr="00E47AA9">
        <w:rPr>
          <w:rFonts w:ascii="Times New Roman" w:eastAsia="Times New Roman" w:hAnsi="Times New Roman" w:cs="Times New Roman"/>
          <w:sz w:val="28"/>
          <w:szCs w:val="28"/>
          <w:lang w:eastAsia="ru-RU"/>
        </w:rPr>
        <w:t>зкая</w:t>
      </w:r>
      <w:r w:rsidRPr="00E47AA9">
        <w:rPr>
          <w:rFonts w:ascii="Times New Roman" w:eastAsia="Times New Roman" w:hAnsi="Times New Roman" w:cs="Times New Roman"/>
          <w:sz w:val="28"/>
          <w:szCs w:val="28"/>
          <w:lang w:eastAsia="ru-RU"/>
        </w:rPr>
        <w:t>).</w:t>
      </w:r>
    </w:p>
    <w:p w14:paraId="0D246217" w14:textId="77777777" w:rsidR="0006322E" w:rsidRPr="00E47AA9" w:rsidRDefault="0006322E" w:rsidP="0006322E">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Подпрограмма "Обеспечение жильем отдельных категорий граждан Приморского края"</w:t>
      </w:r>
      <w:r w:rsidRPr="00E47AA9">
        <w:rPr>
          <w:rFonts w:ascii="Times New Roman" w:eastAsia="Times New Roman" w:hAnsi="Times New Roman" w:cs="Times New Roman"/>
          <w:sz w:val="28"/>
          <w:szCs w:val="28"/>
          <w:lang w:eastAsia="ru-RU"/>
        </w:rPr>
        <w:t xml:space="preserve"> </w:t>
      </w:r>
    </w:p>
    <w:p w14:paraId="47D3BDF5" w14:textId="77777777" w:rsidR="0006322E" w:rsidRPr="00E47AA9" w:rsidRDefault="0006322E" w:rsidP="0006322E">
      <w:pPr>
        <w:spacing w:after="0" w:line="240" w:lineRule="auto"/>
        <w:ind w:firstLine="709"/>
        <w:jc w:val="both"/>
        <w:rPr>
          <w:rFonts w:ascii="Times New Roman" w:eastAsia="Calibri" w:hAnsi="Times New Roman" w:cs="Times New Roman"/>
          <w:i/>
          <w:sz w:val="28"/>
          <w:szCs w:val="28"/>
        </w:rPr>
      </w:pPr>
      <w:r w:rsidRPr="00E47AA9">
        <w:rPr>
          <w:rFonts w:ascii="Times New Roman" w:eastAsia="Calibri" w:hAnsi="Times New Roman" w:cs="Times New Roman"/>
          <w:sz w:val="28"/>
          <w:szCs w:val="28"/>
        </w:rPr>
        <w:t xml:space="preserve">Реализация подпрограммы </w:t>
      </w:r>
      <w:r w:rsidRPr="00E47AA9">
        <w:rPr>
          <w:rFonts w:ascii="Times New Roman" w:eastAsia="Times New Roman" w:hAnsi="Times New Roman" w:cs="Times New Roman"/>
          <w:sz w:val="28"/>
          <w:szCs w:val="28"/>
          <w:lang w:eastAsia="ru-RU"/>
        </w:rPr>
        <w:t xml:space="preserve">по </w:t>
      </w:r>
      <w:r w:rsidRPr="00E47AA9">
        <w:rPr>
          <w:rFonts w:ascii="Times New Roman" w:eastAsia="Times New Roman" w:hAnsi="Times New Roman" w:cs="Times New Roman"/>
          <w:i/>
          <w:sz w:val="28"/>
          <w:szCs w:val="28"/>
          <w:lang w:eastAsia="ru-RU"/>
        </w:rPr>
        <w:t>комплексам процессных мероприятий</w:t>
      </w:r>
      <w:r w:rsidRPr="00E47AA9">
        <w:rPr>
          <w:rFonts w:ascii="Times New Roman" w:eastAsia="Calibri" w:hAnsi="Times New Roman" w:cs="Times New Roman"/>
          <w:sz w:val="28"/>
          <w:szCs w:val="28"/>
        </w:rPr>
        <w:t xml:space="preserve"> сложилась следующим образом</w:t>
      </w:r>
      <w:r w:rsidRPr="00E47AA9">
        <w:rPr>
          <w:rFonts w:ascii="Times New Roman" w:eastAsia="Times New Roman" w:hAnsi="Times New Roman" w:cs="Times New Roman"/>
          <w:sz w:val="28"/>
          <w:szCs w:val="28"/>
          <w:lang w:eastAsia="ru-RU"/>
        </w:rPr>
        <w:t>:</w:t>
      </w:r>
    </w:p>
    <w:p w14:paraId="212B4349" w14:textId="77777777" w:rsidR="0006322E" w:rsidRPr="00E47AA9" w:rsidRDefault="0006322E" w:rsidP="0006322E">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"Реализация мероприятий по обеспечению жильем отдельных категорий граждан"</w:t>
      </w:r>
      <w:r w:rsidRPr="00E47AA9">
        <w:rPr>
          <w:rFonts w:ascii="Times New Roman" w:eastAsia="Times New Roman" w:hAnsi="Times New Roman" w:cs="Times New Roman"/>
          <w:sz w:val="28"/>
          <w:szCs w:val="28"/>
          <w:lang w:eastAsia="ru-RU"/>
        </w:rPr>
        <w:t xml:space="preserve"> – 4512,48 млн рублей, или 99,94 % (4515,25 млн рублей), в том числе:</w:t>
      </w:r>
    </w:p>
    <w:p w14:paraId="13C114D9" w14:textId="77777777" w:rsidR="0006322E" w:rsidRPr="00E47AA9" w:rsidRDefault="0006322E" w:rsidP="0006322E">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sz w:val="28"/>
          <w:szCs w:val="28"/>
        </w:rPr>
        <w:t>в запланированном объеме:</w:t>
      </w:r>
    </w:p>
    <w:p w14:paraId="71498DB0" w14:textId="77777777" w:rsidR="0006322E" w:rsidRPr="00E47AA9" w:rsidRDefault="00B124B6" w:rsidP="0006322E">
      <w:pPr>
        <w:spacing w:after="0" w:line="240" w:lineRule="auto"/>
        <w:ind w:firstLine="709"/>
        <w:jc w:val="both"/>
        <w:rPr>
          <w:rFonts w:ascii="Times New Roman" w:hAnsi="Times New Roman" w:cs="Times New Roman"/>
          <w:sz w:val="28"/>
          <w:szCs w:val="28"/>
        </w:rPr>
      </w:pPr>
      <w:r w:rsidRPr="00E47AA9">
        <w:rPr>
          <w:rFonts w:ascii="Times New Roman" w:eastAsia="Calibri" w:hAnsi="Times New Roman" w:cs="Times New Roman"/>
          <w:sz w:val="28"/>
          <w:szCs w:val="28"/>
        </w:rPr>
        <w:t>субвенции –</w:t>
      </w:r>
      <w:r w:rsidR="0006322E" w:rsidRPr="00E47AA9">
        <w:rPr>
          <w:rFonts w:ascii="Times New Roman" w:eastAsia="Calibri" w:hAnsi="Times New Roman" w:cs="Times New Roman"/>
          <w:sz w:val="28"/>
          <w:szCs w:val="28"/>
        </w:rPr>
        <w:t xml:space="preserve"> 2,56 млн рублей </w:t>
      </w:r>
      <w:r w:rsidR="0006322E" w:rsidRPr="00E47AA9">
        <w:rPr>
          <w:rFonts w:ascii="Times New Roman" w:hAnsi="Times New Roman" w:cs="Times New Roman"/>
          <w:sz w:val="28"/>
          <w:szCs w:val="28"/>
        </w:rPr>
        <w:t>на регистрацию и учет граждан, имеющих право на получение жилищных субсидий в связи с переселением из районов Крайнего Севера и приравненных к ним местностей. Количество поставленных на учет граждан в 2024 году состав</w:t>
      </w:r>
      <w:r w:rsidRPr="00E47AA9">
        <w:rPr>
          <w:rFonts w:ascii="Times New Roman" w:hAnsi="Times New Roman" w:cs="Times New Roman"/>
          <w:sz w:val="28"/>
          <w:szCs w:val="28"/>
        </w:rPr>
        <w:t>и</w:t>
      </w:r>
      <w:r w:rsidR="0006322E" w:rsidRPr="00E47AA9">
        <w:rPr>
          <w:rFonts w:ascii="Times New Roman" w:hAnsi="Times New Roman" w:cs="Times New Roman"/>
          <w:sz w:val="28"/>
          <w:szCs w:val="28"/>
        </w:rPr>
        <w:t>л</w:t>
      </w:r>
      <w:r w:rsidRPr="00E47AA9">
        <w:rPr>
          <w:rFonts w:ascii="Times New Roman" w:hAnsi="Times New Roman" w:cs="Times New Roman"/>
          <w:sz w:val="28"/>
          <w:szCs w:val="28"/>
        </w:rPr>
        <w:t>о</w:t>
      </w:r>
      <w:r w:rsidR="0006322E" w:rsidRPr="00E47AA9">
        <w:rPr>
          <w:rFonts w:ascii="Times New Roman" w:hAnsi="Times New Roman" w:cs="Times New Roman"/>
          <w:sz w:val="28"/>
          <w:szCs w:val="28"/>
        </w:rPr>
        <w:t xml:space="preserve"> 68 человек. Целевой показатель данного мероприятия "Количество граждан, имеющих право на получение жилищных субсидий в связи с переселением из районов Крайнего Севера и приравненных к ним местностей, поставленных на учет" – 10 человек ежегодно, достигнут;</w:t>
      </w:r>
    </w:p>
    <w:p w14:paraId="2DCD965E" w14:textId="069E53BE" w:rsidR="0006322E" w:rsidRPr="00E47AA9" w:rsidRDefault="0006322E" w:rsidP="0006322E">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субсидии АО "Корпорация развития жилищного строительства" в целях обеспечения отдельных категорий граждан жильем – 9,92 млн рублей, или 78,20 % (12,69 млн рублей). В 2024 году за счет средств федерального бюджета направлено на выплату ежемесячных арендных платежей – 9,69 млн рублей, или 99,28 % (9,76 млн рублей), за счет средств краевого бюджета – 0,23 млн рублей (2,92 млн рублей). Произведены все прочие платежи (налог на имущество, арендная плата и оплата коммунальных платежей за жилые помещения, не предоставленные в аренду, затраты на эксплуатационные расходы по содержанию жилых помещений. Не исполнено за 2024 год 2,77 млн рублей по причине отсутствия заключенных договоров субаренды по трём квартирам в течени</w:t>
      </w:r>
      <w:r w:rsidR="00E30D15" w:rsidRPr="00E47AA9">
        <w:rPr>
          <w:rFonts w:ascii="Times New Roman" w:hAnsi="Times New Roman" w:cs="Times New Roman"/>
          <w:sz w:val="28"/>
          <w:szCs w:val="28"/>
        </w:rPr>
        <w:t>е</w:t>
      </w:r>
      <w:r w:rsidRPr="00E47AA9">
        <w:rPr>
          <w:rFonts w:ascii="Times New Roman" w:hAnsi="Times New Roman" w:cs="Times New Roman"/>
          <w:sz w:val="28"/>
          <w:szCs w:val="28"/>
        </w:rPr>
        <w:t xml:space="preserve"> двух месяцев, в момент подбора новых субарендаторов; </w:t>
      </w:r>
    </w:p>
    <w:p w14:paraId="430E70AF" w14:textId="3294CDFB" w:rsidR="0006322E" w:rsidRPr="00E47AA9" w:rsidRDefault="0006322E" w:rsidP="0006322E">
      <w:pPr>
        <w:pStyle w:val="Default"/>
        <w:ind w:firstLine="709"/>
        <w:jc w:val="both"/>
        <w:rPr>
          <w:color w:val="auto"/>
          <w:sz w:val="28"/>
          <w:szCs w:val="28"/>
        </w:rPr>
      </w:pPr>
      <w:r w:rsidRPr="00E47AA9">
        <w:rPr>
          <w:color w:val="auto"/>
          <w:sz w:val="28"/>
          <w:szCs w:val="28"/>
        </w:rPr>
        <w:lastRenderedPageBreak/>
        <w:t xml:space="preserve">бюджетные инвестиции АО "Корпорация развития жилищного строительства" (далее </w:t>
      </w:r>
      <w:r w:rsidR="008C0854" w:rsidRPr="00E47AA9">
        <w:rPr>
          <w:color w:val="auto"/>
          <w:sz w:val="28"/>
          <w:szCs w:val="28"/>
        </w:rPr>
        <w:t>–</w:t>
      </w:r>
      <w:r w:rsidRPr="00E47AA9">
        <w:rPr>
          <w:color w:val="auto"/>
          <w:sz w:val="28"/>
          <w:szCs w:val="28"/>
        </w:rPr>
        <w:t xml:space="preserve"> АО "КРЖС") для формирования рынка доступного жилья – 4500,00 млн рублей на проведение </w:t>
      </w:r>
      <w:proofErr w:type="spellStart"/>
      <w:r w:rsidRPr="00E47AA9">
        <w:rPr>
          <w:color w:val="auto"/>
          <w:sz w:val="28"/>
          <w:szCs w:val="28"/>
        </w:rPr>
        <w:t>докапитализации</w:t>
      </w:r>
      <w:proofErr w:type="spellEnd"/>
      <w:r w:rsidRPr="00E47AA9">
        <w:rPr>
          <w:color w:val="auto"/>
          <w:sz w:val="28"/>
          <w:szCs w:val="28"/>
        </w:rPr>
        <w:t xml:space="preserve"> АО</w:t>
      </w:r>
      <w:r w:rsidR="00B4605D" w:rsidRPr="00E47AA9">
        <w:rPr>
          <w:color w:val="auto"/>
          <w:sz w:val="28"/>
          <w:szCs w:val="28"/>
        </w:rPr>
        <w:t xml:space="preserve"> "КРЖС",</w:t>
      </w:r>
      <w:r w:rsidRPr="00E47AA9">
        <w:rPr>
          <w:color w:val="auto"/>
          <w:sz w:val="28"/>
          <w:szCs w:val="28"/>
        </w:rPr>
        <w:t xml:space="preserve"> </w:t>
      </w:r>
      <w:r w:rsidR="00B4605D" w:rsidRPr="00E47AA9">
        <w:rPr>
          <w:color w:val="auto"/>
          <w:sz w:val="28"/>
          <w:szCs w:val="28"/>
        </w:rPr>
        <w:t>в</w:t>
      </w:r>
      <w:r w:rsidRPr="00E47AA9">
        <w:rPr>
          <w:color w:val="auto"/>
          <w:sz w:val="28"/>
          <w:szCs w:val="28"/>
        </w:rPr>
        <w:t xml:space="preserve"> собственность Приморского края приобретено 4500 тысяч акций. Показатель по данному мероприятию "Формирование (развитие) рынка арендного жилья для отдельных категорий граждан на территории Приморского края" перевыполнен в связи с завершением строительства многоквартирных домов (далее – МКД) в г. Владивостоке на 439 квартир</w:t>
      </w:r>
      <w:r w:rsidRPr="00E47AA9">
        <w:rPr>
          <w:rStyle w:val="a8"/>
          <w:color w:val="auto"/>
          <w:sz w:val="28"/>
          <w:szCs w:val="28"/>
        </w:rPr>
        <w:footnoteReference w:id="47"/>
      </w:r>
      <w:r w:rsidRPr="00E47AA9">
        <w:rPr>
          <w:color w:val="auto"/>
          <w:sz w:val="28"/>
          <w:szCs w:val="28"/>
        </w:rPr>
        <w:t xml:space="preserve"> (план на 2024 год </w:t>
      </w:r>
      <w:r w:rsidR="008C0854" w:rsidRPr="00E47AA9">
        <w:rPr>
          <w:color w:val="auto"/>
          <w:sz w:val="28"/>
          <w:szCs w:val="28"/>
        </w:rPr>
        <w:t>–</w:t>
      </w:r>
      <w:r w:rsidRPr="00E47AA9">
        <w:rPr>
          <w:color w:val="auto"/>
          <w:sz w:val="28"/>
          <w:szCs w:val="28"/>
        </w:rPr>
        <w:t xml:space="preserve"> 420</w:t>
      </w:r>
      <w:r w:rsidR="008C0854" w:rsidRPr="00E47AA9">
        <w:rPr>
          <w:color w:val="auto"/>
          <w:sz w:val="28"/>
          <w:szCs w:val="28"/>
        </w:rPr>
        <w:t> </w:t>
      </w:r>
      <w:r w:rsidRPr="00E47AA9">
        <w:rPr>
          <w:color w:val="auto"/>
          <w:sz w:val="28"/>
          <w:szCs w:val="28"/>
        </w:rPr>
        <w:t xml:space="preserve">квартир). </w:t>
      </w:r>
    </w:p>
    <w:p w14:paraId="1C05CFEE" w14:textId="77777777" w:rsidR="0006322E" w:rsidRPr="00E47AA9" w:rsidRDefault="0006322E" w:rsidP="0006322E">
      <w:pPr>
        <w:pStyle w:val="Default"/>
        <w:ind w:firstLine="709"/>
        <w:jc w:val="both"/>
        <w:rPr>
          <w:color w:val="auto"/>
          <w:sz w:val="28"/>
          <w:szCs w:val="28"/>
        </w:rPr>
      </w:pPr>
      <w:r w:rsidRPr="00E47AA9">
        <w:rPr>
          <w:color w:val="auto"/>
          <w:sz w:val="28"/>
          <w:szCs w:val="28"/>
        </w:rPr>
        <w:t xml:space="preserve">Анализируя исполнение показателей данной подпрограммы, необходимо отметить, что реализация программы "Арендное жилье" осуществляется АО "КРЖС" согласно собранной с 2019 года потребности по Приморскому краю </w:t>
      </w:r>
      <w:r w:rsidR="008C0854" w:rsidRPr="00E47AA9">
        <w:rPr>
          <w:color w:val="auto"/>
          <w:sz w:val="28"/>
          <w:szCs w:val="28"/>
        </w:rPr>
        <w:t>–</w:t>
      </w:r>
      <w:r w:rsidRPr="00E47AA9">
        <w:rPr>
          <w:color w:val="auto"/>
          <w:sz w:val="28"/>
          <w:szCs w:val="28"/>
        </w:rPr>
        <w:t xml:space="preserve"> более 8500 квартир. За период с 2019 года на территории края силами АО "КРЖС" возведено 19 МКД (2084 квартиры) общей площадью более 115 тыс. кв. м</w:t>
      </w:r>
      <w:r w:rsidRPr="00E47AA9">
        <w:rPr>
          <w:rStyle w:val="a8"/>
          <w:color w:val="auto"/>
          <w:sz w:val="28"/>
          <w:szCs w:val="28"/>
        </w:rPr>
        <w:footnoteReference w:id="48"/>
      </w:r>
      <w:r w:rsidRPr="00E47AA9">
        <w:rPr>
          <w:color w:val="auto"/>
          <w:sz w:val="28"/>
          <w:szCs w:val="28"/>
        </w:rPr>
        <w:t>. В долгосрочной перспективе с ориентировочным сроком реализации проектов с 2025 по 2028 год планируется ввод еще 2078 квартир, в том числе до конца 2025 года планируется ввод 654 квартир</w:t>
      </w:r>
      <w:r w:rsidRPr="00E47AA9">
        <w:rPr>
          <w:rStyle w:val="a8"/>
          <w:color w:val="auto"/>
          <w:sz w:val="28"/>
          <w:szCs w:val="28"/>
        </w:rPr>
        <w:footnoteReference w:id="49"/>
      </w:r>
      <w:r w:rsidRPr="00E47AA9">
        <w:rPr>
          <w:color w:val="auto"/>
          <w:sz w:val="28"/>
          <w:szCs w:val="28"/>
        </w:rPr>
        <w:t xml:space="preserve"> в шести муниципальных образованиях.</w:t>
      </w:r>
    </w:p>
    <w:p w14:paraId="26069596" w14:textId="77777777" w:rsidR="0006322E" w:rsidRPr="00E47AA9" w:rsidRDefault="0006322E" w:rsidP="0006322E">
      <w:pPr>
        <w:pStyle w:val="Default"/>
        <w:ind w:firstLine="709"/>
        <w:jc w:val="both"/>
        <w:rPr>
          <w:color w:val="auto"/>
          <w:sz w:val="28"/>
          <w:szCs w:val="28"/>
        </w:rPr>
      </w:pPr>
      <w:r w:rsidRPr="00E47AA9">
        <w:rPr>
          <w:bCs/>
          <w:color w:val="auto"/>
          <w:sz w:val="28"/>
          <w:szCs w:val="28"/>
        </w:rPr>
        <w:t xml:space="preserve">В 2024 году утверждено и реализуется </w:t>
      </w:r>
      <w:r w:rsidRPr="00E47AA9">
        <w:rPr>
          <w:color w:val="auto"/>
          <w:sz w:val="28"/>
          <w:szCs w:val="28"/>
        </w:rPr>
        <w:t>постановление Правительства Приморского края от 15.11.2024 № 782-пп</w:t>
      </w:r>
      <w:r w:rsidRPr="00E47AA9">
        <w:rPr>
          <w:rStyle w:val="a8"/>
          <w:color w:val="auto"/>
          <w:sz w:val="28"/>
          <w:szCs w:val="28"/>
        </w:rPr>
        <w:footnoteReference w:id="50"/>
      </w:r>
      <w:r w:rsidRPr="00E47AA9">
        <w:rPr>
          <w:color w:val="auto"/>
          <w:sz w:val="28"/>
          <w:szCs w:val="28"/>
        </w:rPr>
        <w:t>, которым определены категории граждан, имеющих право на заключение договора субаренды жилого помещения и утвержден Порядок предоставления жилых помещений на условиях субаренды. Для реализации программы на территории края приобретены 42 квартиры, расположенные по адресу: Приморский край, г.</w:t>
      </w:r>
      <w:r w:rsidR="008C0854" w:rsidRPr="00E47AA9">
        <w:rPr>
          <w:color w:val="auto"/>
          <w:sz w:val="28"/>
          <w:szCs w:val="28"/>
        </w:rPr>
        <w:t> </w:t>
      </w:r>
      <w:r w:rsidRPr="00E47AA9">
        <w:rPr>
          <w:color w:val="auto"/>
          <w:sz w:val="28"/>
          <w:szCs w:val="28"/>
        </w:rPr>
        <w:t>Владивосток, ул. Сочинская, д. 9, д. 11, которые по состоянию на 01.04.2025 заселены в полном объеме.</w:t>
      </w:r>
    </w:p>
    <w:p w14:paraId="65A550D7" w14:textId="7699A39B" w:rsidR="0006322E" w:rsidRPr="00E47AA9" w:rsidRDefault="0006322E" w:rsidP="0006322E">
      <w:pPr>
        <w:pStyle w:val="Default"/>
        <w:ind w:firstLine="709"/>
        <w:jc w:val="both"/>
        <w:rPr>
          <w:color w:val="auto"/>
          <w:sz w:val="28"/>
          <w:szCs w:val="28"/>
        </w:rPr>
      </w:pPr>
      <w:r w:rsidRPr="00E47AA9">
        <w:rPr>
          <w:color w:val="auto"/>
          <w:sz w:val="28"/>
          <w:szCs w:val="28"/>
        </w:rPr>
        <w:t xml:space="preserve">Стоит отметить, что затруднено предоставление земельных участков без проведения торгов из-за отсутствия решения о соответствии проектов критериям, предусмотренным </w:t>
      </w:r>
      <w:r w:rsidR="0016165F" w:rsidRPr="00E47AA9">
        <w:rPr>
          <w:color w:val="auto"/>
          <w:sz w:val="28"/>
          <w:szCs w:val="28"/>
        </w:rPr>
        <w:t>пунктом</w:t>
      </w:r>
      <w:r w:rsidRPr="00E47AA9">
        <w:rPr>
          <w:color w:val="auto"/>
          <w:sz w:val="28"/>
          <w:szCs w:val="28"/>
        </w:rPr>
        <w:t xml:space="preserve"> 3 </w:t>
      </w:r>
      <w:r w:rsidR="0016165F" w:rsidRPr="00E47AA9">
        <w:rPr>
          <w:color w:val="auto"/>
          <w:sz w:val="28"/>
          <w:szCs w:val="28"/>
        </w:rPr>
        <w:t>части</w:t>
      </w:r>
      <w:r w:rsidRPr="00E47AA9">
        <w:rPr>
          <w:color w:val="auto"/>
          <w:sz w:val="28"/>
          <w:szCs w:val="28"/>
        </w:rPr>
        <w:t xml:space="preserve"> 2 (2) статьи 14 Закона Приморского края от 29.12.2003 № 90-КЗ "О регулировании земельных отношений", что задерживает реализацию важных инвестиционных проектов жилищного строительства. </w:t>
      </w:r>
      <w:proofErr w:type="gramStart"/>
      <w:r w:rsidRPr="00E47AA9">
        <w:rPr>
          <w:color w:val="auto"/>
          <w:sz w:val="28"/>
          <w:szCs w:val="28"/>
        </w:rPr>
        <w:t>Например</w:t>
      </w:r>
      <w:proofErr w:type="gramEnd"/>
      <w:r w:rsidRPr="00E47AA9">
        <w:rPr>
          <w:color w:val="auto"/>
          <w:sz w:val="28"/>
          <w:szCs w:val="28"/>
        </w:rPr>
        <w:t xml:space="preserve">: </w:t>
      </w:r>
    </w:p>
    <w:p w14:paraId="121B2E89" w14:textId="77777777" w:rsidR="0006322E" w:rsidRPr="00E47AA9" w:rsidRDefault="0006322E" w:rsidP="0006322E">
      <w:pPr>
        <w:pStyle w:val="Default"/>
        <w:ind w:firstLine="709"/>
        <w:jc w:val="both"/>
        <w:rPr>
          <w:color w:val="auto"/>
          <w:sz w:val="28"/>
          <w:szCs w:val="28"/>
        </w:rPr>
      </w:pPr>
      <w:r w:rsidRPr="00E47AA9">
        <w:rPr>
          <w:color w:val="auto"/>
          <w:sz w:val="28"/>
          <w:szCs w:val="28"/>
        </w:rPr>
        <w:t>проект строительства многоквартирного жилого дома по адресу: Приморский край, Партизанский район, с. Владимиро-Александровское, ул.</w:t>
      </w:r>
      <w:r w:rsidR="008C0854" w:rsidRPr="00E47AA9">
        <w:rPr>
          <w:color w:val="auto"/>
          <w:sz w:val="28"/>
          <w:szCs w:val="28"/>
        </w:rPr>
        <w:t> </w:t>
      </w:r>
      <w:r w:rsidRPr="00E47AA9">
        <w:rPr>
          <w:color w:val="auto"/>
          <w:sz w:val="28"/>
          <w:szCs w:val="28"/>
        </w:rPr>
        <w:t xml:space="preserve">Кости Рослого, д. 55а (30.07.2024 в уполномоченный орган направлено </w:t>
      </w:r>
      <w:r w:rsidRPr="00E47AA9">
        <w:rPr>
          <w:color w:val="auto"/>
          <w:sz w:val="28"/>
          <w:szCs w:val="28"/>
        </w:rPr>
        <w:lastRenderedPageBreak/>
        <w:t>заявление о признании проекта соответствующим или несоответствующим критериям);</w:t>
      </w:r>
    </w:p>
    <w:p w14:paraId="37D4FCDC" w14:textId="77777777" w:rsidR="0006322E" w:rsidRPr="00E47AA9" w:rsidRDefault="0006322E" w:rsidP="0006322E">
      <w:pPr>
        <w:pStyle w:val="Default"/>
        <w:ind w:firstLine="709"/>
        <w:jc w:val="both"/>
        <w:rPr>
          <w:color w:val="auto"/>
          <w:sz w:val="28"/>
          <w:szCs w:val="28"/>
        </w:rPr>
      </w:pPr>
      <w:r w:rsidRPr="00E47AA9">
        <w:rPr>
          <w:color w:val="auto"/>
          <w:sz w:val="28"/>
          <w:szCs w:val="28"/>
        </w:rPr>
        <w:t xml:space="preserve">проект застройки малоэтажными многоквартирными жилыми домами по адресу: Приморский край, </w:t>
      </w:r>
      <w:proofErr w:type="spellStart"/>
      <w:r w:rsidRPr="00E47AA9">
        <w:rPr>
          <w:color w:val="auto"/>
          <w:sz w:val="28"/>
          <w:szCs w:val="28"/>
        </w:rPr>
        <w:t>Хасанский</w:t>
      </w:r>
      <w:proofErr w:type="spellEnd"/>
      <w:r w:rsidRPr="00E47AA9">
        <w:rPr>
          <w:color w:val="auto"/>
          <w:sz w:val="28"/>
          <w:szCs w:val="28"/>
        </w:rPr>
        <w:t xml:space="preserve"> муниципальный округ, пгт.</w:t>
      </w:r>
      <w:r w:rsidR="008C0854" w:rsidRPr="00E47AA9">
        <w:rPr>
          <w:color w:val="auto"/>
          <w:sz w:val="28"/>
          <w:szCs w:val="28"/>
        </w:rPr>
        <w:t> </w:t>
      </w:r>
      <w:r w:rsidRPr="00E47AA9">
        <w:rPr>
          <w:color w:val="auto"/>
          <w:sz w:val="28"/>
          <w:szCs w:val="28"/>
        </w:rPr>
        <w:t>Краскино, ул. Ленина, д. 40 (26.12.2024).</w:t>
      </w:r>
    </w:p>
    <w:p w14:paraId="00F55B84" w14:textId="77777777" w:rsidR="0006322E" w:rsidRPr="00E47AA9" w:rsidRDefault="0006322E" w:rsidP="0006322E">
      <w:pPr>
        <w:pStyle w:val="Default"/>
        <w:ind w:firstLine="709"/>
        <w:jc w:val="both"/>
        <w:rPr>
          <w:color w:val="auto"/>
          <w:sz w:val="28"/>
          <w:szCs w:val="28"/>
        </w:rPr>
      </w:pPr>
      <w:r w:rsidRPr="00E47AA9">
        <w:rPr>
          <w:color w:val="auto"/>
          <w:sz w:val="28"/>
          <w:szCs w:val="28"/>
        </w:rPr>
        <w:t>Несмотря на достигнутые результаты</w:t>
      </w:r>
      <w:r w:rsidR="008C0854" w:rsidRPr="00E47AA9">
        <w:rPr>
          <w:color w:val="auto"/>
          <w:sz w:val="28"/>
          <w:szCs w:val="28"/>
        </w:rPr>
        <w:t>,</w:t>
      </w:r>
      <w:r w:rsidRPr="00E47AA9">
        <w:rPr>
          <w:color w:val="auto"/>
          <w:sz w:val="28"/>
          <w:szCs w:val="28"/>
        </w:rPr>
        <w:t xml:space="preserve"> программа "Арендное жилье" в Приморском крае нуждается в дополнительных мерах для достижения потребности (8500 квартир). Уполномоченным органам исполнительной власти необходимо ускорить процесс решения земельных вопросов для обеспечения своевременного ввода запланированного жилья. </w:t>
      </w:r>
    </w:p>
    <w:p w14:paraId="5FC49764" w14:textId="77777777" w:rsidR="0006322E" w:rsidRPr="00E47AA9" w:rsidRDefault="0006322E" w:rsidP="0006322E">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b/>
          <w:sz w:val="28"/>
          <w:szCs w:val="28"/>
          <w:lang w:eastAsia="ru-RU"/>
        </w:rPr>
        <w:t xml:space="preserve">Подпрограмма "Стимулирование развития жилищного строительства на территории Приморского края" </w:t>
      </w:r>
      <w:r w:rsidRPr="00E47AA9">
        <w:rPr>
          <w:rFonts w:ascii="Times New Roman" w:hAnsi="Times New Roman" w:cs="Times New Roman"/>
          <w:sz w:val="28"/>
          <w:szCs w:val="28"/>
        </w:rPr>
        <w:t xml:space="preserve">направлена на обеспечение населения благоустроенным жильем, в том числе стандартным жильем, отвечающим стандартам ценовой доступности, требованиям безопасности и </w:t>
      </w:r>
      <w:proofErr w:type="spellStart"/>
      <w:r w:rsidRPr="00E47AA9">
        <w:rPr>
          <w:rFonts w:ascii="Times New Roman" w:hAnsi="Times New Roman" w:cs="Times New Roman"/>
          <w:sz w:val="28"/>
          <w:szCs w:val="28"/>
        </w:rPr>
        <w:t>экологичности</w:t>
      </w:r>
      <w:proofErr w:type="spellEnd"/>
      <w:r w:rsidRPr="00E47AA9">
        <w:rPr>
          <w:rFonts w:ascii="Times New Roman" w:hAnsi="Times New Roman" w:cs="Times New Roman"/>
          <w:sz w:val="28"/>
          <w:szCs w:val="28"/>
        </w:rPr>
        <w:t>.</w:t>
      </w:r>
    </w:p>
    <w:p w14:paraId="13F0B943" w14:textId="77777777" w:rsidR="0006322E" w:rsidRPr="00E47AA9" w:rsidRDefault="0006322E" w:rsidP="0006322E">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lang w:eastAsia="ru-RU"/>
        </w:rPr>
        <w:t>И</w:t>
      </w:r>
      <w:r w:rsidRPr="00E47AA9">
        <w:rPr>
          <w:rFonts w:ascii="Times New Roman" w:eastAsia="Times New Roman" w:hAnsi="Times New Roman" w:cs="Times New Roman"/>
          <w:sz w:val="28"/>
          <w:szCs w:val="28"/>
        </w:rPr>
        <w:t xml:space="preserve">сполнение подпрограммы по </w:t>
      </w:r>
      <w:r w:rsidRPr="00E47AA9">
        <w:rPr>
          <w:rFonts w:ascii="Times New Roman" w:hAnsi="Times New Roman" w:cs="Times New Roman"/>
          <w:sz w:val="28"/>
          <w:szCs w:val="28"/>
        </w:rPr>
        <w:t>комплексам процессных мероприятий</w:t>
      </w:r>
      <w:r w:rsidRPr="00E47AA9">
        <w:rPr>
          <w:rFonts w:ascii="Times New Roman" w:hAnsi="Times New Roman" w:cs="Times New Roman"/>
          <w:b/>
          <w:i/>
          <w:sz w:val="28"/>
          <w:szCs w:val="28"/>
        </w:rPr>
        <w:t xml:space="preserve"> </w:t>
      </w:r>
      <w:r w:rsidRPr="00E47AA9">
        <w:rPr>
          <w:rFonts w:ascii="Times New Roman" w:eastAsia="Times New Roman" w:hAnsi="Times New Roman" w:cs="Times New Roman"/>
          <w:sz w:val="28"/>
          <w:szCs w:val="28"/>
        </w:rPr>
        <w:t>сложилось следующим образом.</w:t>
      </w:r>
    </w:p>
    <w:p w14:paraId="15000DCB" w14:textId="0B060E6B" w:rsidR="0006322E" w:rsidRPr="00E47AA9" w:rsidRDefault="0006322E" w:rsidP="0006322E">
      <w:pPr>
        <w:spacing w:after="0" w:line="240" w:lineRule="auto"/>
        <w:ind w:firstLine="709"/>
        <w:jc w:val="both"/>
        <w:rPr>
          <w:rFonts w:ascii="Times New Roman" w:eastAsia="Calibri" w:hAnsi="Times New Roman" w:cs="Times New Roman"/>
          <w:sz w:val="28"/>
          <w:szCs w:val="28"/>
          <w:shd w:val="clear" w:color="auto" w:fill="FFFFFF"/>
          <w:lang w:eastAsia="ru-RU" w:bidi="ru-RU"/>
        </w:rPr>
      </w:pPr>
      <w:r w:rsidRPr="00E47AA9">
        <w:rPr>
          <w:rFonts w:ascii="Times New Roman" w:hAnsi="Times New Roman" w:cs="Times New Roman"/>
          <w:sz w:val="28"/>
          <w:szCs w:val="28"/>
        </w:rPr>
        <w:t>На</w:t>
      </w:r>
      <w:r w:rsidRPr="00E47AA9">
        <w:rPr>
          <w:rFonts w:ascii="Times New Roman" w:hAnsi="Times New Roman" w:cs="Times New Roman"/>
          <w:i/>
          <w:sz w:val="28"/>
          <w:szCs w:val="28"/>
        </w:rPr>
        <w:t xml:space="preserve"> КПМ "Создание условий для развития жилищного строительства"</w:t>
      </w:r>
      <w:r w:rsidRPr="00E47AA9">
        <w:rPr>
          <w:rFonts w:ascii="Times New Roman" w:hAnsi="Times New Roman" w:cs="Times New Roman"/>
          <w:b/>
          <w:i/>
          <w:sz w:val="28"/>
          <w:szCs w:val="28"/>
        </w:rPr>
        <w:t xml:space="preserve"> </w:t>
      </w:r>
      <w:r w:rsidRPr="00E47AA9">
        <w:rPr>
          <w:rFonts w:ascii="Times New Roman" w:eastAsia="Calibri" w:hAnsi="Times New Roman" w:cs="Times New Roman"/>
          <w:sz w:val="28"/>
          <w:szCs w:val="28"/>
          <w:shd w:val="clear" w:color="auto" w:fill="FFFFFF"/>
          <w:lang w:eastAsia="ru-RU" w:bidi="ru-RU"/>
        </w:rPr>
        <w:t xml:space="preserve">направлено 977,75 млн рублей, или 68,62 % (план </w:t>
      </w:r>
      <w:r w:rsidR="00E0556A" w:rsidRPr="00E47AA9">
        <w:rPr>
          <w:rFonts w:ascii="Times New Roman" w:eastAsia="Calibri" w:hAnsi="Times New Roman" w:cs="Times New Roman"/>
          <w:sz w:val="28"/>
          <w:szCs w:val="28"/>
          <w:shd w:val="clear" w:color="auto" w:fill="FFFFFF"/>
          <w:lang w:eastAsia="ru-RU" w:bidi="ru-RU"/>
        </w:rPr>
        <w:t>–</w:t>
      </w:r>
      <w:r w:rsidRPr="00E47AA9">
        <w:rPr>
          <w:rFonts w:ascii="Times New Roman" w:eastAsia="Calibri" w:hAnsi="Times New Roman" w:cs="Times New Roman"/>
          <w:sz w:val="28"/>
          <w:szCs w:val="28"/>
          <w:shd w:val="clear" w:color="auto" w:fill="FFFFFF"/>
          <w:lang w:eastAsia="ru-RU" w:bidi="ru-RU"/>
        </w:rPr>
        <w:t>1424,84 млн рублей), в том числе:</w:t>
      </w:r>
    </w:p>
    <w:p w14:paraId="3E1DDF0A" w14:textId="203CCFF8" w:rsidR="0006322E" w:rsidRPr="00E47AA9" w:rsidRDefault="0006322E" w:rsidP="0006322E">
      <w:pPr>
        <w:autoSpaceDE w:val="0"/>
        <w:autoSpaceDN w:val="0"/>
        <w:adjustRightInd w:val="0"/>
        <w:spacing w:after="0" w:line="240" w:lineRule="auto"/>
        <w:ind w:firstLine="709"/>
        <w:jc w:val="both"/>
      </w:pPr>
      <w:r w:rsidRPr="00E47AA9">
        <w:rPr>
          <w:rFonts w:ascii="Times New Roman" w:eastAsia="Calibri" w:hAnsi="Times New Roman" w:cs="Times New Roman"/>
          <w:sz w:val="28"/>
          <w:szCs w:val="28"/>
        </w:rPr>
        <w:t xml:space="preserve">23,86 млн рублей </w:t>
      </w:r>
      <w:r w:rsidRPr="00E47AA9">
        <w:rPr>
          <w:rFonts w:ascii="Times New Roman" w:hAnsi="Times New Roman" w:cs="Times New Roman"/>
          <w:sz w:val="28"/>
          <w:szCs w:val="28"/>
        </w:rPr>
        <w:t xml:space="preserve">в полном объеме </w:t>
      </w:r>
      <w:r w:rsidR="00DB685B" w:rsidRPr="00E47AA9">
        <w:rPr>
          <w:rFonts w:ascii="Times New Roman" w:hAnsi="Times New Roman" w:cs="Times New Roman"/>
          <w:sz w:val="28"/>
          <w:szCs w:val="28"/>
        </w:rPr>
        <w:t>–</w:t>
      </w:r>
      <w:r w:rsidRPr="00E47AA9">
        <w:rPr>
          <w:rFonts w:ascii="Times New Roman" w:hAnsi="Times New Roman" w:cs="Times New Roman"/>
          <w:sz w:val="28"/>
          <w:szCs w:val="28"/>
        </w:rPr>
        <w:t xml:space="preserve"> </w:t>
      </w:r>
      <w:proofErr w:type="gramStart"/>
      <w:r w:rsidRPr="00E47AA9">
        <w:rPr>
          <w:rFonts w:ascii="Times New Roman" w:hAnsi="Times New Roman" w:cs="Times New Roman"/>
          <w:sz w:val="28"/>
          <w:szCs w:val="28"/>
        </w:rPr>
        <w:t>субсидии</w:t>
      </w:r>
      <w:proofErr w:type="gramEnd"/>
      <w:r w:rsidRPr="00E47AA9">
        <w:rPr>
          <w:rFonts w:ascii="Times New Roman" w:hAnsi="Times New Roman" w:cs="Times New Roman"/>
          <w:sz w:val="28"/>
          <w:szCs w:val="28"/>
        </w:rPr>
        <w:t xml:space="preserve"> НО "Фонд поддержки обманутых дольщиков Приморского края" </w:t>
      </w:r>
      <w:r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lang w:bidi="ru-RU"/>
        </w:rPr>
        <w:t xml:space="preserve">далее – Фонд) </w:t>
      </w:r>
      <w:r w:rsidRPr="00E47AA9">
        <w:rPr>
          <w:rFonts w:ascii="Times New Roman" w:hAnsi="Times New Roman" w:cs="Times New Roman"/>
          <w:sz w:val="28"/>
          <w:szCs w:val="28"/>
        </w:rPr>
        <w:t xml:space="preserve">в целях финансового обеспечения затрат на завершение строительства жилых комплексов и домов в Приморском крае. Расходы направлены </w:t>
      </w:r>
      <w:r w:rsidRPr="00E47AA9">
        <w:rPr>
          <w:rFonts w:ascii="Times New Roman" w:eastAsia="Calibri" w:hAnsi="Times New Roman" w:cs="Times New Roman"/>
          <w:sz w:val="28"/>
          <w:szCs w:val="28"/>
        </w:rPr>
        <w:t xml:space="preserve">в основном на </w:t>
      </w:r>
      <w:r w:rsidRPr="00E47AA9">
        <w:rPr>
          <w:rFonts w:ascii="Times New Roman" w:hAnsi="Times New Roman"/>
          <w:sz w:val="28"/>
          <w:szCs w:val="28"/>
        </w:rPr>
        <w:t>мероприятия по выполнению кадастровых работ в отношении проблемных объектов и мероприятий, связанных с вводом проблемных объектов в эксплуатацию</w:t>
      </w:r>
      <w:r w:rsidRPr="00E47AA9">
        <w:rPr>
          <w:rStyle w:val="a8"/>
          <w:rFonts w:ascii="Times New Roman" w:eastAsia="Calibri" w:hAnsi="Times New Roman"/>
          <w:sz w:val="28"/>
          <w:szCs w:val="28"/>
        </w:rPr>
        <w:footnoteReference w:id="51"/>
      </w:r>
      <w:r w:rsidRPr="00E47AA9">
        <w:rPr>
          <w:rFonts w:ascii="Times New Roman" w:hAnsi="Times New Roman"/>
          <w:sz w:val="28"/>
          <w:szCs w:val="28"/>
        </w:rPr>
        <w:t xml:space="preserve">. </w:t>
      </w:r>
      <w:r w:rsidRPr="00E47AA9">
        <w:rPr>
          <w:rFonts w:ascii="Times New Roman" w:hAnsi="Times New Roman" w:cs="Times New Roman"/>
          <w:sz w:val="28"/>
          <w:szCs w:val="28"/>
        </w:rPr>
        <w:t>Одним из результатов предоставления субсидии, установленный в паспорте ГП</w:t>
      </w:r>
      <w:r w:rsidR="00DB685B" w:rsidRPr="00E47AA9">
        <w:rPr>
          <w:rFonts w:ascii="Times New Roman" w:hAnsi="Times New Roman" w:cs="Times New Roman"/>
          <w:sz w:val="28"/>
          <w:szCs w:val="28"/>
        </w:rPr>
        <w:t>,</w:t>
      </w:r>
      <w:r w:rsidRPr="00E47AA9">
        <w:rPr>
          <w:rFonts w:ascii="Times New Roman" w:hAnsi="Times New Roman" w:cs="Times New Roman"/>
          <w:sz w:val="28"/>
          <w:szCs w:val="28"/>
        </w:rPr>
        <w:t xml:space="preserve"> является целевой показатель "Количество проблемных объектов, по которым осуществляются мероприятия, направленные на завершение строительства и (или) на восстановление прав граждан на основании договоров, заключенных Фондом" (всего за период 2022</w:t>
      </w:r>
      <w:r w:rsidR="00DB685B" w:rsidRPr="00E47AA9">
        <w:rPr>
          <w:rFonts w:ascii="Times New Roman" w:hAnsi="Times New Roman" w:cs="Times New Roman"/>
          <w:sz w:val="28"/>
          <w:szCs w:val="28"/>
        </w:rPr>
        <w:t> – </w:t>
      </w:r>
      <w:r w:rsidRPr="00E47AA9">
        <w:rPr>
          <w:rFonts w:ascii="Times New Roman" w:hAnsi="Times New Roman" w:cs="Times New Roman"/>
          <w:sz w:val="28"/>
          <w:szCs w:val="28"/>
        </w:rPr>
        <w:t xml:space="preserve">2025) </w:t>
      </w:r>
      <w:r w:rsidR="00DB685B" w:rsidRPr="00E47AA9">
        <w:rPr>
          <w:rFonts w:ascii="Times New Roman" w:hAnsi="Times New Roman" w:cs="Times New Roman"/>
          <w:sz w:val="28"/>
          <w:szCs w:val="28"/>
        </w:rPr>
        <w:t>–</w:t>
      </w:r>
      <w:r w:rsidRPr="00E47AA9">
        <w:rPr>
          <w:rFonts w:ascii="Times New Roman" w:hAnsi="Times New Roman" w:cs="Times New Roman"/>
          <w:sz w:val="28"/>
          <w:szCs w:val="28"/>
        </w:rPr>
        <w:t xml:space="preserve"> 9 единиц, на 2024 год </w:t>
      </w:r>
      <w:r w:rsidR="00DB685B" w:rsidRPr="00E47AA9">
        <w:rPr>
          <w:rFonts w:ascii="Times New Roman" w:hAnsi="Times New Roman" w:cs="Times New Roman"/>
          <w:sz w:val="28"/>
          <w:szCs w:val="28"/>
        </w:rPr>
        <w:t>–</w:t>
      </w:r>
      <w:r w:rsidRPr="00E47AA9">
        <w:rPr>
          <w:rFonts w:ascii="Times New Roman" w:hAnsi="Times New Roman" w:cs="Times New Roman"/>
          <w:sz w:val="28"/>
          <w:szCs w:val="28"/>
        </w:rPr>
        <w:t xml:space="preserve"> 1 единица. </w:t>
      </w:r>
      <w:r w:rsidRPr="00E47AA9">
        <w:rPr>
          <w:rFonts w:ascii="Times New Roman" w:hAnsi="Times New Roman"/>
          <w:spacing w:val="4"/>
          <w:sz w:val="28"/>
          <w:szCs w:val="28"/>
        </w:rPr>
        <w:t xml:space="preserve">Фондом обеспечено завершение строительства </w:t>
      </w:r>
      <w:r w:rsidRPr="00E47AA9">
        <w:rPr>
          <w:rFonts w:ascii="Times New Roman" w:hAnsi="Times New Roman" w:cs="Times New Roman"/>
          <w:sz w:val="28"/>
          <w:szCs w:val="28"/>
        </w:rPr>
        <w:t>8 многоквартирных домов на о. Русский в жилом поселке ЖСК "Остров", которые в 2024 году введены в эксплуатацию</w:t>
      </w:r>
      <w:r w:rsidRPr="00E47AA9">
        <w:rPr>
          <w:rFonts w:ascii="Times New Roman" w:hAnsi="Times New Roman"/>
          <w:spacing w:val="4"/>
          <w:sz w:val="28"/>
          <w:szCs w:val="28"/>
        </w:rPr>
        <w:t xml:space="preserve">. </w:t>
      </w:r>
      <w:r w:rsidRPr="00E47AA9">
        <w:rPr>
          <w:rFonts w:ascii="Times New Roman" w:hAnsi="Times New Roman" w:cs="Times New Roman"/>
          <w:sz w:val="28"/>
          <w:szCs w:val="28"/>
        </w:rPr>
        <w:t>Завершение строительства проблемного объекта по адресу: г. Владивосток, ул.</w:t>
      </w:r>
      <w:r w:rsidR="00DB685B" w:rsidRPr="00E47AA9">
        <w:rPr>
          <w:rFonts w:ascii="Times New Roman" w:hAnsi="Times New Roman" w:cs="Times New Roman"/>
          <w:sz w:val="28"/>
          <w:szCs w:val="28"/>
        </w:rPr>
        <w:t> </w:t>
      </w:r>
      <w:r w:rsidRPr="00E47AA9">
        <w:rPr>
          <w:rFonts w:ascii="Times New Roman" w:hAnsi="Times New Roman" w:cs="Times New Roman"/>
          <w:sz w:val="28"/>
          <w:szCs w:val="28"/>
        </w:rPr>
        <w:t>Сафонова, 7 (2 этап строительства) перенесено на 2025 год</w:t>
      </w:r>
      <w:r w:rsidRPr="00E47AA9">
        <w:rPr>
          <w:rStyle w:val="a8"/>
          <w:rFonts w:ascii="Times New Roman" w:hAnsi="Times New Roman"/>
          <w:sz w:val="28"/>
          <w:szCs w:val="28"/>
        </w:rPr>
        <w:footnoteReference w:id="52"/>
      </w:r>
      <w:r w:rsidRPr="00E47AA9">
        <w:rPr>
          <w:rFonts w:ascii="Times New Roman" w:hAnsi="Times New Roman" w:cs="Times New Roman"/>
          <w:sz w:val="28"/>
          <w:szCs w:val="28"/>
        </w:rPr>
        <w:t>;</w:t>
      </w:r>
    </w:p>
    <w:p w14:paraId="1B02689D" w14:textId="4BE8223A" w:rsidR="0006322E" w:rsidRPr="00E47AA9" w:rsidRDefault="0006322E" w:rsidP="0006322E">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26,13 млн рублей, или 99,11 % (план </w:t>
      </w:r>
      <w:r w:rsidR="00E0556A"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26,36 млн рублей) – субсидии УНО "Фонд защиты прав граждан – участников долевого строительства Приморского края" на финансовое обеспечение затрат, связанных с </w:t>
      </w:r>
      <w:r w:rsidRPr="00E47AA9">
        <w:rPr>
          <w:rFonts w:ascii="Times New Roman" w:hAnsi="Times New Roman" w:cs="Times New Roman"/>
          <w:sz w:val="28"/>
          <w:szCs w:val="28"/>
        </w:rPr>
        <w:lastRenderedPageBreak/>
        <w:t>осуществлением деятельности.</w:t>
      </w:r>
      <w:r w:rsidRPr="00E47AA9">
        <w:rPr>
          <w:rFonts w:ascii="Times New Roman" w:eastAsia="Calibri" w:hAnsi="Times New Roman" w:cs="Times New Roman"/>
          <w:sz w:val="28"/>
          <w:szCs w:val="28"/>
        </w:rPr>
        <w:t xml:space="preserve"> </w:t>
      </w:r>
      <w:r w:rsidRPr="00E47AA9">
        <w:rPr>
          <w:rFonts w:ascii="Times New Roman" w:hAnsi="Times New Roman" w:cs="Times New Roman"/>
          <w:sz w:val="28"/>
          <w:szCs w:val="28"/>
        </w:rPr>
        <w:t>Не исполнено 0,23 млн рублей в связи с экономией фонда оплаты труда, а также по результатам проведения конкурсных процедур;</w:t>
      </w:r>
    </w:p>
    <w:p w14:paraId="46740AAE" w14:textId="77777777" w:rsidR="0006322E" w:rsidRPr="00E47AA9"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1,83 млн рублей в полном объеме – субсидии из краевого бюджета в виде имущественного взноса Приморского края в имущество публично-правовой компании "Фонд развития территорий" (далее – ППК Фонд). </w:t>
      </w:r>
      <w:r w:rsidRPr="00E47AA9">
        <w:rPr>
          <w:rFonts w:ascii="Times New Roman" w:hAnsi="Times New Roman" w:cs="Times New Roman"/>
          <w:iCs/>
          <w:sz w:val="28"/>
          <w:szCs w:val="28"/>
        </w:rPr>
        <w:t>Между министерством строительства Приморского края и ППК Фонд заключено соглашение в цел</w:t>
      </w:r>
      <w:r w:rsidR="00DB685B" w:rsidRPr="00E47AA9">
        <w:rPr>
          <w:rFonts w:ascii="Times New Roman" w:hAnsi="Times New Roman" w:cs="Times New Roman"/>
          <w:iCs/>
          <w:sz w:val="28"/>
          <w:szCs w:val="28"/>
        </w:rPr>
        <w:t>ях восстановления прав граждан –</w:t>
      </w:r>
      <w:r w:rsidRPr="00E47AA9">
        <w:rPr>
          <w:rFonts w:ascii="Times New Roman" w:hAnsi="Times New Roman" w:cs="Times New Roman"/>
          <w:iCs/>
          <w:sz w:val="28"/>
          <w:szCs w:val="28"/>
        </w:rPr>
        <w:t xml:space="preserve"> участников строительства</w:t>
      </w:r>
      <w:r w:rsidRPr="00E47AA9">
        <w:rPr>
          <w:rStyle w:val="a8"/>
          <w:rFonts w:ascii="Times New Roman" w:hAnsi="Times New Roman"/>
          <w:iCs/>
          <w:sz w:val="28"/>
          <w:szCs w:val="28"/>
        </w:rPr>
        <w:footnoteReference w:id="53"/>
      </w:r>
      <w:r w:rsidR="00DB685B" w:rsidRPr="00E47AA9">
        <w:rPr>
          <w:rFonts w:ascii="Times New Roman" w:hAnsi="Times New Roman" w:cs="Times New Roman"/>
          <w:iCs/>
          <w:sz w:val="28"/>
          <w:szCs w:val="28"/>
        </w:rPr>
        <w:t>,</w:t>
      </w:r>
      <w:r w:rsidRPr="00E47AA9">
        <w:rPr>
          <w:rFonts w:ascii="Times New Roman" w:hAnsi="Times New Roman" w:cs="Times New Roman"/>
          <w:iCs/>
          <w:sz w:val="28"/>
          <w:szCs w:val="28"/>
        </w:rPr>
        <w:t xml:space="preserve"> в соответствии с которым общая сумма взноса Приморского края в имущество ППК Фонд составило 161,89 млн рублей (</w:t>
      </w:r>
      <w:r w:rsidRPr="00E47AA9">
        <w:rPr>
          <w:rFonts w:ascii="Times New Roman" w:eastAsia="Calibri" w:hAnsi="Times New Roman" w:cs="Times New Roman"/>
          <w:iCs/>
          <w:sz w:val="28"/>
          <w:szCs w:val="28"/>
        </w:rPr>
        <w:t>в 2020 году – 21,54</w:t>
      </w:r>
      <w:r w:rsidR="00DB685B" w:rsidRPr="00E47AA9">
        <w:rPr>
          <w:rFonts w:ascii="Times New Roman" w:eastAsia="Calibri" w:hAnsi="Times New Roman" w:cs="Times New Roman"/>
          <w:iCs/>
          <w:sz w:val="28"/>
          <w:szCs w:val="28"/>
        </w:rPr>
        <w:t> </w:t>
      </w:r>
      <w:r w:rsidRPr="00E47AA9">
        <w:rPr>
          <w:rFonts w:ascii="Times New Roman" w:eastAsia="Calibri" w:hAnsi="Times New Roman" w:cs="Times New Roman"/>
          <w:iCs/>
          <w:sz w:val="28"/>
          <w:szCs w:val="28"/>
        </w:rPr>
        <w:t xml:space="preserve">млн рублей, </w:t>
      </w:r>
      <w:r w:rsidRPr="00E47AA9">
        <w:rPr>
          <w:rFonts w:ascii="Times New Roman" w:hAnsi="Times New Roman" w:cs="Times New Roman"/>
          <w:iCs/>
          <w:sz w:val="28"/>
          <w:szCs w:val="28"/>
        </w:rPr>
        <w:t xml:space="preserve">в 2022 году – 45,57 млн рублей, в 2023 году </w:t>
      </w:r>
      <w:r w:rsidR="00DB685B" w:rsidRPr="00E47AA9">
        <w:rPr>
          <w:rFonts w:ascii="Times New Roman" w:hAnsi="Times New Roman" w:cs="Times New Roman"/>
          <w:iCs/>
          <w:sz w:val="28"/>
          <w:szCs w:val="28"/>
        </w:rPr>
        <w:t>–</w:t>
      </w:r>
      <w:r w:rsidRPr="00E47AA9">
        <w:rPr>
          <w:rFonts w:ascii="Times New Roman" w:hAnsi="Times New Roman" w:cs="Times New Roman"/>
          <w:iCs/>
          <w:sz w:val="28"/>
          <w:szCs w:val="28"/>
        </w:rPr>
        <w:t xml:space="preserve"> 92,95 млн рублей, в 2024 году </w:t>
      </w:r>
      <w:r w:rsidR="00DB685B" w:rsidRPr="00E47AA9">
        <w:rPr>
          <w:rFonts w:ascii="Times New Roman" w:hAnsi="Times New Roman" w:cs="Times New Roman"/>
          <w:iCs/>
          <w:sz w:val="28"/>
          <w:szCs w:val="28"/>
        </w:rPr>
        <w:t>–</w:t>
      </w:r>
      <w:r w:rsidRPr="00E47AA9">
        <w:rPr>
          <w:rFonts w:ascii="Times New Roman" w:hAnsi="Times New Roman" w:cs="Times New Roman"/>
          <w:iCs/>
          <w:sz w:val="28"/>
          <w:szCs w:val="28"/>
        </w:rPr>
        <w:t xml:space="preserve"> 1,83 млн рублей). Указанным соглашением и п</w:t>
      </w:r>
      <w:r w:rsidRPr="00E47AA9">
        <w:rPr>
          <w:rFonts w:ascii="Times New Roman" w:hAnsi="Times New Roman" w:cs="Times New Roman"/>
          <w:sz w:val="28"/>
          <w:szCs w:val="28"/>
        </w:rPr>
        <w:t>аспортом ГП установлен целевой показатель в рамках данного мероприятия (в 2024 году</w:t>
      </w:r>
      <w:r w:rsidR="00DB685B" w:rsidRPr="00E47AA9">
        <w:rPr>
          <w:rFonts w:ascii="Times New Roman" w:hAnsi="Times New Roman" w:cs="Times New Roman"/>
          <w:sz w:val="28"/>
          <w:szCs w:val="28"/>
        </w:rPr>
        <w:t> –</w:t>
      </w:r>
      <w:r w:rsidRPr="00E47AA9">
        <w:rPr>
          <w:rFonts w:ascii="Times New Roman" w:hAnsi="Times New Roman" w:cs="Times New Roman"/>
          <w:sz w:val="28"/>
          <w:szCs w:val="28"/>
        </w:rPr>
        <w:t xml:space="preserve"> 189 граждан), по информации министерства строительства Приморского края, данный показатель имеет плановое значение из расчета количества выплат/граждан в соответствии с реестром требований кредиторов (денежная выплата возмещения либо передача квартир в соответствии с Реестром требований участников строительства). </w:t>
      </w:r>
    </w:p>
    <w:p w14:paraId="6CCA7F2A" w14:textId="392DF3AC" w:rsidR="0006322E" w:rsidRPr="00E47AA9" w:rsidRDefault="001B6428" w:rsidP="0006322E">
      <w:pPr>
        <w:spacing w:after="0" w:line="240" w:lineRule="auto"/>
        <w:ind w:firstLine="709"/>
        <w:jc w:val="both"/>
        <w:rPr>
          <w:rFonts w:ascii="Times New Roman" w:hAnsi="Times New Roman" w:cs="Times New Roman"/>
          <w:iCs/>
          <w:sz w:val="28"/>
          <w:szCs w:val="28"/>
        </w:rPr>
      </w:pPr>
      <w:r w:rsidRPr="00E47AA9">
        <w:rPr>
          <w:rFonts w:ascii="Times New Roman" w:eastAsia="Times New Roman" w:hAnsi="Times New Roman" w:cs="Times New Roman"/>
          <w:sz w:val="28"/>
          <w:szCs w:val="28"/>
          <w:shd w:val="clear" w:color="auto" w:fill="FFFFFF"/>
          <w:lang w:eastAsia="zh-CN"/>
        </w:rPr>
        <w:t>М</w:t>
      </w:r>
      <w:r w:rsidR="0006322E" w:rsidRPr="00E47AA9">
        <w:rPr>
          <w:rFonts w:ascii="Times New Roman" w:eastAsia="Times New Roman" w:hAnsi="Times New Roman" w:cs="Times New Roman"/>
          <w:sz w:val="28"/>
          <w:szCs w:val="28"/>
          <w:shd w:val="clear" w:color="auto" w:fill="FFFFFF"/>
          <w:lang w:eastAsia="zh-CN"/>
        </w:rPr>
        <w:t>инистерств</w:t>
      </w:r>
      <w:r w:rsidRPr="00E47AA9">
        <w:rPr>
          <w:rFonts w:ascii="Times New Roman" w:eastAsia="Times New Roman" w:hAnsi="Times New Roman" w:cs="Times New Roman"/>
          <w:sz w:val="28"/>
          <w:szCs w:val="28"/>
          <w:shd w:val="clear" w:color="auto" w:fill="FFFFFF"/>
          <w:lang w:eastAsia="zh-CN"/>
        </w:rPr>
        <w:t>ом</w:t>
      </w:r>
      <w:r w:rsidR="0006322E" w:rsidRPr="00E47AA9">
        <w:rPr>
          <w:rFonts w:ascii="Times New Roman" w:eastAsia="Times New Roman" w:hAnsi="Times New Roman" w:cs="Times New Roman"/>
          <w:sz w:val="28"/>
          <w:szCs w:val="28"/>
          <w:shd w:val="clear" w:color="auto" w:fill="FFFFFF"/>
          <w:lang w:eastAsia="zh-CN"/>
        </w:rPr>
        <w:t xml:space="preserve"> строительства Приморского края, </w:t>
      </w:r>
      <w:r w:rsidR="0006322E" w:rsidRPr="00E47AA9">
        <w:rPr>
          <w:rFonts w:ascii="Times New Roman" w:eastAsia="PT Astra Serif" w:hAnsi="Times New Roman" w:cs="PT Astra Serif"/>
          <w:sz w:val="28"/>
          <w:szCs w:val="28"/>
        </w:rPr>
        <w:t xml:space="preserve">19.06.2024 заключено дополнительное соглашение с переносом срока достижения результата до 31.12.2025 </w:t>
      </w:r>
      <w:r w:rsidR="0006322E" w:rsidRPr="00E47AA9">
        <w:rPr>
          <w:rFonts w:ascii="Times New Roman" w:hAnsi="Times New Roman" w:cs="Times New Roman"/>
          <w:sz w:val="28"/>
          <w:szCs w:val="28"/>
        </w:rPr>
        <w:t>по трем объектам незавершенного строительства</w:t>
      </w:r>
      <w:r w:rsidR="0006322E" w:rsidRPr="00E47AA9">
        <w:rPr>
          <w:rStyle w:val="a8"/>
          <w:rFonts w:ascii="Times New Roman" w:hAnsi="Times New Roman"/>
          <w:sz w:val="28"/>
          <w:szCs w:val="28"/>
        </w:rPr>
        <w:footnoteReference w:id="54"/>
      </w:r>
      <w:r w:rsidR="0006322E" w:rsidRPr="00E47AA9">
        <w:rPr>
          <w:rFonts w:ascii="Times New Roman" w:hAnsi="Times New Roman" w:cs="Times New Roman"/>
          <w:sz w:val="28"/>
          <w:szCs w:val="28"/>
        </w:rPr>
        <w:t xml:space="preserve">. </w:t>
      </w:r>
      <w:r w:rsidR="0006322E" w:rsidRPr="00E47AA9">
        <w:rPr>
          <w:rFonts w:ascii="Times New Roman" w:hAnsi="Times New Roman" w:cs="Times New Roman"/>
          <w:iCs/>
          <w:sz w:val="28"/>
          <w:szCs w:val="28"/>
        </w:rPr>
        <w:t>По состоянию на 01.04.2025 в соответствии со статьей 13 Федерального закона от 29.07.2017 № 218-ФЗ "О публично-правовой компании "Фонд развития территорий" и о внесении изменений в отдельные законодательные акты Российской Федерации" ППК Фондом выплачено возмещение 62 участникам строительства из 63,</w:t>
      </w:r>
      <w:r w:rsidR="0006322E" w:rsidRPr="00E47AA9">
        <w:rPr>
          <w:iCs/>
        </w:rPr>
        <w:t xml:space="preserve"> </w:t>
      </w:r>
      <w:r w:rsidR="0006322E" w:rsidRPr="00E47AA9">
        <w:rPr>
          <w:rFonts w:ascii="Times New Roman" w:hAnsi="Times New Roman" w:cs="Times New Roman"/>
          <w:iCs/>
          <w:sz w:val="28"/>
          <w:szCs w:val="28"/>
        </w:rPr>
        <w:t xml:space="preserve">имеющим требования о передаче жилых помещений, </w:t>
      </w:r>
      <w:proofErr w:type="spellStart"/>
      <w:r w:rsidR="0006322E" w:rsidRPr="00E47AA9">
        <w:rPr>
          <w:rFonts w:ascii="Times New Roman" w:hAnsi="Times New Roman" w:cs="Times New Roman"/>
          <w:iCs/>
          <w:sz w:val="28"/>
          <w:szCs w:val="28"/>
        </w:rPr>
        <w:t>машино</w:t>
      </w:r>
      <w:proofErr w:type="spellEnd"/>
      <w:r w:rsidR="0006322E" w:rsidRPr="00E47AA9">
        <w:rPr>
          <w:rFonts w:ascii="Times New Roman" w:hAnsi="Times New Roman" w:cs="Times New Roman"/>
          <w:iCs/>
          <w:sz w:val="28"/>
          <w:szCs w:val="28"/>
        </w:rPr>
        <w:t>-мест и нежилых помещений, включенные в реестр требований участников строительства</w:t>
      </w:r>
      <w:r w:rsidR="0006322E" w:rsidRPr="00E47AA9">
        <w:rPr>
          <w:rStyle w:val="a8"/>
          <w:rFonts w:ascii="Times New Roman" w:hAnsi="Times New Roman"/>
          <w:iCs/>
          <w:sz w:val="28"/>
          <w:szCs w:val="28"/>
        </w:rPr>
        <w:footnoteReference w:id="55"/>
      </w:r>
      <w:r w:rsidR="00DB685B" w:rsidRPr="00E47AA9">
        <w:rPr>
          <w:rFonts w:ascii="Times New Roman" w:hAnsi="Times New Roman" w:cs="Times New Roman"/>
          <w:iCs/>
          <w:sz w:val="28"/>
          <w:szCs w:val="28"/>
        </w:rPr>
        <w:t>,</w:t>
      </w:r>
      <w:r w:rsidR="0006322E" w:rsidRPr="00E47AA9">
        <w:rPr>
          <w:rFonts w:ascii="Times New Roman" w:hAnsi="Times New Roman" w:cs="Times New Roman"/>
          <w:iCs/>
          <w:sz w:val="28"/>
          <w:szCs w:val="28"/>
        </w:rPr>
        <w:t xml:space="preserve"> на сумму 432,42 млн рублей, или 98,13 % (план</w:t>
      </w:r>
      <w:r w:rsidR="00E0556A" w:rsidRPr="00E47AA9">
        <w:rPr>
          <w:rFonts w:ascii="Times New Roman" w:hAnsi="Times New Roman" w:cs="Times New Roman"/>
          <w:iCs/>
          <w:sz w:val="28"/>
          <w:szCs w:val="28"/>
        </w:rPr>
        <w:t> –</w:t>
      </w:r>
      <w:r w:rsidR="0006322E" w:rsidRPr="00E47AA9">
        <w:rPr>
          <w:rFonts w:ascii="Times New Roman" w:hAnsi="Times New Roman" w:cs="Times New Roman"/>
          <w:iCs/>
          <w:sz w:val="28"/>
          <w:szCs w:val="28"/>
        </w:rPr>
        <w:t xml:space="preserve">440,66 млн рублей). Кроме того, ППК Фонд принято решение о целесообразности финансирования завершения строительства </w:t>
      </w:r>
      <w:r w:rsidR="0006322E" w:rsidRPr="00E47AA9">
        <w:rPr>
          <w:rFonts w:ascii="Times New Roman" w:eastAsia="Times New Roman" w:hAnsi="Times New Roman" w:cs="Times New Roman"/>
          <w:iCs/>
          <w:sz w:val="28"/>
          <w:szCs w:val="28"/>
          <w:shd w:val="clear" w:color="auto" w:fill="FFFFFF"/>
          <w:lang w:eastAsia="zh-CN"/>
        </w:rPr>
        <w:t>17-этажн</w:t>
      </w:r>
      <w:r w:rsidR="00DB685B" w:rsidRPr="00E47AA9">
        <w:rPr>
          <w:rFonts w:ascii="Times New Roman" w:eastAsia="Times New Roman" w:hAnsi="Times New Roman" w:cs="Times New Roman"/>
          <w:iCs/>
          <w:sz w:val="28"/>
          <w:szCs w:val="28"/>
          <w:shd w:val="clear" w:color="auto" w:fill="FFFFFF"/>
          <w:lang w:eastAsia="zh-CN"/>
        </w:rPr>
        <w:t>ого</w:t>
      </w:r>
      <w:r w:rsidR="0006322E" w:rsidRPr="00E47AA9">
        <w:rPr>
          <w:rFonts w:ascii="Times New Roman" w:eastAsia="Times New Roman" w:hAnsi="Times New Roman" w:cs="Times New Roman"/>
          <w:iCs/>
          <w:sz w:val="28"/>
          <w:szCs w:val="28"/>
          <w:shd w:val="clear" w:color="auto" w:fill="FFFFFF"/>
          <w:lang w:eastAsia="zh-CN"/>
        </w:rPr>
        <w:t xml:space="preserve"> жило</w:t>
      </w:r>
      <w:r w:rsidR="00DB685B" w:rsidRPr="00E47AA9">
        <w:rPr>
          <w:rFonts w:ascii="Times New Roman" w:eastAsia="Times New Roman" w:hAnsi="Times New Roman" w:cs="Times New Roman"/>
          <w:iCs/>
          <w:sz w:val="28"/>
          <w:szCs w:val="28"/>
          <w:shd w:val="clear" w:color="auto" w:fill="FFFFFF"/>
          <w:lang w:eastAsia="zh-CN"/>
        </w:rPr>
        <w:t>го</w:t>
      </w:r>
      <w:r w:rsidR="0006322E" w:rsidRPr="00E47AA9">
        <w:rPr>
          <w:rFonts w:ascii="Times New Roman" w:eastAsia="Times New Roman" w:hAnsi="Times New Roman" w:cs="Times New Roman"/>
          <w:iCs/>
          <w:sz w:val="28"/>
          <w:szCs w:val="28"/>
          <w:shd w:val="clear" w:color="auto" w:fill="FFFFFF"/>
          <w:lang w:eastAsia="zh-CN"/>
        </w:rPr>
        <w:t xml:space="preserve"> дом</w:t>
      </w:r>
      <w:r w:rsidR="00DB685B" w:rsidRPr="00E47AA9">
        <w:rPr>
          <w:rFonts w:ascii="Times New Roman" w:eastAsia="Times New Roman" w:hAnsi="Times New Roman" w:cs="Times New Roman"/>
          <w:iCs/>
          <w:sz w:val="28"/>
          <w:szCs w:val="28"/>
          <w:shd w:val="clear" w:color="auto" w:fill="FFFFFF"/>
          <w:lang w:eastAsia="zh-CN"/>
        </w:rPr>
        <w:t>а</w:t>
      </w:r>
      <w:r w:rsidR="0006322E" w:rsidRPr="00E47AA9">
        <w:rPr>
          <w:rFonts w:ascii="Times New Roman" w:eastAsia="Times New Roman" w:hAnsi="Times New Roman" w:cs="Times New Roman"/>
          <w:iCs/>
          <w:sz w:val="28"/>
          <w:szCs w:val="28"/>
          <w:shd w:val="clear" w:color="auto" w:fill="FFFFFF"/>
          <w:lang w:eastAsia="zh-CN"/>
        </w:rPr>
        <w:t xml:space="preserve"> в районе ул. Крестьянской в г. Уссурийске, в</w:t>
      </w:r>
      <w:r w:rsidR="0006322E" w:rsidRPr="00E47AA9">
        <w:rPr>
          <w:rFonts w:ascii="Times New Roman" w:eastAsia="Calibri" w:hAnsi="Times New Roman" w:cs="Times New Roman"/>
          <w:iCs/>
          <w:sz w:val="28"/>
          <w:szCs w:val="28"/>
          <w:lang w:bidi="ru-RU"/>
        </w:rPr>
        <w:t>сего в многоквартирном доме 116 квартир и 123 участника долевого строительства.</w:t>
      </w:r>
      <w:r w:rsidR="0006322E" w:rsidRPr="00E47AA9">
        <w:rPr>
          <w:rFonts w:ascii="Times New Roman" w:eastAsia="Calibri" w:hAnsi="Times New Roman" w:cs="Times New Roman"/>
          <w:iCs/>
          <w:sz w:val="28"/>
          <w:szCs w:val="28"/>
          <w:shd w:val="clear" w:color="auto" w:fill="FFFFFF"/>
          <w:lang w:eastAsia="zh-CN" w:bidi="ru-RU"/>
        </w:rPr>
        <w:t xml:space="preserve"> </w:t>
      </w:r>
      <w:r w:rsidR="0006322E" w:rsidRPr="00E47AA9">
        <w:rPr>
          <w:rFonts w:ascii="Times New Roman" w:eastAsia="Roboto" w:hAnsi="Times New Roman" w:cs="Times New Roman"/>
          <w:iCs/>
          <w:sz w:val="28"/>
          <w:szCs w:val="28"/>
          <w:shd w:val="clear" w:color="auto" w:fill="FFFFFF"/>
          <w:lang w:eastAsia="zh-CN" w:bidi="ar"/>
        </w:rPr>
        <w:t xml:space="preserve">По состоянию на 05.05.2025 по актам приема-передачи </w:t>
      </w:r>
      <w:r w:rsidR="0006322E" w:rsidRPr="00E47AA9">
        <w:rPr>
          <w:rFonts w:ascii="Times New Roman" w:eastAsia="Calibri" w:hAnsi="Times New Roman" w:cs="Times New Roman"/>
          <w:iCs/>
          <w:sz w:val="28"/>
          <w:szCs w:val="28"/>
          <w:shd w:val="clear" w:color="auto" w:fill="FFFFFF"/>
          <w:lang w:eastAsia="zh-CN" w:bidi="ru-RU"/>
        </w:rPr>
        <w:t xml:space="preserve">123 </w:t>
      </w:r>
      <w:r w:rsidR="0006322E" w:rsidRPr="00E47AA9">
        <w:rPr>
          <w:rFonts w:ascii="Times New Roman" w:eastAsia="Roboto" w:hAnsi="Times New Roman" w:cs="Times New Roman"/>
          <w:iCs/>
          <w:sz w:val="28"/>
          <w:szCs w:val="28"/>
          <w:shd w:val="clear" w:color="auto" w:fill="FFFFFF"/>
          <w:lang w:eastAsia="zh-CN" w:bidi="ar"/>
        </w:rPr>
        <w:t>участник</w:t>
      </w:r>
      <w:r w:rsidR="00AB4BD9" w:rsidRPr="00E47AA9">
        <w:rPr>
          <w:rFonts w:ascii="Times New Roman" w:eastAsia="Roboto" w:hAnsi="Times New Roman" w:cs="Times New Roman"/>
          <w:iCs/>
          <w:sz w:val="28"/>
          <w:szCs w:val="28"/>
          <w:shd w:val="clear" w:color="auto" w:fill="FFFFFF"/>
          <w:lang w:eastAsia="zh-CN" w:bidi="ar"/>
        </w:rPr>
        <w:t>ам</w:t>
      </w:r>
      <w:r w:rsidR="0006322E" w:rsidRPr="00E47AA9">
        <w:rPr>
          <w:rFonts w:ascii="Times New Roman" w:eastAsia="Roboto" w:hAnsi="Times New Roman" w:cs="Times New Roman"/>
          <w:iCs/>
          <w:sz w:val="28"/>
          <w:szCs w:val="28"/>
          <w:shd w:val="clear" w:color="auto" w:fill="FFFFFF"/>
          <w:lang w:eastAsia="zh-CN" w:bidi="ar"/>
        </w:rPr>
        <w:t xml:space="preserve"> долевого строительства от застройщика переданы 116 квартир</w:t>
      </w:r>
      <w:r w:rsidR="0006322E" w:rsidRPr="00E47AA9">
        <w:rPr>
          <w:rFonts w:ascii="Times New Roman" w:hAnsi="Times New Roman" w:cs="Times New Roman"/>
          <w:iCs/>
          <w:sz w:val="28"/>
          <w:szCs w:val="28"/>
        </w:rPr>
        <w:t>;</w:t>
      </w:r>
    </w:p>
    <w:p w14:paraId="2F7D52D0" w14:textId="77777777" w:rsidR="0006322E" w:rsidRPr="00E47AA9"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sz w:val="28"/>
          <w:szCs w:val="28"/>
          <w:lang w:eastAsia="ru-RU"/>
        </w:rPr>
        <w:t xml:space="preserve">902,32 млн рублей, или 68,06 % (1325,78 млн рублей) </w:t>
      </w:r>
      <w:r w:rsidR="00AB4BD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на реализацию инфраструктурных проектов за счет бюджетного кредита из федерального бюджета (далее – ИБК). В соответствии с </w:t>
      </w:r>
      <w:r w:rsidRPr="00E47AA9">
        <w:rPr>
          <w:rFonts w:ascii="Times New Roman" w:hAnsi="Times New Roman" w:cs="Times New Roman"/>
          <w:sz w:val="28"/>
          <w:szCs w:val="28"/>
        </w:rPr>
        <w:t xml:space="preserve">постановлением Правительства </w:t>
      </w:r>
      <w:r w:rsidRPr="00E47AA9">
        <w:rPr>
          <w:rFonts w:ascii="Times New Roman" w:hAnsi="Times New Roman" w:cs="Times New Roman"/>
          <w:sz w:val="28"/>
          <w:szCs w:val="28"/>
        </w:rPr>
        <w:lastRenderedPageBreak/>
        <w:t>Приморского края от 10.12.2021 № 792-пп</w:t>
      </w:r>
      <w:r w:rsidRPr="00E47AA9">
        <w:rPr>
          <w:rStyle w:val="a8"/>
          <w:rFonts w:ascii="Times New Roman" w:hAnsi="Times New Roman"/>
          <w:sz w:val="28"/>
          <w:szCs w:val="28"/>
        </w:rPr>
        <w:footnoteReference w:id="56"/>
      </w:r>
      <w:r w:rsidRPr="00E47AA9">
        <w:rPr>
          <w:rFonts w:ascii="Times New Roman" w:hAnsi="Times New Roman" w:cs="Times New Roman"/>
          <w:sz w:val="28"/>
          <w:szCs w:val="28"/>
        </w:rPr>
        <w:t xml:space="preserve"> на 2024 год запланированы 11 проектов на общую сумму 1325,78 млн рублей, в том числе министерству строительства Приморского края – 1200,33 млн рублей, министерству транспорта и дорожного хозяйства Приморского края – 125,45 млн рублей. За отчетный период исполнение расходов ГРБС на реализацию ИБК сложилось следующим образом:</w:t>
      </w:r>
    </w:p>
    <w:p w14:paraId="75DEC668" w14:textId="77777777" w:rsidR="0006322E" w:rsidRPr="00E47AA9" w:rsidRDefault="0006322E" w:rsidP="0006322E">
      <w:pPr>
        <w:spacing w:after="0" w:line="240" w:lineRule="auto"/>
        <w:ind w:firstLine="709"/>
        <w:jc w:val="both"/>
        <w:rPr>
          <w:rFonts w:ascii="Times New Roman" w:eastAsia="SimSun" w:hAnsi="Times New Roman" w:cs="Times New Roman"/>
          <w:iCs/>
          <w:sz w:val="28"/>
          <w:szCs w:val="28"/>
        </w:rPr>
      </w:pPr>
      <w:r w:rsidRPr="00E47AA9">
        <w:rPr>
          <w:rFonts w:ascii="Times New Roman" w:hAnsi="Times New Roman" w:cs="Times New Roman"/>
          <w:sz w:val="28"/>
          <w:szCs w:val="28"/>
          <w:u w:val="single"/>
        </w:rPr>
        <w:t>м</w:t>
      </w:r>
      <w:r w:rsidRPr="00E47AA9">
        <w:rPr>
          <w:rFonts w:ascii="Times New Roman" w:eastAsia="SimSun" w:hAnsi="Times New Roman" w:cs="Times New Roman"/>
          <w:iCs/>
          <w:sz w:val="28"/>
          <w:szCs w:val="28"/>
          <w:u w:val="single"/>
        </w:rPr>
        <w:t xml:space="preserve">инистерством транспорта и дорожного хозяйства Приморского края </w:t>
      </w:r>
      <w:r w:rsidRPr="00E47AA9">
        <w:rPr>
          <w:rFonts w:ascii="Times New Roman" w:eastAsia="SimSun" w:hAnsi="Times New Roman" w:cs="Times New Roman"/>
          <w:iCs/>
          <w:sz w:val="28"/>
          <w:szCs w:val="28"/>
        </w:rPr>
        <w:t>– 125,45 млн рублей в полном объеме. Завершено строительство дороги к ЖСК "Остров" на полуострове Саперном, объект введен в эксплуатацию, произведена реконструкция мостового перехода через р. Петровка, получено разрешение на ввод объекта в эксплуатацию, произведена реконструкция путепровода через железную дорогу на км 19+524 автомобильной дороги Артем-Находка-порт Восточный и подходов к нему, открыто движение в тестовом режиме;</w:t>
      </w:r>
    </w:p>
    <w:p w14:paraId="7E6E839B" w14:textId="77777777" w:rsidR="0006322E" w:rsidRPr="00E47AA9" w:rsidRDefault="0006322E" w:rsidP="0006322E">
      <w:pPr>
        <w:spacing w:after="0" w:line="240" w:lineRule="auto"/>
        <w:ind w:firstLine="709"/>
        <w:jc w:val="both"/>
        <w:rPr>
          <w:rFonts w:ascii="Times New Roman" w:eastAsia="SimSun" w:hAnsi="Times New Roman" w:cs="Times New Roman"/>
          <w:iCs/>
          <w:sz w:val="28"/>
          <w:szCs w:val="28"/>
        </w:rPr>
      </w:pPr>
      <w:r w:rsidRPr="00E47AA9">
        <w:rPr>
          <w:rFonts w:ascii="Times New Roman" w:eastAsia="SimSun" w:hAnsi="Times New Roman" w:cs="Times New Roman"/>
          <w:iCs/>
          <w:sz w:val="28"/>
          <w:szCs w:val="28"/>
          <w:u w:val="single"/>
        </w:rPr>
        <w:t>министерством строительства Приморского края</w:t>
      </w:r>
      <w:r w:rsidRPr="00E47AA9">
        <w:rPr>
          <w:rFonts w:ascii="Times New Roman" w:eastAsia="SimSun" w:hAnsi="Times New Roman" w:cs="Times New Roman"/>
          <w:iCs/>
          <w:sz w:val="28"/>
          <w:szCs w:val="28"/>
        </w:rPr>
        <w:t xml:space="preserve"> – 776,87 млн рублей, или 64,72 % (1200,33 млн рублей)</w:t>
      </w:r>
      <w:r w:rsidRPr="00E47AA9">
        <w:rPr>
          <w:rStyle w:val="a8"/>
          <w:rFonts w:ascii="Times New Roman" w:hAnsi="Times New Roman"/>
          <w:iCs/>
          <w:sz w:val="28"/>
          <w:szCs w:val="28"/>
          <w:shd w:val="clear" w:color="auto" w:fill="FFFFFF"/>
        </w:rPr>
        <w:footnoteReference w:id="57"/>
      </w:r>
      <w:r w:rsidRPr="00E47AA9">
        <w:rPr>
          <w:rFonts w:ascii="Times New Roman" w:hAnsi="Times New Roman" w:cs="Times New Roman"/>
          <w:iCs/>
          <w:sz w:val="28"/>
          <w:szCs w:val="28"/>
          <w:shd w:val="clear" w:color="auto" w:fill="FFFFFF"/>
        </w:rPr>
        <w:t>. Остаток неисполненных расходов составил 423,46 млн рублей, в том числе</w:t>
      </w:r>
      <w:r w:rsidRPr="00E47AA9">
        <w:rPr>
          <w:rFonts w:ascii="Times New Roman" w:eastAsia="SimSun" w:hAnsi="Times New Roman" w:cs="Times New Roman"/>
          <w:iCs/>
          <w:sz w:val="28"/>
          <w:szCs w:val="28"/>
        </w:rPr>
        <w:t>:</w:t>
      </w:r>
    </w:p>
    <w:p w14:paraId="70BBCD03" w14:textId="77777777" w:rsidR="0006322E" w:rsidRPr="00E47AA9" w:rsidRDefault="0006322E" w:rsidP="0006322E">
      <w:pPr>
        <w:spacing w:after="0" w:line="240" w:lineRule="auto"/>
        <w:ind w:firstLine="709"/>
        <w:jc w:val="both"/>
        <w:rPr>
          <w:rFonts w:ascii="Times New Roman" w:hAnsi="Times New Roman" w:cs="Times New Roman"/>
          <w:iCs/>
          <w:sz w:val="28"/>
          <w:szCs w:val="28"/>
          <w:shd w:val="clear" w:color="auto" w:fill="FFFFFF"/>
        </w:rPr>
      </w:pPr>
      <w:r w:rsidRPr="00E47AA9">
        <w:rPr>
          <w:rFonts w:ascii="Times New Roman" w:hAnsi="Times New Roman" w:cs="Times New Roman"/>
          <w:iCs/>
          <w:sz w:val="28"/>
          <w:szCs w:val="28"/>
          <w:shd w:val="clear" w:color="auto" w:fill="FFFFFF"/>
        </w:rPr>
        <w:t xml:space="preserve">230,05 млн рублей – не направлены в полном объеме субсидии на софинансирование капитальных вложений, планируемые: </w:t>
      </w:r>
    </w:p>
    <w:p w14:paraId="6FB4E818" w14:textId="6186B0FA" w:rsidR="0006322E" w:rsidRPr="00E47AA9"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на музейный и театрально-образовательный комплекс г. Владивосток (реконструкция улично-дорожной сети) (118,67 млн рублей). Срок завершения мероприятия перенесен на 2025 год</w:t>
      </w:r>
      <w:r w:rsidR="008173CF">
        <w:rPr>
          <w:rFonts w:ascii="Times New Roman" w:hAnsi="Times New Roman" w:cs="Times New Roman"/>
          <w:sz w:val="28"/>
          <w:szCs w:val="28"/>
        </w:rPr>
        <w:t>. В</w:t>
      </w:r>
      <w:r w:rsidRPr="00E47AA9">
        <w:rPr>
          <w:rFonts w:ascii="Times New Roman" w:hAnsi="Times New Roman" w:cs="Times New Roman"/>
          <w:sz w:val="28"/>
          <w:szCs w:val="28"/>
        </w:rPr>
        <w:t xml:space="preserve"> настоящий момент </w:t>
      </w:r>
      <w:r w:rsidRPr="00E47AA9">
        <w:rPr>
          <w:rFonts w:ascii="Times New Roman" w:eastAsia="Times New Roman" w:hAnsi="Times New Roman" w:cs="Times New Roman"/>
          <w:sz w:val="28"/>
          <w:szCs w:val="28"/>
          <w:lang w:eastAsia="ru-RU"/>
        </w:rPr>
        <w:t>ведется работа по передаче земельных участков из краевой собственности в муниципальную для проведения мероприятий по указанному объекту</w:t>
      </w:r>
      <w:r w:rsidRPr="00E47AA9">
        <w:rPr>
          <w:rFonts w:ascii="Times New Roman" w:hAnsi="Times New Roman" w:cs="Times New Roman"/>
          <w:sz w:val="28"/>
          <w:szCs w:val="28"/>
        </w:rPr>
        <w:t xml:space="preserve">; </w:t>
      </w:r>
    </w:p>
    <w:p w14:paraId="0A38D23D" w14:textId="77777777" w:rsidR="0006322E" w:rsidRPr="00E47AA9" w:rsidRDefault="0006322E" w:rsidP="0006322E">
      <w:pPr>
        <w:widowControl w:val="0"/>
        <w:spacing w:after="0" w:line="240" w:lineRule="auto"/>
        <w:ind w:firstLine="709"/>
        <w:jc w:val="both"/>
      </w:pPr>
      <w:r w:rsidRPr="00E47AA9">
        <w:rPr>
          <w:rFonts w:ascii="Times New Roman" w:hAnsi="Times New Roman" w:cs="Times New Roman"/>
          <w:sz w:val="28"/>
          <w:szCs w:val="28"/>
        </w:rPr>
        <w:t xml:space="preserve">на строительство завода по производству горячекатаного проката в </w:t>
      </w:r>
      <w:r w:rsidRPr="00E47AA9">
        <w:rPr>
          <w:rFonts w:ascii="Times New Roman" w:hAnsi="Times New Roman" w:cs="Times New Roman"/>
          <w:sz w:val="28"/>
          <w:szCs w:val="28"/>
        </w:rPr>
        <w:br/>
        <w:t xml:space="preserve">г. Большой Камень (реконструкция водоочистных сооружений) – 64,20 млн рублей. Мероприятие не исполнено </w:t>
      </w:r>
      <w:r w:rsidRPr="00E47AA9">
        <w:rPr>
          <w:rFonts w:ascii="Times New Roman" w:eastAsia="Times New Roman" w:hAnsi="Times New Roman" w:cs="Times New Roman"/>
          <w:sz w:val="28"/>
          <w:szCs w:val="28"/>
          <w:lang w:eastAsia="ru-RU"/>
        </w:rPr>
        <w:t>в связи с отсутствием заявок в ходе проведения аукционных процедур, в результате аукцион признан несостоявшимся.</w:t>
      </w:r>
      <w:r w:rsidRPr="00E47AA9">
        <w:rPr>
          <w:rFonts w:ascii="Times New Roman" w:hAnsi="Times New Roman" w:cs="Times New Roman"/>
          <w:sz w:val="28"/>
          <w:szCs w:val="28"/>
        </w:rPr>
        <w:t xml:space="preserve"> Срок реализации мероприятия перенесен на 2025 год;</w:t>
      </w:r>
    </w:p>
    <w:p w14:paraId="40E628D4" w14:textId="77777777" w:rsidR="0006322E" w:rsidRPr="00E47AA9"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на ЖК "Чистый квартал" (Русская, 57) (сети водоотведения) (7,61 млн рублей) и ЖК "Бархатная, 1 очередь проекта" в районе ул. Бархатной, 10 в </w:t>
      </w:r>
      <w:r w:rsidRPr="00E47AA9">
        <w:rPr>
          <w:rFonts w:ascii="Times New Roman" w:hAnsi="Times New Roman" w:cs="Times New Roman"/>
          <w:sz w:val="28"/>
          <w:szCs w:val="28"/>
        </w:rPr>
        <w:lastRenderedPageBreak/>
        <w:t>г.</w:t>
      </w:r>
      <w:r w:rsidR="00AB4BD9" w:rsidRPr="00E47AA9">
        <w:rPr>
          <w:rFonts w:ascii="Times New Roman" w:hAnsi="Times New Roman" w:cs="Times New Roman"/>
          <w:sz w:val="28"/>
          <w:szCs w:val="28"/>
        </w:rPr>
        <w:t> </w:t>
      </w:r>
      <w:r w:rsidRPr="00E47AA9">
        <w:rPr>
          <w:rFonts w:ascii="Times New Roman" w:hAnsi="Times New Roman" w:cs="Times New Roman"/>
          <w:sz w:val="28"/>
          <w:szCs w:val="28"/>
        </w:rPr>
        <w:t>Владивостоке (сети водоотведения) (39,57 млн рублей) исключены инфраструктурные проекты. В информации об исполнении ГП отсутствуют сведения о причинах исключения проектов ЖК "Чистый квартал" и ЖК "Бархатная";</w:t>
      </w:r>
    </w:p>
    <w:p w14:paraId="58B92F78" w14:textId="77777777" w:rsidR="0006322E" w:rsidRPr="00E47AA9" w:rsidRDefault="0006322E" w:rsidP="0006322E">
      <w:pPr>
        <w:spacing w:after="0" w:line="240" w:lineRule="auto"/>
        <w:ind w:firstLine="709"/>
        <w:jc w:val="both"/>
        <w:rPr>
          <w:rFonts w:ascii="Times New Roman" w:eastAsia="Calibri" w:hAnsi="Times New Roman" w:cs="Times New Roman"/>
          <w:sz w:val="28"/>
          <w:szCs w:val="28"/>
          <w:lang w:eastAsia="ru-RU"/>
        </w:rPr>
      </w:pPr>
      <w:r w:rsidRPr="00E47AA9">
        <w:rPr>
          <w:rFonts w:ascii="Times New Roman" w:hAnsi="Times New Roman" w:cs="Times New Roman"/>
          <w:sz w:val="28"/>
          <w:szCs w:val="28"/>
        </w:rPr>
        <w:t xml:space="preserve">193,41 млн рублей – неисполненный остаток субсидий </w:t>
      </w:r>
      <w:r w:rsidRPr="00E47AA9">
        <w:rPr>
          <w:rFonts w:ascii="Times New Roman" w:eastAsia="Calibri" w:hAnsi="Times New Roman" w:cs="Times New Roman"/>
          <w:sz w:val="28"/>
          <w:szCs w:val="28"/>
          <w:lang w:eastAsia="ru-RU"/>
        </w:rPr>
        <w:t>в связи:</w:t>
      </w:r>
    </w:p>
    <w:p w14:paraId="535F025B" w14:textId="7F49E607" w:rsidR="0006322E" w:rsidRPr="00E47AA9" w:rsidRDefault="0006322E" w:rsidP="0006322E">
      <w:pPr>
        <w:spacing w:after="0" w:line="240" w:lineRule="auto"/>
        <w:ind w:firstLine="709"/>
        <w:jc w:val="both"/>
        <w:rPr>
          <w:rFonts w:ascii="Times New Roman" w:eastAsia="Calibri" w:hAnsi="Times New Roman" w:cs="Times New Roman"/>
          <w:sz w:val="28"/>
          <w:szCs w:val="28"/>
          <w:lang w:eastAsia="ru-RU"/>
        </w:rPr>
      </w:pPr>
      <w:r w:rsidRPr="00E47AA9">
        <w:rPr>
          <w:rFonts w:ascii="Times New Roman" w:eastAsia="Calibri" w:hAnsi="Times New Roman" w:cs="Times New Roman"/>
          <w:sz w:val="28"/>
          <w:szCs w:val="28"/>
          <w:lang w:eastAsia="ru-RU"/>
        </w:rPr>
        <w:t xml:space="preserve">с изменением размера платы за технологическое присоединение по договору </w:t>
      </w:r>
      <w:r w:rsidRPr="00E47AA9">
        <w:rPr>
          <w:rFonts w:ascii="Times New Roman" w:hAnsi="Times New Roman" w:cs="Times New Roman"/>
          <w:sz w:val="28"/>
          <w:szCs w:val="28"/>
        </w:rPr>
        <w:t>по объектам на общую сумму 169,38 млн рублей (план</w:t>
      </w:r>
      <w:r w:rsidR="00576C74"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 657,94 млн рублей, факт 488,56 млн рублей)</w:t>
      </w:r>
      <w:r w:rsidRPr="00E47AA9">
        <w:rPr>
          <w:rStyle w:val="a8"/>
          <w:rFonts w:ascii="Times New Roman" w:hAnsi="Times New Roman"/>
          <w:sz w:val="28"/>
          <w:szCs w:val="28"/>
        </w:rPr>
        <w:t xml:space="preserve"> </w:t>
      </w:r>
      <w:r w:rsidRPr="00E47AA9">
        <w:rPr>
          <w:rStyle w:val="a8"/>
          <w:rFonts w:ascii="Times New Roman" w:hAnsi="Times New Roman"/>
          <w:sz w:val="28"/>
          <w:szCs w:val="28"/>
        </w:rPr>
        <w:footnoteReference w:id="58"/>
      </w:r>
      <w:r w:rsidRPr="00E47AA9">
        <w:rPr>
          <w:rFonts w:ascii="Times New Roman" w:hAnsi="Times New Roman" w:cs="Times New Roman"/>
          <w:sz w:val="28"/>
          <w:szCs w:val="28"/>
        </w:rPr>
        <w:t>;</w:t>
      </w:r>
    </w:p>
    <w:p w14:paraId="7EEA4F3F" w14:textId="1C783ED0" w:rsidR="0006322E" w:rsidRPr="00816ABD"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с экономией, сложившейся в результате корректировки проектных решений – 24,02 млн рублей (план </w:t>
      </w:r>
      <w:r w:rsidR="00576C74"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98,19 млн рублей, факт 74,17 млн рублей) по объекту музейный и театрально-образовательный комплекс г. Владивосток (капитальный ремонт </w:t>
      </w:r>
      <w:r w:rsidRPr="00816ABD">
        <w:rPr>
          <w:rFonts w:ascii="Times New Roman" w:hAnsi="Times New Roman" w:cs="Times New Roman"/>
          <w:sz w:val="28"/>
          <w:szCs w:val="28"/>
        </w:rPr>
        <w:t>улично-дорожной сети).</w:t>
      </w:r>
    </w:p>
    <w:p w14:paraId="7DEF1D31" w14:textId="3DD74D1C" w:rsidR="0006322E" w:rsidRPr="00816ABD" w:rsidRDefault="0006322E" w:rsidP="0006322E">
      <w:pPr>
        <w:spacing w:after="0" w:line="240" w:lineRule="auto"/>
        <w:ind w:firstLine="709"/>
        <w:jc w:val="both"/>
        <w:rPr>
          <w:rFonts w:ascii="Times New Roman" w:hAnsi="Times New Roman" w:cs="Times New Roman"/>
          <w:sz w:val="28"/>
          <w:szCs w:val="28"/>
        </w:rPr>
      </w:pPr>
      <w:r w:rsidRPr="00816ABD">
        <w:rPr>
          <w:rFonts w:ascii="Times New Roman" w:eastAsia="Times New Roman" w:hAnsi="Times New Roman" w:cs="Times New Roman"/>
          <w:sz w:val="28"/>
          <w:szCs w:val="28"/>
          <w:lang w:eastAsia="ru-RU"/>
        </w:rPr>
        <w:t xml:space="preserve">Стоит отметить, что за отчетный период министерством строительства </w:t>
      </w:r>
      <w:r w:rsidR="00F469F0" w:rsidRPr="00816ABD">
        <w:rPr>
          <w:rFonts w:ascii="Times New Roman" w:eastAsia="Times New Roman" w:hAnsi="Times New Roman" w:cs="Times New Roman"/>
          <w:sz w:val="28"/>
          <w:szCs w:val="28"/>
          <w:lang w:eastAsia="ru-RU"/>
        </w:rPr>
        <w:t xml:space="preserve">Приморского края </w:t>
      </w:r>
      <w:r w:rsidRPr="00816ABD">
        <w:rPr>
          <w:rFonts w:ascii="Times New Roman" w:eastAsia="Times New Roman" w:hAnsi="Times New Roman" w:cs="Times New Roman"/>
          <w:sz w:val="28"/>
          <w:szCs w:val="28"/>
          <w:lang w:eastAsia="ru-RU"/>
        </w:rPr>
        <w:t>не исполнялись 4 мероприятия из установленных 1</w:t>
      </w:r>
      <w:r w:rsidR="00EB4841" w:rsidRPr="00816ABD">
        <w:rPr>
          <w:rFonts w:ascii="Times New Roman" w:eastAsia="Times New Roman" w:hAnsi="Times New Roman" w:cs="Times New Roman"/>
          <w:sz w:val="28"/>
          <w:szCs w:val="28"/>
          <w:lang w:eastAsia="ru-RU"/>
        </w:rPr>
        <w:t>4</w:t>
      </w:r>
      <w:r w:rsidRPr="00816ABD">
        <w:rPr>
          <w:rStyle w:val="a8"/>
          <w:rFonts w:ascii="Times New Roman" w:hAnsi="Times New Roman"/>
          <w:sz w:val="28"/>
          <w:szCs w:val="28"/>
          <w:lang w:eastAsia="ru-RU"/>
        </w:rPr>
        <w:footnoteReference w:id="59"/>
      </w:r>
      <w:r w:rsidRPr="00816ABD">
        <w:rPr>
          <w:rFonts w:ascii="Times New Roman" w:eastAsia="Times New Roman" w:hAnsi="Times New Roman" w:cs="Times New Roman"/>
          <w:sz w:val="28"/>
          <w:szCs w:val="28"/>
          <w:lang w:eastAsia="ru-RU"/>
        </w:rPr>
        <w:t xml:space="preserve">, кроме того на </w:t>
      </w:r>
      <w:r w:rsidRPr="00816ABD">
        <w:rPr>
          <w:rFonts w:ascii="Times New Roman" w:hAnsi="Times New Roman" w:cs="Times New Roman"/>
          <w:sz w:val="28"/>
          <w:szCs w:val="28"/>
        </w:rPr>
        <w:t>уровне от 53,22 % до 77,27 % направлены бюджетные средства по 4 мероприятиям.</w:t>
      </w:r>
    </w:p>
    <w:p w14:paraId="593FE400" w14:textId="62751090" w:rsidR="0006322E" w:rsidRPr="00816ABD" w:rsidRDefault="0006322E" w:rsidP="0006322E">
      <w:pPr>
        <w:spacing w:after="0" w:line="240" w:lineRule="auto"/>
        <w:ind w:firstLine="709"/>
        <w:jc w:val="both"/>
        <w:rPr>
          <w:rFonts w:ascii="Times New Roman" w:hAnsi="Times New Roman" w:cs="Times New Roman"/>
          <w:sz w:val="28"/>
          <w:szCs w:val="28"/>
        </w:rPr>
      </w:pPr>
      <w:r w:rsidRPr="00816ABD">
        <w:rPr>
          <w:rFonts w:ascii="Times New Roman" w:hAnsi="Times New Roman" w:cs="Times New Roman"/>
          <w:sz w:val="28"/>
          <w:szCs w:val="28"/>
        </w:rPr>
        <w:t xml:space="preserve">Недостатки в реализации исполнения расходов министерством на реализацию ИБК связаны с неэффективным планированием, проведением аукционов и контролем за расходованием бюджетных средств. </w:t>
      </w:r>
    </w:p>
    <w:p w14:paraId="031AAFF1" w14:textId="602FD7D4" w:rsidR="0006322E" w:rsidRPr="00E47AA9" w:rsidRDefault="0006322E" w:rsidP="0006322E">
      <w:pPr>
        <w:autoSpaceDE w:val="0"/>
        <w:autoSpaceDN w:val="0"/>
        <w:adjustRightInd w:val="0"/>
        <w:spacing w:after="0" w:line="240" w:lineRule="auto"/>
        <w:ind w:firstLine="709"/>
        <w:jc w:val="both"/>
        <w:rPr>
          <w:rFonts w:ascii="Times New Roman" w:hAnsi="Times New Roman" w:cs="Times New Roman"/>
          <w:sz w:val="28"/>
          <w:szCs w:val="28"/>
        </w:rPr>
      </w:pPr>
      <w:r w:rsidRPr="00816ABD">
        <w:rPr>
          <w:rFonts w:ascii="Times New Roman" w:hAnsi="Times New Roman" w:cs="Times New Roman"/>
          <w:sz w:val="28"/>
          <w:szCs w:val="28"/>
        </w:rPr>
        <w:t xml:space="preserve">На низком уровне 50,21 %, или 23,60 млн рублей (план </w:t>
      </w:r>
      <w:r w:rsidR="00576C74" w:rsidRPr="00816ABD">
        <w:rPr>
          <w:rFonts w:ascii="Times New Roman" w:hAnsi="Times New Roman" w:cs="Times New Roman"/>
          <w:sz w:val="28"/>
          <w:szCs w:val="28"/>
        </w:rPr>
        <w:t xml:space="preserve">– </w:t>
      </w:r>
      <w:r w:rsidRPr="00816ABD">
        <w:rPr>
          <w:rFonts w:ascii="Times New Roman" w:hAnsi="Times New Roman" w:cs="Times New Roman"/>
          <w:sz w:val="28"/>
          <w:szCs w:val="28"/>
        </w:rPr>
        <w:t>47,00 млн рублей) направлены расходы на обеспечение мероприятий по переселению</w:t>
      </w:r>
      <w:r w:rsidRPr="00E47AA9">
        <w:rPr>
          <w:rFonts w:ascii="Times New Roman" w:hAnsi="Times New Roman" w:cs="Times New Roman"/>
          <w:sz w:val="28"/>
          <w:szCs w:val="28"/>
        </w:rPr>
        <w:t xml:space="preserve"> граждан из аварийного жилищного фонда и его ликвидации при принятом решении об изъятии земельных участков для муниципальных нужд, а именно: на выплату возмещений за изымаемые у собственников жилые помещения в </w:t>
      </w:r>
      <w:r w:rsidRPr="00E47AA9">
        <w:rPr>
          <w:rFonts w:ascii="Times New Roman" w:hAnsi="Times New Roman" w:cs="Times New Roman"/>
          <w:sz w:val="28"/>
          <w:szCs w:val="28"/>
        </w:rPr>
        <w:br/>
        <w:t xml:space="preserve">г. Спасск-Дальний, ул. Красногвардейская 104/3 (общежитие), в связи с угрозой обрушения здания. В неисполненном остатке расходов </w:t>
      </w:r>
      <w:r w:rsidR="001E22B7" w:rsidRPr="00E47AA9">
        <w:rPr>
          <w:rFonts w:ascii="Times New Roman" w:hAnsi="Times New Roman" w:cs="Times New Roman"/>
          <w:sz w:val="28"/>
          <w:szCs w:val="28"/>
        </w:rPr>
        <w:t>–</w:t>
      </w:r>
      <w:r w:rsidRPr="00E47AA9">
        <w:rPr>
          <w:rFonts w:ascii="Times New Roman" w:hAnsi="Times New Roman" w:cs="Times New Roman"/>
          <w:sz w:val="28"/>
          <w:szCs w:val="28"/>
        </w:rPr>
        <w:t xml:space="preserve"> 23,39 млн рублей, которые</w:t>
      </w:r>
      <w:r w:rsidRPr="00E47AA9">
        <w:rPr>
          <w:rFonts w:ascii="Times New Roman" w:eastAsia="Calibri" w:hAnsi="Times New Roman" w:cs="Times New Roman"/>
          <w:sz w:val="28"/>
          <w:szCs w:val="28"/>
        </w:rPr>
        <w:t xml:space="preserve"> связаны с поздним сроком финансирования (</w:t>
      </w:r>
      <w:r w:rsidRPr="00E47AA9">
        <w:rPr>
          <w:rFonts w:ascii="Times New Roman" w:hAnsi="Times New Roman" w:cs="Times New Roman"/>
          <w:sz w:val="28"/>
          <w:szCs w:val="28"/>
        </w:rPr>
        <w:t xml:space="preserve">30.10.2024), в результате муниципальным образованием не проведены аукционы в рамках 2024 года.  </w:t>
      </w:r>
      <w:r w:rsidR="00C31E9E" w:rsidRPr="00E47AA9">
        <w:rPr>
          <w:rFonts w:ascii="Times New Roman" w:hAnsi="Times New Roman" w:cs="Times New Roman"/>
          <w:sz w:val="28"/>
          <w:szCs w:val="28"/>
        </w:rPr>
        <w:t>Реализация мероприятий</w:t>
      </w:r>
      <w:r w:rsidRPr="00E47AA9">
        <w:rPr>
          <w:rFonts w:ascii="Times New Roman" w:hAnsi="Times New Roman" w:cs="Times New Roman"/>
          <w:sz w:val="28"/>
          <w:szCs w:val="28"/>
        </w:rPr>
        <w:t xml:space="preserve"> перенесен</w:t>
      </w:r>
      <w:r w:rsidR="00C31E9E" w:rsidRPr="00E47AA9">
        <w:rPr>
          <w:rFonts w:ascii="Times New Roman" w:hAnsi="Times New Roman" w:cs="Times New Roman"/>
          <w:sz w:val="28"/>
          <w:szCs w:val="28"/>
        </w:rPr>
        <w:t>а</w:t>
      </w:r>
      <w:r w:rsidRPr="00E47AA9">
        <w:rPr>
          <w:rFonts w:ascii="Times New Roman" w:hAnsi="Times New Roman" w:cs="Times New Roman"/>
          <w:sz w:val="28"/>
          <w:szCs w:val="28"/>
        </w:rPr>
        <w:t xml:space="preserve"> на 2025 год.</w:t>
      </w:r>
    </w:p>
    <w:p w14:paraId="31DC5F28" w14:textId="6CAE2596" w:rsidR="0006322E" w:rsidRPr="00E47AA9" w:rsidRDefault="0006322E" w:rsidP="0006322E">
      <w:pPr>
        <w:spacing w:after="0" w:line="240" w:lineRule="auto"/>
        <w:ind w:firstLine="708"/>
        <w:jc w:val="both"/>
        <w:rPr>
          <w:rFonts w:ascii="Times New Roman" w:hAnsi="Times New Roman" w:cs="Times New Roman"/>
          <w:sz w:val="28"/>
          <w:szCs w:val="28"/>
        </w:rPr>
      </w:pPr>
      <w:r w:rsidRPr="00E47AA9">
        <w:rPr>
          <w:rFonts w:ascii="Times New Roman" w:eastAsia="Calibri" w:hAnsi="Times New Roman" w:cs="Times New Roman"/>
          <w:sz w:val="28"/>
          <w:szCs w:val="28"/>
          <w:lang w:bidi="ru-RU"/>
        </w:rPr>
        <w:t xml:space="preserve">Хотелось бы отметить, что завершение строительства всех проблемных жилых объектов и восстановление прав граждан, пострадавших от действий недобросовестных застройщиков – часть мероприятий </w:t>
      </w:r>
      <w:r w:rsidRPr="00E47AA9">
        <w:rPr>
          <w:rFonts w:ascii="Times New Roman" w:eastAsia="Calibri" w:hAnsi="Times New Roman" w:cs="Times New Roman"/>
          <w:sz w:val="28"/>
          <w:szCs w:val="28"/>
        </w:rPr>
        <w:t xml:space="preserve">РП </w:t>
      </w:r>
      <w:hyperlink r:id="rId56" w:tgtFrame="_blank" w:history="1">
        <w:r w:rsidRPr="00E47AA9">
          <w:rPr>
            <w:rFonts w:ascii="Times New Roman" w:eastAsia="Calibri" w:hAnsi="Times New Roman" w:cs="Times New Roman"/>
            <w:sz w:val="28"/>
            <w:szCs w:val="28"/>
          </w:rPr>
          <w:t>"Жилье"</w:t>
        </w:r>
      </w:hyperlink>
      <w:r w:rsidRPr="00E47AA9">
        <w:rPr>
          <w:rFonts w:ascii="Times New Roman" w:eastAsia="Calibri" w:hAnsi="Times New Roman" w:cs="Times New Roman"/>
          <w:sz w:val="28"/>
          <w:szCs w:val="28"/>
        </w:rPr>
        <w:t xml:space="preserve"> (Приморский край) в рамках </w:t>
      </w:r>
      <w:hyperlink r:id="rId57" w:history="1">
        <w:r w:rsidRPr="00E47AA9">
          <w:rPr>
            <w:rFonts w:ascii="Times New Roman" w:eastAsia="Calibri" w:hAnsi="Times New Roman" w:cs="Times New Roman"/>
            <w:sz w:val="28"/>
            <w:szCs w:val="28"/>
            <w:lang w:bidi="ru-RU"/>
          </w:rPr>
          <w:t>НП "Жилье и городская среда"</w:t>
        </w:r>
      </w:hyperlink>
      <w:r w:rsidRPr="00E47AA9">
        <w:rPr>
          <w:rFonts w:ascii="Times New Roman" w:eastAsia="Calibri" w:hAnsi="Times New Roman" w:cs="Times New Roman"/>
          <w:sz w:val="28"/>
          <w:szCs w:val="28"/>
          <w:lang w:bidi="ru-RU"/>
        </w:rPr>
        <w:t xml:space="preserve"> (</w:t>
      </w:r>
      <w:r w:rsidR="001E22B7" w:rsidRPr="00E47AA9">
        <w:rPr>
          <w:rFonts w:ascii="Times New Roman" w:eastAsia="Calibri" w:hAnsi="Times New Roman" w:cs="Times New Roman"/>
          <w:sz w:val="28"/>
          <w:szCs w:val="28"/>
        </w:rPr>
        <w:t>срок реализации 2019 – </w:t>
      </w:r>
      <w:r w:rsidRPr="00E47AA9">
        <w:rPr>
          <w:rFonts w:ascii="Times New Roman" w:eastAsia="Calibri" w:hAnsi="Times New Roman" w:cs="Times New Roman"/>
          <w:sz w:val="28"/>
          <w:szCs w:val="28"/>
        </w:rPr>
        <w:t>2024)</w:t>
      </w:r>
      <w:r w:rsidR="00C31E9E"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Цель мероприятий</w:t>
      </w:r>
      <w:r w:rsidR="001E22B7"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 увеличение объемов жилищного строительства в Приморском крае на уровне 2 миллионов квадратных метров к 2030 году, ввод в эксплуатацию жилья в Приморском крае </w:t>
      </w:r>
      <w:r w:rsidRPr="00E47AA9">
        <w:rPr>
          <w:rFonts w:ascii="Times New Roman" w:eastAsia="Arial Unicode MS" w:hAnsi="Times New Roman" w:cs="Times New Roman"/>
          <w:sz w:val="28"/>
          <w:szCs w:val="28"/>
          <w:lang w:eastAsia="zh-CN"/>
        </w:rPr>
        <w:t xml:space="preserve">на 2024 год – 1,30 млн кв. м. Также в паспорте РП указано, что </w:t>
      </w:r>
      <w:r w:rsidRPr="00E47AA9">
        <w:rPr>
          <w:rFonts w:ascii="Times New Roman" w:eastAsia="Calibri" w:hAnsi="Times New Roman" w:cs="Times New Roman"/>
          <w:sz w:val="28"/>
          <w:szCs w:val="28"/>
        </w:rPr>
        <w:t xml:space="preserve">проводятся мероприятия по вовлечению </w:t>
      </w:r>
      <w:r w:rsidRPr="00E47AA9">
        <w:rPr>
          <w:rFonts w:ascii="Times New Roman" w:eastAsia="Calibri" w:hAnsi="Times New Roman" w:cs="Times New Roman"/>
          <w:spacing w:val="-2"/>
          <w:sz w:val="28"/>
          <w:szCs w:val="28"/>
        </w:rPr>
        <w:t xml:space="preserve">земельных участков в целях жилищного строительства. </w:t>
      </w:r>
      <w:r w:rsidRPr="00E47AA9">
        <w:rPr>
          <w:rFonts w:ascii="Times New Roman" w:eastAsia="Calibri" w:hAnsi="Times New Roman" w:cs="Times New Roman"/>
          <w:sz w:val="28"/>
          <w:szCs w:val="28"/>
          <w:lang w:bidi="ru-RU"/>
        </w:rPr>
        <w:t xml:space="preserve">Согласно </w:t>
      </w:r>
      <w:r w:rsidRPr="00E47AA9">
        <w:rPr>
          <w:rFonts w:ascii="Times New Roman" w:eastAsia="Calibri" w:hAnsi="Times New Roman" w:cs="Times New Roman"/>
          <w:sz w:val="28"/>
          <w:szCs w:val="28"/>
          <w:lang w:bidi="ru-RU"/>
        </w:rPr>
        <w:lastRenderedPageBreak/>
        <w:t>отчету о ходе реализации РП "Жилье (Приморский край)", а также данным министерства строительства Приморского края</w:t>
      </w:r>
      <w:r w:rsidR="001E22B7" w:rsidRPr="00E47AA9">
        <w:rPr>
          <w:rFonts w:ascii="Times New Roman" w:eastAsia="Calibri" w:hAnsi="Times New Roman" w:cs="Times New Roman"/>
          <w:sz w:val="28"/>
          <w:szCs w:val="28"/>
          <w:lang w:bidi="ru-RU"/>
        </w:rPr>
        <w:t>,</w:t>
      </w:r>
      <w:r w:rsidRPr="00E47AA9">
        <w:rPr>
          <w:rFonts w:ascii="Times New Roman" w:eastAsia="Calibri" w:hAnsi="Times New Roman" w:cs="Times New Roman"/>
          <w:sz w:val="28"/>
          <w:szCs w:val="28"/>
          <w:lang w:bidi="ru-RU"/>
        </w:rPr>
        <w:t xml:space="preserve"> в 2024 году в Приморском крае </w:t>
      </w:r>
      <w:r w:rsidRPr="00E47AA9">
        <w:rPr>
          <w:rFonts w:ascii="Times New Roman" w:hAnsi="Times New Roman" w:cs="Times New Roman"/>
          <w:sz w:val="28"/>
          <w:szCs w:val="28"/>
        </w:rPr>
        <w:t xml:space="preserve">введено в эксплуатацию 1,306 млн кв. м, в том числе: многоквартирные дома – 661,6 тыс. кв. м (в 2023 году </w:t>
      </w:r>
      <w:r w:rsidR="001E22B7" w:rsidRPr="00E47AA9">
        <w:rPr>
          <w:rFonts w:ascii="Times New Roman" w:hAnsi="Times New Roman" w:cs="Times New Roman"/>
          <w:sz w:val="28"/>
          <w:szCs w:val="28"/>
        </w:rPr>
        <w:t>–</w:t>
      </w:r>
      <w:r w:rsidRPr="00E47AA9">
        <w:rPr>
          <w:rFonts w:ascii="Times New Roman" w:hAnsi="Times New Roman" w:cs="Times New Roman"/>
          <w:sz w:val="28"/>
          <w:szCs w:val="28"/>
        </w:rPr>
        <w:t xml:space="preserve"> 646,43 тыс. кв. м), индивидуальное жилищное строительство (далее – ИЖС) – 644,4 тыс. кв. м (в 2023 год</w:t>
      </w:r>
      <w:r w:rsidR="001E22B7" w:rsidRPr="00E47AA9">
        <w:rPr>
          <w:rFonts w:ascii="Times New Roman" w:hAnsi="Times New Roman" w:cs="Times New Roman"/>
          <w:sz w:val="28"/>
          <w:szCs w:val="28"/>
        </w:rPr>
        <w:t>у –</w:t>
      </w:r>
      <w:r w:rsidRPr="00E47AA9">
        <w:rPr>
          <w:rFonts w:ascii="Times New Roman" w:hAnsi="Times New Roman" w:cs="Times New Roman"/>
          <w:sz w:val="28"/>
          <w:szCs w:val="28"/>
        </w:rPr>
        <w:t xml:space="preserve"> 562,68</w:t>
      </w:r>
      <w:r w:rsidR="001E22B7" w:rsidRPr="00E47AA9">
        <w:rPr>
          <w:rFonts w:ascii="Times New Roman" w:hAnsi="Times New Roman" w:cs="Times New Roman"/>
          <w:sz w:val="28"/>
          <w:szCs w:val="28"/>
        </w:rPr>
        <w:t> </w:t>
      </w:r>
      <w:r w:rsidRPr="00E47AA9">
        <w:rPr>
          <w:rFonts w:ascii="Times New Roman" w:hAnsi="Times New Roman" w:cs="Times New Roman"/>
          <w:sz w:val="28"/>
          <w:szCs w:val="28"/>
        </w:rPr>
        <w:t>тыс. кв. м).</w:t>
      </w:r>
    </w:p>
    <w:p w14:paraId="6E3B5A9F" w14:textId="32E9EC6B" w:rsidR="0006322E" w:rsidRPr="00E47AA9" w:rsidRDefault="0006322E" w:rsidP="0006322E">
      <w:pPr>
        <w:pStyle w:val="Default"/>
        <w:ind w:firstLine="709"/>
        <w:jc w:val="both"/>
        <w:rPr>
          <w:rFonts w:eastAsia="Calibri"/>
          <w:color w:val="auto"/>
          <w:sz w:val="28"/>
          <w:szCs w:val="28"/>
        </w:rPr>
      </w:pPr>
      <w:r w:rsidRPr="00E47AA9">
        <w:rPr>
          <w:color w:val="auto"/>
          <w:sz w:val="28"/>
          <w:szCs w:val="28"/>
        </w:rPr>
        <w:t xml:space="preserve">По </w:t>
      </w:r>
      <w:r w:rsidRPr="00E47AA9">
        <w:rPr>
          <w:i/>
          <w:color w:val="auto"/>
          <w:sz w:val="28"/>
          <w:szCs w:val="28"/>
        </w:rPr>
        <w:t xml:space="preserve">КПМ "Поддержка муниципальных программ развития жилищного строительства на территории Приморского края" </w:t>
      </w:r>
      <w:r w:rsidRPr="00E47AA9">
        <w:rPr>
          <w:color w:val="auto"/>
          <w:sz w:val="28"/>
          <w:szCs w:val="28"/>
        </w:rPr>
        <w:t>министерством по жилищно-коммунальному хозяйству Приморского края направлено 83,34 млн рублей, или 93,32 % (89,31 млн рублей)</w:t>
      </w:r>
      <w:r w:rsidR="001E22B7" w:rsidRPr="00E47AA9">
        <w:rPr>
          <w:color w:val="auto"/>
          <w:sz w:val="28"/>
          <w:szCs w:val="28"/>
        </w:rPr>
        <w:t>,</w:t>
      </w:r>
      <w:r w:rsidRPr="00E47AA9">
        <w:rPr>
          <w:color w:val="auto"/>
          <w:sz w:val="28"/>
          <w:szCs w:val="28"/>
        </w:rPr>
        <w:t xml:space="preserve"> в соответствии с заявками на обеспечение земельных участков</w:t>
      </w:r>
      <w:r w:rsidR="00B4605D" w:rsidRPr="00E47AA9">
        <w:rPr>
          <w:color w:val="auto"/>
          <w:sz w:val="28"/>
          <w:szCs w:val="28"/>
        </w:rPr>
        <w:t xml:space="preserve"> инженерной инфраструктурой</w:t>
      </w:r>
      <w:r w:rsidRPr="00E47AA9">
        <w:rPr>
          <w:color w:val="auto"/>
          <w:sz w:val="28"/>
          <w:szCs w:val="28"/>
        </w:rPr>
        <w:t>, предоставленных на бесплатной основе гражданам, имеющим трех и более детей</w:t>
      </w:r>
      <w:r w:rsidR="001E22B7" w:rsidRPr="00E47AA9">
        <w:rPr>
          <w:color w:val="auto"/>
          <w:sz w:val="28"/>
          <w:szCs w:val="28"/>
        </w:rPr>
        <w:t>.</w:t>
      </w:r>
      <w:r w:rsidRPr="00E47AA9">
        <w:rPr>
          <w:color w:val="auto"/>
          <w:sz w:val="28"/>
          <w:szCs w:val="28"/>
        </w:rPr>
        <w:t xml:space="preserve"> </w:t>
      </w:r>
      <w:r w:rsidR="001E22B7" w:rsidRPr="00E47AA9">
        <w:rPr>
          <w:color w:val="auto"/>
          <w:sz w:val="28"/>
          <w:szCs w:val="28"/>
        </w:rPr>
        <w:t>Н</w:t>
      </w:r>
      <w:r w:rsidRPr="00E47AA9">
        <w:rPr>
          <w:color w:val="auto"/>
          <w:sz w:val="28"/>
          <w:szCs w:val="28"/>
        </w:rPr>
        <w:t>аправлены субсидии 3 муниципальным образованиям</w:t>
      </w:r>
      <w:r w:rsidRPr="00E47AA9">
        <w:rPr>
          <w:rStyle w:val="a8"/>
          <w:color w:val="auto"/>
          <w:sz w:val="28"/>
          <w:szCs w:val="28"/>
        </w:rPr>
        <w:footnoteReference w:id="60"/>
      </w:r>
      <w:r w:rsidRPr="00E47AA9">
        <w:rPr>
          <w:color w:val="auto"/>
          <w:sz w:val="28"/>
          <w:szCs w:val="28"/>
          <w:lang w:eastAsia="ru-RU"/>
        </w:rPr>
        <w:t xml:space="preserve">. Не исполнено 5,97 млн рублей </w:t>
      </w:r>
      <w:r w:rsidRPr="00E47AA9">
        <w:rPr>
          <w:rFonts w:eastAsia="Calibri"/>
          <w:color w:val="auto"/>
          <w:sz w:val="28"/>
          <w:szCs w:val="28"/>
        </w:rPr>
        <w:t>в связи с экономией муниципальных образований по результатам выполненных работ</w:t>
      </w:r>
      <w:r w:rsidRPr="00E47AA9">
        <w:rPr>
          <w:color w:val="auto"/>
          <w:sz w:val="28"/>
          <w:szCs w:val="28"/>
        </w:rPr>
        <w:t>. В паспорте ГП н</w:t>
      </w:r>
      <w:r w:rsidRPr="00E47AA9">
        <w:rPr>
          <w:rFonts w:eastAsia="Calibri"/>
          <w:color w:val="auto"/>
          <w:sz w:val="28"/>
          <w:szCs w:val="28"/>
        </w:rPr>
        <w:t xml:space="preserve">а 2024 год </w:t>
      </w:r>
      <w:r w:rsidRPr="00E47AA9">
        <w:rPr>
          <w:color w:val="auto"/>
          <w:sz w:val="28"/>
          <w:szCs w:val="28"/>
        </w:rPr>
        <w:t xml:space="preserve">установлен целевой показатель </w:t>
      </w:r>
      <w:r w:rsidRPr="00E47AA9">
        <w:rPr>
          <w:rFonts w:eastAsia="Calibri"/>
          <w:color w:val="auto"/>
          <w:sz w:val="28"/>
          <w:szCs w:val="28"/>
        </w:rPr>
        <w:t>"</w:t>
      </w:r>
      <w:r w:rsidRPr="00E47AA9">
        <w:rPr>
          <w:color w:val="auto"/>
          <w:sz w:val="28"/>
          <w:szCs w:val="28"/>
        </w:rPr>
        <w:t xml:space="preserve">Количество обеспеченных инженерной инфраструктурой земельных участков, предоставленных гражданам, имеющим трех и более детей" в размере </w:t>
      </w:r>
      <w:r w:rsidRPr="00E47AA9">
        <w:rPr>
          <w:rFonts w:eastAsia="Calibri"/>
          <w:color w:val="auto"/>
          <w:sz w:val="28"/>
          <w:szCs w:val="28"/>
        </w:rPr>
        <w:t>119 земельных участков, фактический составил –164, что указывает на недостаточно точное планирование и требует пересмотра показателей с целью повышения их реалистичности и соответствия фактическим возможностям исполнения;</w:t>
      </w:r>
    </w:p>
    <w:p w14:paraId="7610757A" w14:textId="77777777" w:rsidR="0006322E" w:rsidRPr="00E47AA9"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sz w:val="28"/>
          <w:szCs w:val="28"/>
          <w:lang w:eastAsia="ru-RU"/>
        </w:rPr>
        <w:t xml:space="preserve">По </w:t>
      </w:r>
      <w:r w:rsidRPr="00E47AA9">
        <w:rPr>
          <w:rFonts w:ascii="Times New Roman" w:eastAsia="Times New Roman" w:hAnsi="Times New Roman" w:cs="Times New Roman"/>
          <w:i/>
          <w:sz w:val="28"/>
          <w:szCs w:val="28"/>
          <w:lang w:eastAsia="ru-RU"/>
        </w:rPr>
        <w:t>КПМ "Реализация мероприятий, источником финансового обеспечения которых являются специальные казначейские кредиты из федерального бюджета</w:t>
      </w:r>
      <w:r w:rsidRPr="00E47AA9">
        <w:rPr>
          <w:rFonts w:ascii="Times New Roman" w:eastAsia="Times New Roman" w:hAnsi="Times New Roman" w:cs="Times New Roman"/>
          <w:sz w:val="28"/>
          <w:szCs w:val="28"/>
          <w:lang w:eastAsia="ru-RU"/>
        </w:rPr>
        <w:t xml:space="preserve">" </w:t>
      </w:r>
      <w:r w:rsidRPr="00E47AA9">
        <w:rPr>
          <w:rFonts w:ascii="Times New Roman" w:hAnsi="Times New Roman" w:cs="Times New Roman"/>
          <w:sz w:val="28"/>
          <w:szCs w:val="28"/>
        </w:rPr>
        <w:t xml:space="preserve">министерством строительства Приморского края </w:t>
      </w:r>
      <w:r w:rsidRPr="00E47AA9">
        <w:rPr>
          <w:rFonts w:ascii="Times New Roman" w:eastAsia="Times New Roman" w:hAnsi="Times New Roman" w:cs="Times New Roman"/>
          <w:sz w:val="28"/>
          <w:szCs w:val="28"/>
          <w:lang w:eastAsia="ru-RU"/>
        </w:rPr>
        <w:t xml:space="preserve">направлено </w:t>
      </w:r>
      <w:r w:rsidRPr="00E47AA9">
        <w:rPr>
          <w:rFonts w:ascii="Times New Roman" w:hAnsi="Times New Roman" w:cs="Times New Roman"/>
          <w:sz w:val="28"/>
          <w:szCs w:val="28"/>
          <w:lang w:eastAsia="ru-RU"/>
        </w:rPr>
        <w:t>2205,25</w:t>
      </w:r>
      <w:r w:rsidRPr="00E47AA9">
        <w:rPr>
          <w:rFonts w:ascii="Times New Roman" w:eastAsia="Times New Roman" w:hAnsi="Times New Roman" w:cs="Times New Roman"/>
          <w:sz w:val="28"/>
          <w:szCs w:val="28"/>
          <w:lang w:eastAsia="ru-RU"/>
        </w:rPr>
        <w:t xml:space="preserve"> млн рублей, или </w:t>
      </w:r>
      <w:r w:rsidRPr="00E47AA9">
        <w:rPr>
          <w:rFonts w:ascii="Times New Roman" w:hAnsi="Times New Roman" w:cs="Times New Roman"/>
          <w:sz w:val="28"/>
          <w:szCs w:val="28"/>
          <w:lang w:eastAsia="ru-RU"/>
        </w:rPr>
        <w:t>55,91</w:t>
      </w:r>
      <w:r w:rsidRPr="00E47AA9">
        <w:rPr>
          <w:rFonts w:ascii="Times New Roman" w:eastAsia="Times New Roman" w:hAnsi="Times New Roman" w:cs="Times New Roman"/>
          <w:sz w:val="28"/>
          <w:szCs w:val="28"/>
          <w:lang w:eastAsia="ru-RU"/>
        </w:rPr>
        <w:t xml:space="preserve"> % (</w:t>
      </w:r>
      <w:r w:rsidRPr="00E47AA9">
        <w:rPr>
          <w:rFonts w:ascii="Times New Roman" w:hAnsi="Times New Roman" w:cs="Times New Roman"/>
          <w:sz w:val="28"/>
          <w:szCs w:val="28"/>
          <w:lang w:eastAsia="ru-RU"/>
        </w:rPr>
        <w:t>3944,21</w:t>
      </w:r>
      <w:r w:rsidRPr="00E47AA9">
        <w:rPr>
          <w:rFonts w:ascii="Times New Roman" w:eastAsia="Times New Roman" w:hAnsi="Times New Roman" w:cs="Times New Roman"/>
          <w:sz w:val="28"/>
          <w:szCs w:val="28"/>
          <w:lang w:eastAsia="ru-RU"/>
        </w:rPr>
        <w:t xml:space="preserve"> млн рублей), в том числе: 33,00 млн рублей в полном объеме </w:t>
      </w:r>
      <w:r w:rsidR="001E22B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на газификацию ООО "</w:t>
      </w:r>
      <w:proofErr w:type="spellStart"/>
      <w:r w:rsidRPr="00E47AA9">
        <w:rPr>
          <w:rFonts w:ascii="Times New Roman" w:eastAsia="Times New Roman" w:hAnsi="Times New Roman" w:cs="Times New Roman"/>
          <w:sz w:val="28"/>
          <w:szCs w:val="28"/>
          <w:lang w:eastAsia="ru-RU"/>
        </w:rPr>
        <w:t>АгроПтица</w:t>
      </w:r>
      <w:proofErr w:type="spellEnd"/>
      <w:r w:rsidRPr="00E47AA9">
        <w:rPr>
          <w:rFonts w:ascii="Times New Roman" w:eastAsia="Times New Roman" w:hAnsi="Times New Roman" w:cs="Times New Roman"/>
          <w:sz w:val="28"/>
          <w:szCs w:val="28"/>
          <w:lang w:eastAsia="ru-RU"/>
        </w:rPr>
        <w:t>"; 2172,25 млн рублей, или 74,62 % (3911,21 млн рублей)</w:t>
      </w:r>
      <w:r w:rsidR="001E22B7" w:rsidRPr="00E47AA9">
        <w:rPr>
          <w:rFonts w:ascii="Times New Roman" w:eastAsia="Times New Roman" w:hAnsi="Times New Roman" w:cs="Times New Roman"/>
          <w:sz w:val="28"/>
          <w:szCs w:val="28"/>
          <w:lang w:eastAsia="ru-RU"/>
        </w:rPr>
        <w:t>,</w:t>
      </w:r>
      <w:r w:rsidRPr="00E47AA9">
        <w:rPr>
          <w:rFonts w:ascii="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на</w:t>
      </w:r>
      <w:r w:rsidRPr="00E47AA9">
        <w:rPr>
          <w:rFonts w:ascii="Times New Roman" w:hAnsi="Times New Roman" w:cs="Times New Roman"/>
          <w:sz w:val="28"/>
          <w:szCs w:val="28"/>
        </w:rPr>
        <w:t xml:space="preserve"> </w:t>
      </w:r>
      <w:r w:rsidRPr="00E47AA9">
        <w:rPr>
          <w:rFonts w:ascii="Times New Roman" w:eastAsia="Times New Roman" w:hAnsi="Times New Roman" w:cs="Times New Roman"/>
          <w:sz w:val="28"/>
          <w:szCs w:val="28"/>
          <w:lang w:eastAsia="ru-RU"/>
        </w:rPr>
        <w:t>строительство, реконструкцию (модернизаци</w:t>
      </w:r>
      <w:r w:rsidR="009B05B5" w:rsidRPr="00E47AA9">
        <w:rPr>
          <w:rFonts w:ascii="Times New Roman" w:eastAsia="Times New Roman" w:hAnsi="Times New Roman" w:cs="Times New Roman"/>
          <w:sz w:val="28"/>
          <w:szCs w:val="28"/>
          <w:lang w:eastAsia="ru-RU"/>
        </w:rPr>
        <w:t>ю</w:t>
      </w:r>
      <w:r w:rsidRPr="00E47AA9">
        <w:rPr>
          <w:rFonts w:ascii="Times New Roman" w:eastAsia="Times New Roman" w:hAnsi="Times New Roman" w:cs="Times New Roman"/>
          <w:sz w:val="28"/>
          <w:szCs w:val="28"/>
          <w:lang w:eastAsia="ru-RU"/>
        </w:rPr>
        <w:t xml:space="preserve">), капитальный ремонт объектов коммунальной, транспортной инфраструктур, приобретение подвижного состава городского транспорта общего пользования, технологическое присоединение к сетям инженерно-технического обеспечения, выполнение работ по благоустройству территорий). Не исполнено 1738,96 млн рублей </w:t>
      </w:r>
      <w:r w:rsidRPr="00E47AA9">
        <w:rPr>
          <w:rFonts w:ascii="Times New Roman" w:hAnsi="Times New Roman" w:cs="Times New Roman"/>
          <w:sz w:val="28"/>
          <w:szCs w:val="28"/>
        </w:rPr>
        <w:t>в связи с финансированием по фактически выполненным и документально подтвержденным работам на строительство, реконструкцию (модернизацию), капитальный ремонт объектов коммунальной, транспортной инфраструктур, приобретение подвижного состава городского транспорта общего пользования, технологическое присоединение к сетям инженерно-технического обеспечения, выполнение работ по благоустройству территорий.</w:t>
      </w:r>
    </w:p>
    <w:p w14:paraId="7077C2ED" w14:textId="77777777" w:rsidR="0006322E" w:rsidRPr="00E47AA9" w:rsidRDefault="0006322E" w:rsidP="0006322E">
      <w:pPr>
        <w:autoSpaceDE w:val="0"/>
        <w:autoSpaceDN w:val="0"/>
        <w:adjustRightInd w:val="0"/>
        <w:spacing w:after="0" w:line="240" w:lineRule="auto"/>
        <w:ind w:firstLine="709"/>
        <w:jc w:val="both"/>
        <w:rPr>
          <w:rFonts w:ascii="Times New Roman" w:eastAsia="Times New Roman" w:hAnsi="Times New Roman" w:cs="Times New Roman"/>
          <w:b/>
          <w:sz w:val="28"/>
          <w:szCs w:val="27"/>
          <w:lang w:eastAsia="ru-RU"/>
        </w:rPr>
      </w:pPr>
      <w:r w:rsidRPr="00E47AA9">
        <w:rPr>
          <w:rFonts w:ascii="Times New Roman" w:eastAsia="Times New Roman" w:hAnsi="Times New Roman" w:cs="Times New Roman"/>
          <w:b/>
          <w:sz w:val="28"/>
          <w:szCs w:val="27"/>
          <w:lang w:eastAsia="ru-RU"/>
        </w:rPr>
        <w:lastRenderedPageBreak/>
        <w:t>Подпрограмма "Обеспечение жильем молодых семей Приморского края"</w:t>
      </w:r>
    </w:p>
    <w:p w14:paraId="3D7DF6CF" w14:textId="77777777" w:rsidR="0006322E" w:rsidRPr="00E47AA9" w:rsidRDefault="0006322E" w:rsidP="0006322E">
      <w:pPr>
        <w:autoSpaceDE w:val="0"/>
        <w:autoSpaceDN w:val="0"/>
        <w:adjustRightInd w:val="0"/>
        <w:spacing w:after="0" w:line="240" w:lineRule="auto"/>
        <w:ind w:firstLine="709"/>
        <w:jc w:val="both"/>
        <w:rPr>
          <w:rFonts w:ascii="Times New Roman" w:hAnsi="Times New Roman" w:cs="Times New Roman"/>
          <w:bCs/>
          <w:i/>
          <w:iCs/>
          <w:sz w:val="28"/>
          <w:szCs w:val="28"/>
        </w:rPr>
      </w:pPr>
      <w:r w:rsidRPr="00E47AA9">
        <w:rPr>
          <w:rFonts w:ascii="Times New Roman" w:eastAsia="Times New Roman" w:hAnsi="Times New Roman" w:cs="Times New Roman"/>
          <w:sz w:val="28"/>
          <w:szCs w:val="27"/>
          <w:lang w:eastAsia="ru-RU"/>
        </w:rPr>
        <w:t xml:space="preserve">Расходы по подпрограмме осуществлялись </w:t>
      </w:r>
      <w:r w:rsidRPr="00E47AA9">
        <w:rPr>
          <w:rFonts w:ascii="Times New Roman" w:eastAsia="Times New Roman" w:hAnsi="Times New Roman" w:cs="Times New Roman"/>
          <w:sz w:val="28"/>
          <w:szCs w:val="27"/>
          <w:u w:val="single"/>
          <w:lang w:eastAsia="ru-RU"/>
        </w:rPr>
        <w:t>агентством по делам молодежи Приморского края</w:t>
      </w:r>
      <w:r w:rsidRPr="00E47AA9">
        <w:rPr>
          <w:rFonts w:ascii="Times New Roman" w:hAnsi="Times New Roman" w:cs="Times New Roman"/>
          <w:bCs/>
          <w:iCs/>
          <w:sz w:val="28"/>
          <w:szCs w:val="28"/>
        </w:rPr>
        <w:t xml:space="preserve"> по</w:t>
      </w:r>
      <w:r w:rsidRPr="00E47AA9">
        <w:rPr>
          <w:rFonts w:ascii="Times New Roman" w:eastAsia="Times New Roman" w:hAnsi="Times New Roman" w:cs="Times New Roman"/>
          <w:sz w:val="28"/>
          <w:szCs w:val="27"/>
          <w:lang w:eastAsia="ru-RU"/>
        </w:rPr>
        <w:t xml:space="preserve"> </w:t>
      </w:r>
      <w:r w:rsidRPr="00E47AA9">
        <w:rPr>
          <w:rFonts w:ascii="Times New Roman" w:eastAsia="Times New Roman" w:hAnsi="Times New Roman" w:cs="Times New Roman"/>
          <w:i/>
          <w:sz w:val="28"/>
          <w:szCs w:val="27"/>
          <w:lang w:eastAsia="ru-RU"/>
        </w:rPr>
        <w:t>КПМ</w:t>
      </w:r>
      <w:r w:rsidRPr="00E47AA9">
        <w:rPr>
          <w:rFonts w:ascii="Times New Roman" w:hAnsi="Times New Roman" w:cs="Times New Roman"/>
          <w:bCs/>
          <w:i/>
          <w:iCs/>
          <w:sz w:val="28"/>
          <w:szCs w:val="28"/>
        </w:rPr>
        <w:t xml:space="preserve"> "Предоставление молодым семьям социальных выплат на приобретение жилого помещения или создание объекта индивидуального жилищного строительства". </w:t>
      </w:r>
    </w:p>
    <w:p w14:paraId="24722EA7" w14:textId="6BF5C38D" w:rsidR="0006322E" w:rsidRPr="00E47AA9" w:rsidRDefault="0006322E" w:rsidP="0006322E">
      <w:pPr>
        <w:autoSpaceDE w:val="0"/>
        <w:autoSpaceDN w:val="0"/>
        <w:adjustRightInd w:val="0"/>
        <w:spacing w:after="0" w:line="240" w:lineRule="auto"/>
        <w:ind w:firstLine="709"/>
        <w:jc w:val="both"/>
        <w:rPr>
          <w:rFonts w:ascii="Times New Roman" w:eastAsia="Calibri" w:hAnsi="Times New Roman" w:cs="Times New Roman"/>
          <w:sz w:val="24"/>
          <w:szCs w:val="24"/>
        </w:rPr>
      </w:pPr>
      <w:r w:rsidRPr="00E47AA9">
        <w:rPr>
          <w:rFonts w:ascii="Times New Roman" w:hAnsi="Times New Roman" w:cs="Times New Roman"/>
          <w:bCs/>
          <w:iCs/>
          <w:sz w:val="28"/>
          <w:szCs w:val="28"/>
        </w:rPr>
        <w:t>Исполнение расходов за 2024 год –</w:t>
      </w:r>
      <w:r w:rsidRPr="00E47AA9">
        <w:rPr>
          <w:rFonts w:ascii="Times New Roman" w:hAnsi="Times New Roman" w:cs="Times New Roman"/>
          <w:b/>
          <w:bCs/>
          <w:iCs/>
          <w:sz w:val="28"/>
          <w:szCs w:val="28"/>
        </w:rPr>
        <w:t xml:space="preserve"> </w:t>
      </w:r>
      <w:r w:rsidRPr="00E47AA9">
        <w:rPr>
          <w:rFonts w:ascii="Times New Roman" w:eastAsia="Times New Roman" w:hAnsi="Times New Roman" w:cs="Times New Roman"/>
          <w:sz w:val="28"/>
          <w:szCs w:val="28"/>
        </w:rPr>
        <w:t xml:space="preserve">354,96 млн рублей, или 99,82 % (355,59 млн рублей), в том числе за счет федеральных средств – 147,53 млн рублей, или 99,99 % (план </w:t>
      </w:r>
      <w:r w:rsidR="00E0556A"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rPr>
        <w:t>147,55 млн рублей), краевых – 207,43</w:t>
      </w:r>
      <w:r w:rsidRPr="00E47AA9">
        <w:rPr>
          <w:rFonts w:ascii="Times New Roman" w:eastAsia="Times New Roman" w:hAnsi="Times New Roman" w:cs="Times New Roman"/>
          <w:sz w:val="28"/>
          <w:szCs w:val="28"/>
          <w:lang w:val="en-US"/>
        </w:rPr>
        <w:t> </w:t>
      </w:r>
      <w:r w:rsidRPr="00E47AA9">
        <w:rPr>
          <w:rFonts w:ascii="Times New Roman" w:eastAsia="Times New Roman" w:hAnsi="Times New Roman" w:cs="Times New Roman"/>
          <w:sz w:val="28"/>
          <w:szCs w:val="28"/>
        </w:rPr>
        <w:t xml:space="preserve">млн рублей, или 99,71 % (план </w:t>
      </w:r>
      <w:r w:rsidR="00E0556A"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rPr>
        <w:t>208,04 млн рублей). Кроме того, согласно информации агентства</w:t>
      </w:r>
      <w:r w:rsidR="001051E1"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по исполнению ГП </w:t>
      </w:r>
      <w:r w:rsidRPr="00E47AA9">
        <w:rPr>
          <w:rFonts w:ascii="Times New Roman" w:eastAsia="Calibri" w:hAnsi="Times New Roman" w:cs="Times New Roman"/>
          <w:sz w:val="28"/>
          <w:szCs w:val="28"/>
        </w:rPr>
        <w:t>за сч</w:t>
      </w:r>
      <w:r w:rsidR="001051E1" w:rsidRPr="00E47AA9">
        <w:rPr>
          <w:rFonts w:ascii="Times New Roman" w:eastAsia="Calibri" w:hAnsi="Times New Roman" w:cs="Times New Roman"/>
          <w:sz w:val="28"/>
          <w:szCs w:val="28"/>
        </w:rPr>
        <w:t>ет иных внебюджетных источников</w:t>
      </w:r>
      <w:r w:rsidRPr="00E47AA9">
        <w:rPr>
          <w:rFonts w:ascii="Times New Roman" w:eastAsia="Calibri" w:hAnsi="Times New Roman" w:cs="Times New Roman"/>
          <w:sz w:val="28"/>
          <w:szCs w:val="28"/>
        </w:rPr>
        <w:t xml:space="preserve"> освоено 491,24 млн рублей</w:t>
      </w:r>
      <w:r w:rsidRPr="00E47AA9">
        <w:rPr>
          <w:rFonts w:ascii="Times New Roman" w:eastAsia="Calibri" w:hAnsi="Times New Roman" w:cs="Times New Roman"/>
          <w:sz w:val="24"/>
          <w:szCs w:val="24"/>
          <w:vertAlign w:val="superscript"/>
        </w:rPr>
        <w:footnoteReference w:id="61"/>
      </w:r>
      <w:r w:rsidRPr="00E47AA9">
        <w:rPr>
          <w:rFonts w:ascii="Times New Roman" w:eastAsia="Calibri" w:hAnsi="Times New Roman" w:cs="Times New Roman"/>
          <w:sz w:val="24"/>
          <w:szCs w:val="24"/>
        </w:rPr>
        <w:t xml:space="preserve">. </w:t>
      </w:r>
    </w:p>
    <w:p w14:paraId="4B749323" w14:textId="77777777" w:rsidR="0006322E" w:rsidRPr="00E47AA9" w:rsidRDefault="0006322E" w:rsidP="0006322E">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E47AA9">
        <w:rPr>
          <w:rFonts w:ascii="Times New Roman" w:eastAsia="Calibri" w:hAnsi="Times New Roman" w:cs="Times New Roman"/>
          <w:sz w:val="28"/>
          <w:szCs w:val="28"/>
        </w:rPr>
        <w:t xml:space="preserve">Согласно </w:t>
      </w:r>
      <w:proofErr w:type="gramStart"/>
      <w:r w:rsidRPr="00E47AA9">
        <w:rPr>
          <w:rFonts w:ascii="Times New Roman" w:eastAsia="Calibri" w:hAnsi="Times New Roman" w:cs="Times New Roman"/>
          <w:sz w:val="28"/>
          <w:szCs w:val="28"/>
        </w:rPr>
        <w:t>отчету</w:t>
      </w:r>
      <w:proofErr w:type="gramEnd"/>
      <w:r w:rsidRPr="00E47AA9">
        <w:rPr>
          <w:rFonts w:ascii="Times New Roman" w:eastAsia="Calibri" w:hAnsi="Times New Roman" w:cs="Times New Roman"/>
          <w:sz w:val="28"/>
          <w:szCs w:val="28"/>
        </w:rPr>
        <w:t xml:space="preserve"> в</w:t>
      </w:r>
      <w:r w:rsidRPr="00E47AA9">
        <w:rPr>
          <w:rFonts w:ascii="Times New Roman" w:eastAsia="Times New Roman" w:hAnsi="Times New Roman" w:cs="Times New Roman"/>
          <w:sz w:val="28"/>
          <w:szCs w:val="28"/>
        </w:rPr>
        <w:t xml:space="preserve"> 2024 году направлено:</w:t>
      </w:r>
    </w:p>
    <w:p w14:paraId="523D70B8" w14:textId="316E0BF8" w:rsidR="0006322E" w:rsidRPr="00E47AA9" w:rsidRDefault="0006322E" w:rsidP="0006322E">
      <w:pPr>
        <w:spacing w:after="0" w:line="240" w:lineRule="auto"/>
        <w:ind w:firstLine="709"/>
        <w:jc w:val="both"/>
        <w:rPr>
          <w:rFonts w:ascii="Times New Roman" w:hAnsi="Times New Roman" w:cs="Times New Roman"/>
          <w:bCs/>
          <w:sz w:val="28"/>
          <w:szCs w:val="28"/>
        </w:rPr>
      </w:pPr>
      <w:r w:rsidRPr="00E47AA9">
        <w:rPr>
          <w:rFonts w:ascii="Times New Roman" w:eastAsia="Times New Roman" w:hAnsi="Times New Roman" w:cs="Times New Roman"/>
          <w:sz w:val="28"/>
          <w:szCs w:val="28"/>
        </w:rPr>
        <w:t xml:space="preserve">347,52 млн рублей, или 99,99 % (план </w:t>
      </w:r>
      <w:r w:rsidR="00E0556A"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rPr>
        <w:t xml:space="preserve">347,55 млн рублей), из них за счет средств федерального бюджета 147,53 млн рублей (план </w:t>
      </w:r>
      <w:r w:rsidR="00E0556A"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rPr>
        <w:t xml:space="preserve">147,55 млн рублей) </w:t>
      </w:r>
      <w:r w:rsidR="001051E1"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на предоставление субсидии бюджетам муниципальных образований Приморского края на социальные выплаты молодым семьям для приобретения (строительства) стандартного жилья. </w:t>
      </w:r>
      <w:r w:rsidRPr="00E47AA9">
        <w:rPr>
          <w:rFonts w:ascii="Times New Roman" w:eastAsia="Times New Roman" w:hAnsi="Times New Roman" w:cs="Times New Roman"/>
          <w:sz w:val="28"/>
          <w:szCs w:val="28"/>
          <w:lang w:eastAsia="ru-RU"/>
        </w:rPr>
        <w:t>По итогам реализации подпрограммы бюджетам 2</w:t>
      </w:r>
      <w:r w:rsidRPr="00E47AA9">
        <w:rPr>
          <w:rFonts w:ascii="Times New Roman" w:eastAsia="Calibri" w:hAnsi="Times New Roman" w:cs="Times New Roman"/>
          <w:sz w:val="28"/>
          <w:szCs w:val="28"/>
          <w:lang w:eastAsia="ru-RU"/>
        </w:rPr>
        <w:t>6</w:t>
      </w:r>
      <w:r w:rsidRPr="00E47AA9">
        <w:rPr>
          <w:rFonts w:ascii="Times New Roman" w:eastAsia="Times New Roman" w:hAnsi="Times New Roman" w:cs="Times New Roman"/>
          <w:sz w:val="28"/>
          <w:szCs w:val="28"/>
          <w:lang w:eastAsia="ru-RU"/>
        </w:rPr>
        <w:t xml:space="preserve"> муниципальных образований Приморского края предоставлена субсидия, </w:t>
      </w:r>
      <w:r w:rsidRPr="00E47AA9">
        <w:rPr>
          <w:rFonts w:ascii="Times New Roman" w:hAnsi="Times New Roman" w:cs="Times New Roman"/>
          <w:bCs/>
          <w:sz w:val="28"/>
          <w:szCs w:val="28"/>
        </w:rPr>
        <w:t xml:space="preserve">выданы 164 свидетельства о праве на получение социальной выплаты на приобретение жилого помещения или создание объекта индивидуального жилищного строительства (план на 2024 год </w:t>
      </w:r>
      <w:r w:rsidR="001051E1" w:rsidRPr="00E47AA9">
        <w:rPr>
          <w:rFonts w:ascii="Times New Roman" w:hAnsi="Times New Roman" w:cs="Times New Roman"/>
          <w:bCs/>
          <w:sz w:val="28"/>
          <w:szCs w:val="28"/>
        </w:rPr>
        <w:t>–</w:t>
      </w:r>
      <w:r w:rsidRPr="00E47AA9">
        <w:rPr>
          <w:rFonts w:ascii="Times New Roman" w:hAnsi="Times New Roman" w:cs="Times New Roman"/>
          <w:bCs/>
          <w:sz w:val="28"/>
          <w:szCs w:val="28"/>
        </w:rPr>
        <w:t xml:space="preserve"> 161); 21 молодая семья получила дополнительную социальную выплату при рождении (усыновлении) ребенка в размере 5 % от расчетной стоимости жилья </w:t>
      </w:r>
      <w:r w:rsidRPr="00E47AA9">
        <w:rPr>
          <w:rFonts w:ascii="Times New Roman" w:eastAsia="Calibri" w:hAnsi="Times New Roman" w:cs="Times New Roman"/>
          <w:sz w:val="28"/>
          <w:szCs w:val="28"/>
          <w:shd w:val="clear" w:color="auto" w:fill="FFFFFF"/>
          <w:lang w:eastAsia="ru-RU" w:bidi="ru-RU"/>
        </w:rPr>
        <w:t>(</w:t>
      </w:r>
      <w:r w:rsidRPr="00E47AA9">
        <w:rPr>
          <w:rFonts w:ascii="Times New Roman" w:eastAsia="Calibri" w:hAnsi="Times New Roman" w:cs="Times New Roman"/>
          <w:sz w:val="28"/>
          <w:szCs w:val="28"/>
        </w:rPr>
        <w:t>план на 2024 – 23)</w:t>
      </w:r>
      <w:r w:rsidRPr="00E47AA9">
        <w:rPr>
          <w:rFonts w:ascii="Times New Roman" w:hAnsi="Times New Roman" w:cs="Times New Roman"/>
          <w:bCs/>
          <w:sz w:val="28"/>
          <w:szCs w:val="28"/>
        </w:rPr>
        <w:t>; 54 молодые семьи исполнили обязательства перед Правительством Приморского края по погашению задолженности по ипотеке;</w:t>
      </w:r>
    </w:p>
    <w:p w14:paraId="1A1A15DE" w14:textId="38AF25F7" w:rsidR="0006322E" w:rsidRPr="00E47AA9" w:rsidRDefault="0006322E" w:rsidP="0006322E">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7,43 млн рублей, или 92,57 % (8,03 млн рублей)</w:t>
      </w:r>
      <w:r w:rsidR="001051E1"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 на предоставление дополнительных социальных выплат молодым семьям – участникам подпрограммы для приобретения (строительства) стандартного жилья при рождении (усыновлении) ребенка. Расходы имеют заявительный характер, за отчетный период </w:t>
      </w:r>
      <w:r w:rsidRPr="00E47AA9">
        <w:rPr>
          <w:rFonts w:ascii="Times New Roman" w:eastAsia="Calibri" w:hAnsi="Times New Roman" w:cs="Times New Roman"/>
          <w:sz w:val="28"/>
          <w:szCs w:val="28"/>
          <w:shd w:val="clear" w:color="auto" w:fill="FFFFFF"/>
          <w:lang w:eastAsia="ru-RU" w:bidi="ru-RU"/>
        </w:rPr>
        <w:t>обратил</w:t>
      </w:r>
      <w:r w:rsidR="00C31E9E" w:rsidRPr="00E47AA9">
        <w:rPr>
          <w:rFonts w:ascii="Times New Roman" w:eastAsia="Calibri" w:hAnsi="Times New Roman" w:cs="Times New Roman"/>
          <w:sz w:val="28"/>
          <w:szCs w:val="28"/>
          <w:shd w:val="clear" w:color="auto" w:fill="FFFFFF"/>
          <w:lang w:eastAsia="ru-RU" w:bidi="ru-RU"/>
        </w:rPr>
        <w:t>а</w:t>
      </w:r>
      <w:r w:rsidRPr="00E47AA9">
        <w:rPr>
          <w:rFonts w:ascii="Times New Roman" w:eastAsia="Calibri" w:hAnsi="Times New Roman" w:cs="Times New Roman"/>
          <w:sz w:val="28"/>
          <w:szCs w:val="28"/>
          <w:shd w:val="clear" w:color="auto" w:fill="FFFFFF"/>
          <w:lang w:eastAsia="ru-RU" w:bidi="ru-RU"/>
        </w:rPr>
        <w:t>сь 21 молод</w:t>
      </w:r>
      <w:r w:rsidR="001051E1" w:rsidRPr="00E47AA9">
        <w:rPr>
          <w:rFonts w:ascii="Times New Roman" w:eastAsia="Calibri" w:hAnsi="Times New Roman" w:cs="Times New Roman"/>
          <w:sz w:val="28"/>
          <w:szCs w:val="28"/>
          <w:shd w:val="clear" w:color="auto" w:fill="FFFFFF"/>
          <w:lang w:eastAsia="ru-RU" w:bidi="ru-RU"/>
        </w:rPr>
        <w:t>ая семья</w:t>
      </w:r>
      <w:r w:rsidRPr="00E47AA9">
        <w:rPr>
          <w:rFonts w:ascii="Times New Roman" w:eastAsia="Calibri" w:hAnsi="Times New Roman" w:cs="Times New Roman"/>
          <w:sz w:val="28"/>
          <w:szCs w:val="28"/>
          <w:shd w:val="clear" w:color="auto" w:fill="FFFFFF"/>
          <w:lang w:eastAsia="ru-RU" w:bidi="ru-RU"/>
        </w:rPr>
        <w:t>, которые</w:t>
      </w:r>
      <w:r w:rsidRPr="00E47AA9">
        <w:rPr>
          <w:rFonts w:ascii="Times New Roman" w:eastAsia="Calibri" w:hAnsi="Times New Roman" w:cs="Times New Roman"/>
          <w:sz w:val="28"/>
          <w:szCs w:val="28"/>
        </w:rPr>
        <w:t xml:space="preserve"> в размере 5,00 % от расчетной стоимости жилья получили выплаты</w:t>
      </w:r>
      <w:r w:rsidRPr="00E47AA9">
        <w:rPr>
          <w:rStyle w:val="a8"/>
          <w:rFonts w:ascii="Times New Roman" w:eastAsia="Calibri" w:hAnsi="Times New Roman"/>
          <w:sz w:val="28"/>
          <w:szCs w:val="28"/>
        </w:rPr>
        <w:footnoteReference w:id="62"/>
      </w:r>
      <w:r w:rsidRPr="00E47AA9">
        <w:rPr>
          <w:rFonts w:ascii="Times New Roman" w:eastAsia="Calibri" w:hAnsi="Times New Roman" w:cs="Times New Roman"/>
          <w:sz w:val="28"/>
          <w:szCs w:val="28"/>
        </w:rPr>
        <w:t>;</w:t>
      </w:r>
    </w:p>
    <w:p w14:paraId="75C5A303" w14:textId="77777777" w:rsidR="0006322E" w:rsidRPr="00E47AA9" w:rsidRDefault="0006322E" w:rsidP="0006322E">
      <w:pPr>
        <w:spacing w:after="0" w:line="240" w:lineRule="auto"/>
        <w:ind w:firstLine="680"/>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0,01 млн рублей, в полном объеме – на осуществление изготовления и передачи бланков свидетельств о праве на получение социальной выплаты для приобретения жилого помещения или строительство индивидуального жилого дома (в</w:t>
      </w:r>
      <w:r w:rsidR="001051E1" w:rsidRPr="00E47AA9">
        <w:rPr>
          <w:rFonts w:ascii="Times New Roman" w:eastAsia="Calibri" w:hAnsi="Times New Roman" w:cs="Times New Roman"/>
          <w:sz w:val="28"/>
          <w:szCs w:val="28"/>
        </w:rPr>
        <w:t xml:space="preserve"> 2024 году выдано</w:t>
      </w:r>
      <w:r w:rsidRPr="00E47AA9">
        <w:rPr>
          <w:rFonts w:ascii="Times New Roman" w:eastAsia="Calibri" w:hAnsi="Times New Roman" w:cs="Times New Roman"/>
          <w:sz w:val="28"/>
          <w:szCs w:val="28"/>
        </w:rPr>
        <w:t xml:space="preserve"> 164 свидетельств</w:t>
      </w:r>
      <w:r w:rsidR="001051E1" w:rsidRPr="00E47AA9">
        <w:rPr>
          <w:rFonts w:ascii="Times New Roman" w:eastAsia="Calibri" w:hAnsi="Times New Roman" w:cs="Times New Roman"/>
          <w:sz w:val="28"/>
          <w:szCs w:val="28"/>
        </w:rPr>
        <w:t>а</w:t>
      </w:r>
      <w:r w:rsidRPr="00E47AA9">
        <w:rPr>
          <w:rFonts w:ascii="Times New Roman" w:eastAsia="Calibri" w:hAnsi="Times New Roman" w:cs="Times New Roman"/>
          <w:sz w:val="28"/>
          <w:szCs w:val="28"/>
        </w:rPr>
        <w:t xml:space="preserve"> о праве на получение социальной выплаты)</w:t>
      </w:r>
      <w:r w:rsidRPr="00E47AA9">
        <w:rPr>
          <w:rFonts w:ascii="Times New Roman" w:eastAsia="Times New Roman" w:hAnsi="Times New Roman" w:cs="Times New Roman"/>
          <w:sz w:val="28"/>
          <w:szCs w:val="28"/>
        </w:rPr>
        <w:t>.</w:t>
      </w:r>
    </w:p>
    <w:p w14:paraId="3A0BA13A" w14:textId="77777777" w:rsidR="0006322E" w:rsidRPr="00E47AA9" w:rsidRDefault="0006322E" w:rsidP="0006322E">
      <w:pPr>
        <w:pStyle w:val="Default"/>
        <w:ind w:firstLine="709"/>
        <w:jc w:val="both"/>
        <w:rPr>
          <w:color w:val="auto"/>
          <w:sz w:val="28"/>
          <w:szCs w:val="28"/>
        </w:rPr>
      </w:pPr>
      <w:r w:rsidRPr="00E47AA9">
        <w:rPr>
          <w:color w:val="auto"/>
          <w:sz w:val="28"/>
          <w:szCs w:val="28"/>
        </w:rPr>
        <w:t xml:space="preserve">В рамках данной подпрограммы при использовании целевых индикаторов используются критерии, которые </w:t>
      </w:r>
      <w:r w:rsidRPr="00E47AA9">
        <w:rPr>
          <w:color w:val="auto"/>
          <w:sz w:val="28"/>
          <w:szCs w:val="28"/>
          <w:lang w:eastAsia="ru-RU"/>
        </w:rPr>
        <w:t xml:space="preserve">не показывают, насколько </w:t>
      </w:r>
      <w:r w:rsidRPr="00E47AA9">
        <w:rPr>
          <w:color w:val="auto"/>
          <w:sz w:val="28"/>
          <w:szCs w:val="28"/>
          <w:lang w:eastAsia="ru-RU"/>
        </w:rPr>
        <w:lastRenderedPageBreak/>
        <w:t xml:space="preserve">улучшилась ситуация с жильем у молодых семей. </w:t>
      </w:r>
      <w:r w:rsidRPr="00E47AA9">
        <w:rPr>
          <w:color w:val="auto"/>
          <w:sz w:val="28"/>
          <w:szCs w:val="28"/>
        </w:rPr>
        <w:t>Контрольно-счетная палата в заключениях неоднократно отмечала, что существующие проблемы в оценке показателей результативности указанных мероприятий не дают полной и объективной оценки результатов государственной поддержки. Так, по результатам анализа реализации мероприятия за пять лет (2020</w:t>
      </w:r>
      <w:r w:rsidR="001051E1" w:rsidRPr="00E47AA9">
        <w:rPr>
          <w:color w:val="auto"/>
          <w:sz w:val="28"/>
          <w:szCs w:val="28"/>
        </w:rPr>
        <w:t> – </w:t>
      </w:r>
      <w:r w:rsidRPr="00E47AA9">
        <w:rPr>
          <w:color w:val="auto"/>
          <w:sz w:val="28"/>
          <w:szCs w:val="28"/>
        </w:rPr>
        <w:t>2024</w:t>
      </w:r>
      <w:r w:rsidR="001051E1" w:rsidRPr="00E47AA9">
        <w:rPr>
          <w:color w:val="auto"/>
          <w:sz w:val="28"/>
          <w:szCs w:val="28"/>
        </w:rPr>
        <w:t xml:space="preserve"> год</w:t>
      </w:r>
      <w:r w:rsidRPr="00E47AA9">
        <w:rPr>
          <w:color w:val="auto"/>
          <w:sz w:val="28"/>
          <w:szCs w:val="28"/>
        </w:rPr>
        <w:t xml:space="preserve">) Контрольно-счетная палата обращала внимание, что в пределах выделенного финансирования (1305,67 млн рублей) реализовали право на получение социальной выплаты на приобретение жилого помещения или создание объекта индивидуального жилищного строительства (далее – социальные выплаты молодым семьям) только 16,18 %, или 967 семей из 5977 семей, изъявивших желание получить социальную выплату, из них 633 многодетные семьи. </w:t>
      </w:r>
    </w:p>
    <w:p w14:paraId="6B3500B7" w14:textId="77777777" w:rsidR="0006322E" w:rsidRPr="00E47AA9" w:rsidRDefault="0006322E" w:rsidP="0006322E">
      <w:pPr>
        <w:pStyle w:val="Default"/>
        <w:ind w:firstLine="709"/>
        <w:jc w:val="both"/>
        <w:rPr>
          <w:color w:val="auto"/>
          <w:sz w:val="28"/>
          <w:szCs w:val="28"/>
        </w:rPr>
      </w:pPr>
      <w:r w:rsidRPr="00E47AA9">
        <w:rPr>
          <w:color w:val="auto"/>
          <w:sz w:val="28"/>
          <w:szCs w:val="28"/>
        </w:rPr>
        <w:t>Эта проблема усугубляется ежегодным ростом потребности, что приводит к длительному ожиданию и даже исключению семей из программы. В 2024 году в список участников вошли 1767 семей (из них 232 многодетные), что свидетельствует о сохранении высокого уровня потребности.</w:t>
      </w:r>
    </w:p>
    <w:p w14:paraId="6B6953BB" w14:textId="77777777" w:rsidR="0006322E" w:rsidRPr="00E47AA9" w:rsidRDefault="0006322E" w:rsidP="0006322E">
      <w:pPr>
        <w:spacing w:after="0" w:line="240" w:lineRule="auto"/>
        <w:ind w:firstLine="709"/>
        <w:jc w:val="both"/>
        <w:rPr>
          <w:rFonts w:ascii="Times New Roman" w:eastAsia="Calibri" w:hAnsi="Times New Roman" w:cs="Times New Roman"/>
          <w:b/>
          <w:sz w:val="28"/>
          <w:szCs w:val="28"/>
        </w:rPr>
      </w:pPr>
      <w:r w:rsidRPr="00E47AA9">
        <w:rPr>
          <w:rFonts w:ascii="Times New Roman" w:eastAsia="Times New Roman" w:hAnsi="Times New Roman" w:cs="Times New Roman"/>
          <w:b/>
          <w:sz w:val="28"/>
          <w:szCs w:val="27"/>
          <w:lang w:eastAsia="ru-RU"/>
        </w:rPr>
        <w:t xml:space="preserve">Подпрограмма </w:t>
      </w:r>
      <w:r w:rsidRPr="00E47AA9">
        <w:rPr>
          <w:rFonts w:ascii="Times New Roman" w:eastAsia="Times New Roman" w:hAnsi="Times New Roman" w:cs="Times New Roman"/>
          <w:b/>
          <w:sz w:val="28"/>
          <w:szCs w:val="28"/>
          <w:lang w:eastAsia="ru-RU"/>
        </w:rPr>
        <w:t>"</w:t>
      </w:r>
      <w:r w:rsidRPr="00E47AA9">
        <w:rPr>
          <w:rFonts w:ascii="Times New Roman" w:eastAsia="Calibri" w:hAnsi="Times New Roman" w:cs="Times New Roman"/>
          <w:b/>
          <w:sz w:val="28"/>
          <w:szCs w:val="28"/>
        </w:rPr>
        <w:t xml:space="preserve">Предоставление детям-сиротам и детям, оставшимся без попечения родителей, лицам из их числа жилых помещений" </w:t>
      </w:r>
    </w:p>
    <w:p w14:paraId="42BE1276" w14:textId="2C19B393" w:rsidR="0006322E" w:rsidRPr="00E47AA9" w:rsidRDefault="0006322E" w:rsidP="0006322E">
      <w:pPr>
        <w:spacing w:after="0" w:line="240" w:lineRule="auto"/>
        <w:ind w:firstLine="709"/>
        <w:jc w:val="both"/>
        <w:rPr>
          <w:rFonts w:ascii="Times New Roman" w:eastAsia="Times New Roman" w:hAnsi="Times New Roman" w:cs="Times New Roman"/>
          <w:sz w:val="28"/>
          <w:szCs w:val="28"/>
        </w:rPr>
      </w:pPr>
      <w:r w:rsidRPr="00E47AA9">
        <w:rPr>
          <w:rFonts w:ascii="Times New Roman" w:eastAsia="Calibri" w:hAnsi="Times New Roman" w:cs="Times New Roman"/>
          <w:sz w:val="28"/>
          <w:szCs w:val="28"/>
        </w:rPr>
        <w:t xml:space="preserve">По </w:t>
      </w:r>
      <w:r w:rsidRPr="00E47AA9">
        <w:rPr>
          <w:rFonts w:ascii="Times New Roman" w:eastAsia="Calibri" w:hAnsi="Times New Roman" w:cs="Times New Roman"/>
          <w:i/>
          <w:sz w:val="28"/>
          <w:szCs w:val="28"/>
        </w:rPr>
        <w:t>подпрограмме за 2024 год</w:t>
      </w:r>
      <w:r w:rsidRPr="00E47AA9">
        <w:rPr>
          <w:rFonts w:ascii="Times New Roman" w:eastAsia="Calibri" w:hAnsi="Times New Roman" w:cs="Times New Roman"/>
          <w:b/>
          <w:i/>
          <w:sz w:val="28"/>
          <w:szCs w:val="28"/>
        </w:rPr>
        <w:t xml:space="preserve"> </w:t>
      </w:r>
      <w:r w:rsidRPr="00E47AA9">
        <w:rPr>
          <w:rFonts w:ascii="Times New Roman" w:eastAsia="Times New Roman" w:hAnsi="Times New Roman" w:cs="Times New Roman"/>
          <w:sz w:val="28"/>
          <w:szCs w:val="28"/>
        </w:rPr>
        <w:t xml:space="preserve">исполнено 2696,05 млн рублей, или 97,79 % (2756,90 млн рублей), из них за счет средств федерального бюджета – 542,46 млн рублей, или 97,35 % (план </w:t>
      </w:r>
      <w:r w:rsidR="00E0556A"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rPr>
        <w:t xml:space="preserve">544,75 млн рублей), краевого бюджета – 2153,60 млн рублей, или 98,48 % (2212,15 млн рублей). </w:t>
      </w:r>
    </w:p>
    <w:p w14:paraId="10D71781" w14:textId="3C226099" w:rsidR="0006322E" w:rsidRPr="00E47AA9" w:rsidRDefault="0006322E" w:rsidP="0006322E">
      <w:pPr>
        <w:spacing w:after="0" w:line="240" w:lineRule="auto"/>
        <w:ind w:firstLine="709"/>
        <w:jc w:val="both"/>
        <w:rPr>
          <w:rFonts w:ascii="Times New Roman" w:eastAsia="Times New Roman" w:hAnsi="Times New Roman" w:cs="Times New Roman"/>
          <w:bCs/>
          <w:i/>
          <w:sz w:val="28"/>
          <w:szCs w:val="28"/>
          <w:lang w:eastAsia="zh-CN"/>
        </w:rPr>
      </w:pPr>
      <w:r w:rsidRPr="00E47AA9">
        <w:rPr>
          <w:rFonts w:ascii="Times New Roman" w:eastAsia="Times New Roman" w:hAnsi="Times New Roman" w:cs="Times New Roman"/>
          <w:sz w:val="28"/>
          <w:szCs w:val="28"/>
        </w:rPr>
        <w:t>На 01.01.2025 в список детей-сирот, лиц из числа детей сирот и детей, оставшихся без попечения родителей, на территории Приморского края, имеющих право на обеспечение жилыми помещениями, включено 5395</w:t>
      </w:r>
      <w:r w:rsidR="001051E1"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человек (на 01.01.2024 5768 человек), из них право на обеспечение жилыми помещениями у которы</w:t>
      </w:r>
      <w:r w:rsidR="004E2225" w:rsidRPr="00E47AA9">
        <w:rPr>
          <w:rFonts w:ascii="Times New Roman" w:eastAsia="Times New Roman" w:hAnsi="Times New Roman" w:cs="Times New Roman"/>
          <w:sz w:val="28"/>
          <w:szCs w:val="28"/>
        </w:rPr>
        <w:t>х возникло и не реализовано – 3</w:t>
      </w:r>
      <w:r w:rsidRPr="00E47AA9">
        <w:rPr>
          <w:rFonts w:ascii="Times New Roman" w:eastAsia="Times New Roman" w:hAnsi="Times New Roman" w:cs="Times New Roman"/>
          <w:sz w:val="28"/>
          <w:szCs w:val="28"/>
        </w:rPr>
        <w:t>88</w:t>
      </w:r>
      <w:r w:rsidR="004E2225" w:rsidRPr="00E47AA9">
        <w:rPr>
          <w:rFonts w:ascii="Times New Roman" w:eastAsia="Times New Roman" w:hAnsi="Times New Roman" w:cs="Times New Roman"/>
          <w:sz w:val="28"/>
          <w:szCs w:val="28"/>
        </w:rPr>
        <w:t>0</w:t>
      </w:r>
      <w:r w:rsidRPr="00E47AA9">
        <w:rPr>
          <w:rFonts w:ascii="Times New Roman" w:eastAsia="Times New Roman" w:hAnsi="Times New Roman" w:cs="Times New Roman"/>
          <w:sz w:val="28"/>
          <w:szCs w:val="28"/>
        </w:rPr>
        <w:t> человек (в 2023 году – 4076 человек),</w:t>
      </w:r>
      <w:r w:rsidRPr="00E47AA9">
        <w:rPr>
          <w:rFonts w:ascii="Times New Roman" w:eastAsia="Times New Roman" w:hAnsi="Times New Roman" w:cs="Times New Roman"/>
          <w:sz w:val="28"/>
          <w:szCs w:val="28"/>
          <w:lang w:eastAsia="zh-CN"/>
        </w:rPr>
        <w:t xml:space="preserve"> в том числе:</w:t>
      </w:r>
      <w:r w:rsidRPr="00E47AA9">
        <w:rPr>
          <w:rFonts w:ascii="Times New Roman" w:hAnsi="Times New Roman" w:cs="Times New Roman"/>
          <w:sz w:val="28"/>
          <w:szCs w:val="28"/>
        </w:rPr>
        <w:t xml:space="preserve"> </w:t>
      </w:r>
      <w:r w:rsidRPr="00E47AA9">
        <w:rPr>
          <w:rFonts w:ascii="Times New Roman" w:eastAsia="Times New Roman" w:hAnsi="Times New Roman" w:cs="Times New Roman"/>
          <w:sz w:val="28"/>
          <w:szCs w:val="28"/>
        </w:rPr>
        <w:t xml:space="preserve">2280 – от 18 </w:t>
      </w:r>
      <w:r w:rsidRPr="00E47AA9">
        <w:rPr>
          <w:rFonts w:ascii="Times New Roman" w:hAnsi="Times New Roman" w:cs="Times New Roman"/>
          <w:sz w:val="28"/>
          <w:szCs w:val="28"/>
        </w:rPr>
        <w:t>до 23 лет (в 2023 году</w:t>
      </w:r>
      <w:r w:rsidR="001051E1" w:rsidRPr="00E47AA9">
        <w:rPr>
          <w:rFonts w:ascii="Times New Roman" w:hAnsi="Times New Roman" w:cs="Times New Roman"/>
          <w:sz w:val="28"/>
          <w:szCs w:val="28"/>
        </w:rPr>
        <w:t> </w:t>
      </w:r>
      <w:r w:rsidRPr="00E47AA9">
        <w:rPr>
          <w:rFonts w:ascii="Times New Roman" w:hAnsi="Times New Roman" w:cs="Times New Roman"/>
          <w:sz w:val="28"/>
          <w:szCs w:val="28"/>
        </w:rPr>
        <w:t xml:space="preserve">– 2804), </w:t>
      </w:r>
      <w:r w:rsidRPr="00E47AA9">
        <w:rPr>
          <w:rFonts w:ascii="Times New Roman" w:eastAsia="Times New Roman" w:hAnsi="Times New Roman" w:cs="Times New Roman"/>
          <w:sz w:val="28"/>
          <w:szCs w:val="28"/>
        </w:rPr>
        <w:t xml:space="preserve">1600 – </w:t>
      </w:r>
      <w:r w:rsidR="00534975" w:rsidRPr="00E47AA9">
        <w:rPr>
          <w:rFonts w:ascii="Times New Roman" w:eastAsia="Times New Roman" w:hAnsi="Times New Roman" w:cs="Times New Roman"/>
          <w:sz w:val="28"/>
          <w:szCs w:val="28"/>
        </w:rPr>
        <w:t>старше</w:t>
      </w:r>
      <w:r w:rsidRPr="00E47AA9">
        <w:rPr>
          <w:rFonts w:ascii="Times New Roman" w:eastAsia="Times New Roman" w:hAnsi="Times New Roman" w:cs="Times New Roman"/>
          <w:sz w:val="28"/>
          <w:szCs w:val="28"/>
        </w:rPr>
        <w:t xml:space="preserve"> 23 лет (в 2023 году – 1272)</w:t>
      </w:r>
      <w:r w:rsidRPr="00E47AA9">
        <w:rPr>
          <w:rFonts w:ascii="Times New Roman" w:hAnsi="Times New Roman" w:cs="Times New Roman"/>
          <w:sz w:val="28"/>
          <w:szCs w:val="28"/>
        </w:rPr>
        <w:t xml:space="preserve">, 627 (в 2023 году </w:t>
      </w:r>
      <w:r w:rsidR="001051E1" w:rsidRPr="00E47AA9">
        <w:rPr>
          <w:rFonts w:ascii="Times New Roman" w:hAnsi="Times New Roman" w:cs="Times New Roman"/>
          <w:sz w:val="28"/>
          <w:szCs w:val="28"/>
        </w:rPr>
        <w:t>–</w:t>
      </w:r>
      <w:r w:rsidRPr="00E47AA9">
        <w:rPr>
          <w:rFonts w:ascii="Times New Roman" w:hAnsi="Times New Roman" w:cs="Times New Roman"/>
          <w:sz w:val="28"/>
          <w:szCs w:val="28"/>
        </w:rPr>
        <w:t xml:space="preserve"> </w:t>
      </w:r>
      <w:r w:rsidRPr="00E47AA9">
        <w:rPr>
          <w:rFonts w:ascii="Times New Roman" w:eastAsia="Times New Roman" w:hAnsi="Times New Roman" w:cs="Times New Roman"/>
          <w:sz w:val="28"/>
          <w:szCs w:val="28"/>
        </w:rPr>
        <w:t>853) – являлись выпускниками детских домов, неисполненными остаются 775</w:t>
      </w:r>
      <w:r w:rsidR="00534975"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 xml:space="preserve">судебных решений (в 2023 </w:t>
      </w:r>
      <w:r w:rsidR="001051E1"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1116). </w:t>
      </w:r>
      <w:r w:rsidRPr="00E47AA9">
        <w:rPr>
          <w:rFonts w:ascii="Times New Roman" w:eastAsia="Times New Roman" w:hAnsi="Times New Roman" w:cs="Times New Roman"/>
          <w:bCs/>
          <w:sz w:val="28"/>
          <w:szCs w:val="28"/>
          <w:lang w:eastAsia="zh-CN"/>
        </w:rPr>
        <w:t>Общая площадь приобретенных (построенных) жилых помещений составляет 22,80 тыс</w:t>
      </w:r>
      <w:r w:rsidR="001051E1" w:rsidRPr="00E47AA9">
        <w:rPr>
          <w:rFonts w:ascii="Times New Roman" w:eastAsia="Times New Roman" w:hAnsi="Times New Roman" w:cs="Times New Roman"/>
          <w:bCs/>
          <w:sz w:val="28"/>
          <w:szCs w:val="28"/>
          <w:lang w:eastAsia="zh-CN"/>
        </w:rPr>
        <w:t>.</w:t>
      </w:r>
      <w:r w:rsidRPr="00E47AA9">
        <w:rPr>
          <w:rFonts w:ascii="Times New Roman" w:eastAsia="Times New Roman" w:hAnsi="Times New Roman" w:cs="Times New Roman"/>
          <w:bCs/>
          <w:sz w:val="28"/>
          <w:szCs w:val="28"/>
          <w:lang w:eastAsia="zh-CN"/>
        </w:rPr>
        <w:t xml:space="preserve"> кв.</w:t>
      </w:r>
      <w:r w:rsidRPr="00E47AA9">
        <w:rPr>
          <w:bCs/>
          <w:sz w:val="28"/>
          <w:szCs w:val="28"/>
        </w:rPr>
        <w:t xml:space="preserve"> </w:t>
      </w:r>
      <w:r w:rsidRPr="00E47AA9">
        <w:rPr>
          <w:rFonts w:ascii="Times New Roman" w:eastAsia="Times New Roman" w:hAnsi="Times New Roman" w:cs="Times New Roman"/>
          <w:bCs/>
          <w:sz w:val="28"/>
          <w:szCs w:val="28"/>
          <w:lang w:eastAsia="zh-CN"/>
        </w:rPr>
        <w:t>м.</w:t>
      </w:r>
    </w:p>
    <w:p w14:paraId="26AD7327" w14:textId="2D5CAA8B" w:rsidR="0006322E" w:rsidRPr="00E47AA9" w:rsidRDefault="0006322E" w:rsidP="0006322E">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E47AA9">
        <w:rPr>
          <w:rFonts w:ascii="Times New Roman" w:hAnsi="Times New Roman" w:cs="Times New Roman"/>
          <w:sz w:val="28"/>
          <w:szCs w:val="28"/>
        </w:rPr>
        <w:t xml:space="preserve">Наблюдается положительная динамика в снижении количества детей-сирот, стоящих в очереди на жилье (с 5768 до 5395 человек). Однако количество детей-сирот, чье право на жилье возникло, но не реализовано, все еще остается значительным </w:t>
      </w:r>
      <w:r w:rsidR="00677E68" w:rsidRPr="00E47AA9">
        <w:rPr>
          <w:rFonts w:ascii="Times New Roman" w:hAnsi="Times New Roman" w:cs="Times New Roman"/>
          <w:sz w:val="28"/>
          <w:szCs w:val="28"/>
        </w:rPr>
        <w:t>(</w:t>
      </w:r>
      <w:r w:rsidRPr="00E47AA9">
        <w:rPr>
          <w:rFonts w:ascii="Times New Roman" w:hAnsi="Times New Roman" w:cs="Times New Roman"/>
          <w:sz w:val="28"/>
          <w:szCs w:val="28"/>
        </w:rPr>
        <w:t>388</w:t>
      </w:r>
      <w:r w:rsidR="004E2225" w:rsidRPr="00E47AA9">
        <w:rPr>
          <w:rFonts w:ascii="Times New Roman" w:hAnsi="Times New Roman" w:cs="Times New Roman"/>
          <w:sz w:val="28"/>
          <w:szCs w:val="28"/>
        </w:rPr>
        <w:t>0</w:t>
      </w:r>
      <w:r w:rsidRPr="00E47AA9">
        <w:rPr>
          <w:rFonts w:ascii="Times New Roman" w:hAnsi="Times New Roman" w:cs="Times New Roman"/>
          <w:sz w:val="28"/>
          <w:szCs w:val="28"/>
        </w:rPr>
        <w:t xml:space="preserve"> человек</w:t>
      </w:r>
      <w:r w:rsidR="00677E68" w:rsidRPr="00E47AA9">
        <w:rPr>
          <w:rFonts w:ascii="Times New Roman" w:hAnsi="Times New Roman" w:cs="Times New Roman"/>
          <w:sz w:val="28"/>
          <w:szCs w:val="28"/>
        </w:rPr>
        <w:t>)</w:t>
      </w:r>
      <w:r w:rsidRPr="00E47AA9">
        <w:rPr>
          <w:rFonts w:ascii="Times New Roman" w:hAnsi="Times New Roman" w:cs="Times New Roman"/>
          <w:sz w:val="28"/>
          <w:szCs w:val="28"/>
        </w:rPr>
        <w:t>. При этом наблюдается рост числа детей-сирот старше 23 лет, ожидающих жилье (1600 человек в 2024 году против 1272 в 2023 году). Это может быть связано с принятием закона, дающего право на получение сертификата на жилье всем детям-сиротам, достигшим 23 лет, независимо от наличия судебного решения</w:t>
      </w:r>
      <w:r w:rsidRPr="00E47AA9">
        <w:rPr>
          <w:rStyle w:val="a8"/>
          <w:rFonts w:ascii="Times New Roman" w:hAnsi="Times New Roman"/>
          <w:sz w:val="28"/>
          <w:szCs w:val="28"/>
        </w:rPr>
        <w:footnoteReference w:id="63"/>
      </w:r>
      <w:r w:rsidRPr="00E47AA9">
        <w:rPr>
          <w:rFonts w:ascii="Times New Roman" w:hAnsi="Times New Roman" w:cs="Times New Roman"/>
          <w:sz w:val="28"/>
          <w:szCs w:val="28"/>
        </w:rPr>
        <w:t>.</w:t>
      </w:r>
    </w:p>
    <w:p w14:paraId="672756FD" w14:textId="77777777" w:rsidR="0006322E" w:rsidRPr="00E47AA9" w:rsidRDefault="0006322E" w:rsidP="0006322E">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E47AA9">
        <w:rPr>
          <w:rFonts w:ascii="Times New Roman" w:hAnsi="Times New Roman" w:cs="Times New Roman"/>
          <w:sz w:val="28"/>
          <w:szCs w:val="28"/>
        </w:rPr>
        <w:lastRenderedPageBreak/>
        <w:t>По данным министерства труда и социального развития Приморского края, за 2024 год численность детей-сирот и детей, оставшихся без попечения родителей, лиц из их числа, обеспеченных жилыми помещениями, сост</w:t>
      </w:r>
      <w:r w:rsidR="001051E1" w:rsidRPr="00E47AA9">
        <w:rPr>
          <w:rFonts w:ascii="Times New Roman" w:hAnsi="Times New Roman" w:cs="Times New Roman"/>
          <w:sz w:val="28"/>
          <w:szCs w:val="28"/>
        </w:rPr>
        <w:t>авила 760 человек (в 2023 году –</w:t>
      </w:r>
      <w:r w:rsidRPr="00E47AA9">
        <w:rPr>
          <w:rFonts w:ascii="Times New Roman" w:hAnsi="Times New Roman" w:cs="Times New Roman"/>
          <w:sz w:val="28"/>
          <w:szCs w:val="28"/>
        </w:rPr>
        <w:t xml:space="preserve"> 1014 человек), из них 493 (в 2023 году </w:t>
      </w:r>
      <w:r w:rsidR="001051E1" w:rsidRPr="00E47AA9">
        <w:rPr>
          <w:rFonts w:ascii="Times New Roman" w:hAnsi="Times New Roman" w:cs="Times New Roman"/>
          <w:sz w:val="28"/>
          <w:szCs w:val="28"/>
        </w:rPr>
        <w:t>–</w:t>
      </w:r>
      <w:r w:rsidRPr="00E47AA9">
        <w:rPr>
          <w:rFonts w:ascii="Times New Roman" w:hAnsi="Times New Roman" w:cs="Times New Roman"/>
          <w:sz w:val="28"/>
          <w:szCs w:val="28"/>
        </w:rPr>
        <w:t xml:space="preserve"> 641 человек) по договорам найма специализированного жилого помещения, заключенных муниципальными образованиями Приморского края, 267 (в 2023 году </w:t>
      </w:r>
      <w:r w:rsidR="00415F10" w:rsidRPr="00E47AA9">
        <w:rPr>
          <w:rFonts w:ascii="Times New Roman" w:hAnsi="Times New Roman" w:cs="Times New Roman"/>
          <w:sz w:val="28"/>
          <w:szCs w:val="28"/>
        </w:rPr>
        <w:t>–</w:t>
      </w:r>
      <w:r w:rsidRPr="00E47AA9">
        <w:rPr>
          <w:rFonts w:ascii="Times New Roman" w:hAnsi="Times New Roman" w:cs="Times New Roman"/>
          <w:sz w:val="28"/>
          <w:szCs w:val="28"/>
        </w:rPr>
        <w:t xml:space="preserve"> 373</w:t>
      </w:r>
      <w:r w:rsidR="00415F10" w:rsidRPr="00E47AA9">
        <w:rPr>
          <w:rFonts w:ascii="Times New Roman" w:hAnsi="Times New Roman" w:cs="Times New Roman"/>
          <w:sz w:val="28"/>
          <w:szCs w:val="28"/>
        </w:rPr>
        <w:t> </w:t>
      </w:r>
      <w:r w:rsidRPr="00E47AA9">
        <w:rPr>
          <w:rFonts w:ascii="Times New Roman" w:hAnsi="Times New Roman" w:cs="Times New Roman"/>
          <w:sz w:val="28"/>
          <w:szCs w:val="28"/>
        </w:rPr>
        <w:t xml:space="preserve">человека) </w:t>
      </w:r>
      <w:r w:rsidRPr="00E47AA9">
        <w:rPr>
          <w:rFonts w:ascii="Times New Roman" w:eastAsia="Times New Roman" w:hAnsi="Times New Roman" w:cs="Times New Roman"/>
          <w:sz w:val="28"/>
          <w:szCs w:val="28"/>
          <w:lang w:eastAsia="zh-CN"/>
        </w:rPr>
        <w:t>путем оплаты сертификатов</w:t>
      </w:r>
      <w:r w:rsidRPr="00E47AA9">
        <w:rPr>
          <w:rFonts w:ascii="Times New Roman" w:hAnsi="Times New Roman" w:cs="Times New Roman"/>
          <w:sz w:val="28"/>
          <w:szCs w:val="28"/>
        </w:rPr>
        <w:t>.</w:t>
      </w:r>
    </w:p>
    <w:p w14:paraId="6B410E1C" w14:textId="77777777" w:rsidR="0006322E" w:rsidRPr="00E47AA9" w:rsidRDefault="0006322E" w:rsidP="0006322E">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sz w:val="28"/>
          <w:szCs w:val="28"/>
        </w:rPr>
        <w:t xml:space="preserve">В 2024 году </w:t>
      </w:r>
      <w:r w:rsidRPr="00E47AA9">
        <w:rPr>
          <w:rFonts w:ascii="Times New Roman" w:eastAsia="Times New Roman" w:hAnsi="Times New Roman" w:cs="Times New Roman"/>
          <w:i/>
          <w:sz w:val="28"/>
          <w:szCs w:val="28"/>
          <w:lang w:eastAsia="ru-RU"/>
        </w:rPr>
        <w:t>по КПМ "Выполнение обязательств по предоставлению жилых помещений детям-сиротам и детям, оставшимся без попечения родителей, лиц из их числа по договорам найма специализированных жилых помещений"</w:t>
      </w:r>
      <w:r w:rsidRPr="00E47AA9">
        <w:rPr>
          <w:rFonts w:ascii="Times New Roman" w:eastAsia="Times New Roman" w:hAnsi="Times New Roman" w:cs="Times New Roman"/>
          <w:b/>
          <w:sz w:val="28"/>
          <w:szCs w:val="28"/>
          <w:lang w:eastAsia="ru-RU"/>
        </w:rPr>
        <w:t xml:space="preserve"> </w:t>
      </w:r>
      <w:r w:rsidRPr="00E47AA9">
        <w:rPr>
          <w:rFonts w:ascii="Times New Roman" w:eastAsia="Times New Roman" w:hAnsi="Times New Roman" w:cs="Times New Roman"/>
          <w:sz w:val="28"/>
          <w:szCs w:val="28"/>
          <w:lang w:eastAsia="ru-RU"/>
        </w:rPr>
        <w:t>исполнение</w:t>
      </w:r>
      <w:r w:rsidRPr="00E47AA9">
        <w:rPr>
          <w:rFonts w:ascii="Times New Roman" w:hAnsi="Times New Roman" w:cs="Times New Roman"/>
          <w:sz w:val="28"/>
          <w:szCs w:val="28"/>
        </w:rPr>
        <w:t xml:space="preserve"> расходов составило 1672,02 млн рублей, или 96,49 % от уточненных назначений (1732,87 млн рублей), в том числе:</w:t>
      </w:r>
    </w:p>
    <w:p w14:paraId="39C73F15" w14:textId="77777777" w:rsidR="0006322E" w:rsidRPr="00E47AA9" w:rsidRDefault="0006322E" w:rsidP="0006322E">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на предоставление жилых помещений лицам данной категории по договорам найма специализированных жилых помещений: </w:t>
      </w:r>
    </w:p>
    <w:p w14:paraId="2BCBECA9" w14:textId="276CE95B" w:rsidR="0006322E" w:rsidRPr="00E47AA9" w:rsidRDefault="0006322E" w:rsidP="0006322E">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u w:val="single"/>
        </w:rPr>
        <w:t xml:space="preserve">министерством труда и социального развития Приморского края </w:t>
      </w:r>
      <w:r w:rsidRPr="00E47AA9">
        <w:rPr>
          <w:rFonts w:ascii="Times New Roman" w:hAnsi="Times New Roman" w:cs="Times New Roman"/>
          <w:sz w:val="28"/>
          <w:szCs w:val="28"/>
        </w:rPr>
        <w:t>за отчетный период исполнено 1322,11 млн рублей, или 95,78 % (план</w:t>
      </w:r>
      <w:r w:rsidR="00E0556A" w:rsidRPr="00E47AA9">
        <w:rPr>
          <w:rFonts w:ascii="Times New Roman" w:hAnsi="Times New Roman" w:cs="Times New Roman"/>
          <w:sz w:val="28"/>
          <w:szCs w:val="28"/>
        </w:rPr>
        <w:t> –</w:t>
      </w:r>
      <w:r w:rsidRPr="00E47AA9">
        <w:rPr>
          <w:rFonts w:ascii="Times New Roman" w:hAnsi="Times New Roman" w:cs="Times New Roman"/>
          <w:sz w:val="28"/>
          <w:szCs w:val="28"/>
        </w:rPr>
        <w:t>1380,36</w:t>
      </w:r>
      <w:r w:rsidR="00415F10" w:rsidRPr="00E47AA9">
        <w:rPr>
          <w:rFonts w:ascii="Times New Roman" w:hAnsi="Times New Roman" w:cs="Times New Roman"/>
          <w:sz w:val="28"/>
          <w:szCs w:val="28"/>
        </w:rPr>
        <w:t> </w:t>
      </w:r>
      <w:r w:rsidRPr="00E47AA9">
        <w:rPr>
          <w:rFonts w:ascii="Times New Roman" w:hAnsi="Times New Roman" w:cs="Times New Roman"/>
          <w:sz w:val="28"/>
          <w:szCs w:val="28"/>
        </w:rPr>
        <w:t xml:space="preserve">млн рублей), не исполнено 58,25 млн рублей в связи с экономией, возникшей в результате конкурсных процедур. Расходы направлены в сумме: </w:t>
      </w:r>
    </w:p>
    <w:p w14:paraId="4942D5AD" w14:textId="54D60C27" w:rsidR="0006322E" w:rsidRPr="00E47AA9" w:rsidRDefault="0006322E" w:rsidP="0006322E">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939,48 млн рублей, или 94,17 % (план </w:t>
      </w:r>
      <w:r w:rsidR="00E0556A"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997,59 млн рублей) – на субвенции бюджетам 34 муниципальных образований Приморского края; </w:t>
      </w:r>
    </w:p>
    <w:p w14:paraId="240C363A" w14:textId="77777777" w:rsidR="0006322E" w:rsidRPr="00E47AA9" w:rsidRDefault="0006322E" w:rsidP="0006322E">
      <w:pPr>
        <w:pStyle w:val="affa"/>
        <w:ind w:left="0" w:firstLine="709"/>
        <w:jc w:val="both"/>
        <w:rPr>
          <w:sz w:val="28"/>
          <w:szCs w:val="28"/>
        </w:rPr>
      </w:pPr>
      <w:r w:rsidRPr="00E47AA9">
        <w:rPr>
          <w:snapToGrid w:val="0"/>
          <w:sz w:val="28"/>
          <w:szCs w:val="28"/>
        </w:rPr>
        <w:t xml:space="preserve">382,63 млн рублей, или 99,96 % (382,77 млн рублей) – на </w:t>
      </w:r>
      <w:r w:rsidRPr="00E47AA9">
        <w:rPr>
          <w:sz w:val="28"/>
          <w:szCs w:val="28"/>
        </w:rPr>
        <w:t xml:space="preserve">субсидии бюджетам </w:t>
      </w:r>
      <w:r w:rsidRPr="00E47AA9">
        <w:rPr>
          <w:rFonts w:eastAsia="Calibri"/>
          <w:sz w:val="28"/>
          <w:szCs w:val="28"/>
          <w:lang w:eastAsia="en-US"/>
        </w:rPr>
        <w:t>17 муниципальных образований Приморского края</w:t>
      </w:r>
      <w:r w:rsidRPr="00E47AA9">
        <w:rPr>
          <w:sz w:val="28"/>
          <w:szCs w:val="28"/>
        </w:rPr>
        <w:t>;</w:t>
      </w:r>
    </w:p>
    <w:p w14:paraId="03890386" w14:textId="77777777" w:rsidR="0006322E" w:rsidRPr="00E47AA9" w:rsidRDefault="0006322E" w:rsidP="0006322E">
      <w:pPr>
        <w:autoSpaceDE w:val="0"/>
        <w:autoSpaceDN w:val="0"/>
        <w:adjustRightInd w:val="0"/>
        <w:spacing w:after="0" w:line="240" w:lineRule="auto"/>
        <w:ind w:firstLine="709"/>
        <w:jc w:val="both"/>
        <w:rPr>
          <w:rFonts w:ascii="Times New Roman" w:hAnsi="Times New Roman" w:cs="Times New Roman"/>
          <w:sz w:val="28"/>
          <w:szCs w:val="28"/>
          <w:lang w:eastAsia="ru-RU"/>
        </w:rPr>
      </w:pPr>
      <w:r w:rsidRPr="00E47AA9">
        <w:rPr>
          <w:rFonts w:ascii="Times New Roman" w:hAnsi="Times New Roman" w:cs="Times New Roman"/>
          <w:sz w:val="28"/>
          <w:szCs w:val="28"/>
          <w:u w:val="single"/>
        </w:rPr>
        <w:t xml:space="preserve">министерством </w:t>
      </w:r>
      <w:r w:rsidRPr="00E47AA9">
        <w:rPr>
          <w:rFonts w:ascii="Times New Roman" w:hAnsi="Times New Roman" w:cs="Times New Roman"/>
          <w:sz w:val="28"/>
          <w:szCs w:val="28"/>
          <w:u w:val="single"/>
          <w:lang w:eastAsia="ru-RU"/>
        </w:rPr>
        <w:t>имущественных и земельных отношений Приморского края</w:t>
      </w:r>
      <w:r w:rsidRPr="00E47AA9">
        <w:rPr>
          <w:rFonts w:ascii="Times New Roman" w:hAnsi="Times New Roman" w:cs="Times New Roman"/>
          <w:sz w:val="28"/>
          <w:szCs w:val="28"/>
          <w:lang w:eastAsia="ru-RU"/>
        </w:rPr>
        <w:t>:</w:t>
      </w:r>
    </w:p>
    <w:p w14:paraId="3A58E4DA" w14:textId="77777777" w:rsidR="0006322E" w:rsidRPr="00E47AA9" w:rsidRDefault="0006322E" w:rsidP="0006322E">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lang w:eastAsia="ru-RU"/>
        </w:rPr>
        <w:t>348,80 млн рублей, или 99,26 % (351,40 млн рублей)</w:t>
      </w:r>
      <w:r w:rsidRPr="00E47AA9">
        <w:rPr>
          <w:rFonts w:ascii="Times New Roman" w:hAnsi="Times New Roman" w:cs="Times New Roman"/>
          <w:sz w:val="28"/>
          <w:szCs w:val="28"/>
        </w:rPr>
        <w:t>. Не освоено 2,60</w:t>
      </w:r>
      <w:r w:rsidR="00415F10" w:rsidRPr="00E47AA9">
        <w:rPr>
          <w:rFonts w:ascii="Times New Roman" w:hAnsi="Times New Roman" w:cs="Times New Roman"/>
          <w:sz w:val="28"/>
          <w:szCs w:val="28"/>
        </w:rPr>
        <w:t> </w:t>
      </w:r>
      <w:r w:rsidRPr="00E47AA9">
        <w:rPr>
          <w:rFonts w:ascii="Times New Roman" w:hAnsi="Times New Roman" w:cs="Times New Roman"/>
          <w:sz w:val="28"/>
          <w:szCs w:val="28"/>
        </w:rPr>
        <w:t xml:space="preserve">млн рублей </w:t>
      </w:r>
      <w:r w:rsidRPr="00E47AA9">
        <w:rPr>
          <w:rFonts w:ascii="Times New Roman" w:hAnsi="Times New Roman" w:cs="Times New Roman"/>
          <w:snapToGrid w:val="0"/>
          <w:sz w:val="28"/>
          <w:szCs w:val="28"/>
        </w:rPr>
        <w:t xml:space="preserve">в связи с </w:t>
      </w:r>
      <w:r w:rsidRPr="00E47AA9">
        <w:rPr>
          <w:rFonts w:ascii="Times New Roman" w:hAnsi="Times New Roman" w:cs="Times New Roman"/>
          <w:sz w:val="28"/>
          <w:szCs w:val="28"/>
        </w:rPr>
        <w:t xml:space="preserve">экономией, возникшей в результате конкурсных процедур; </w:t>
      </w:r>
    </w:p>
    <w:p w14:paraId="7F50495F" w14:textId="77777777" w:rsidR="0006322E" w:rsidRPr="00E47AA9" w:rsidRDefault="0006322E" w:rsidP="0006322E">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1,11 млн рублей в полном объеме на капитальный ремонт </w:t>
      </w:r>
      <w:r w:rsidR="00415F10" w:rsidRPr="00E47AA9">
        <w:rPr>
          <w:rFonts w:ascii="Times New Roman" w:hAnsi="Times New Roman" w:cs="Times New Roman"/>
          <w:sz w:val="28"/>
          <w:szCs w:val="28"/>
        </w:rPr>
        <w:t>двух</w:t>
      </w:r>
      <w:r w:rsidRPr="00E47AA9">
        <w:rPr>
          <w:rFonts w:ascii="Times New Roman" w:hAnsi="Times New Roman" w:cs="Times New Roman"/>
          <w:sz w:val="28"/>
          <w:szCs w:val="28"/>
        </w:rPr>
        <w:t xml:space="preserve"> жилых помещений</w:t>
      </w:r>
      <w:r w:rsidRPr="00E47AA9">
        <w:rPr>
          <w:rStyle w:val="a8"/>
          <w:rFonts w:ascii="Times New Roman" w:hAnsi="Times New Roman"/>
          <w:sz w:val="28"/>
          <w:szCs w:val="28"/>
        </w:rPr>
        <w:footnoteReference w:id="64"/>
      </w:r>
      <w:r w:rsidRPr="00E47AA9">
        <w:rPr>
          <w:rFonts w:ascii="Times New Roman" w:hAnsi="Times New Roman" w:cs="Times New Roman"/>
          <w:sz w:val="28"/>
          <w:szCs w:val="28"/>
        </w:rPr>
        <w:t>.</w:t>
      </w:r>
    </w:p>
    <w:p w14:paraId="461BBAF8" w14:textId="77777777" w:rsidR="0006322E" w:rsidRPr="00E47AA9" w:rsidRDefault="0006322E" w:rsidP="0006322E">
      <w:pPr>
        <w:widowControl w:val="0"/>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hAnsi="Times New Roman" w:cs="Times New Roman"/>
          <w:sz w:val="28"/>
          <w:szCs w:val="28"/>
        </w:rPr>
        <w:t>По</w:t>
      </w:r>
      <w:r w:rsidRPr="00E47AA9">
        <w:rPr>
          <w:rFonts w:ascii="Times New Roman" w:hAnsi="Times New Roman" w:cs="Times New Roman"/>
          <w:i/>
          <w:sz w:val="28"/>
          <w:szCs w:val="28"/>
        </w:rPr>
        <w:t xml:space="preserve"> КПМ "Предоставление жилых помещений детям-сиротам и детям, оставшимся без попечения родителей, лицам из их числа, иными способами</w:t>
      </w:r>
      <w:r w:rsidRPr="00E47AA9">
        <w:rPr>
          <w:rFonts w:ascii="Times New Roman" w:hAnsi="Times New Roman" w:cs="Times New Roman"/>
          <w:sz w:val="28"/>
          <w:szCs w:val="28"/>
        </w:rPr>
        <w:t xml:space="preserve"> </w:t>
      </w:r>
      <w:r w:rsidRPr="00E47AA9">
        <w:rPr>
          <w:rFonts w:ascii="Times New Roman" w:hAnsi="Times New Roman" w:cs="Times New Roman"/>
          <w:sz w:val="28"/>
          <w:szCs w:val="28"/>
          <w:u w:val="single"/>
        </w:rPr>
        <w:t xml:space="preserve">министерства труда и социального развития Приморского края направлено </w:t>
      </w:r>
      <w:r w:rsidRPr="00E47AA9">
        <w:rPr>
          <w:rFonts w:ascii="Times New Roman" w:hAnsi="Times New Roman" w:cs="Times New Roman"/>
          <w:sz w:val="28"/>
          <w:szCs w:val="28"/>
        </w:rPr>
        <w:t xml:space="preserve">1024,03 млн рублей, в полном объеме на предоставление социальной выплаты на приобретение жилого помещения детям-сиротам и детям этой категории. </w:t>
      </w:r>
      <w:r w:rsidRPr="00E47AA9">
        <w:rPr>
          <w:rFonts w:ascii="Times New Roman" w:eastAsia="Calibri" w:hAnsi="Times New Roman" w:cs="Times New Roman"/>
          <w:sz w:val="28"/>
          <w:szCs w:val="28"/>
        </w:rPr>
        <w:t>За 2024 год министерством труда и социальной политики Приморского края оплачены 267 свидетельств (на 2024 год целевой показатель в количественном измерении отсутствует).</w:t>
      </w:r>
    </w:p>
    <w:p w14:paraId="30E0A6DE" w14:textId="77777777" w:rsidR="0006322E" w:rsidRPr="00E47AA9" w:rsidRDefault="0006322E" w:rsidP="0006322E">
      <w:pPr>
        <w:widowControl w:val="0"/>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i/>
          <w:sz w:val="28"/>
          <w:szCs w:val="28"/>
          <w:lang w:eastAsia="ru-RU"/>
        </w:rPr>
        <w:t>Подпрограмма "Создание условий для обеспечения качественными услугами жилищно-коммунального хозяйства Приморского края"</w:t>
      </w:r>
      <w:r w:rsidRPr="00E47AA9">
        <w:rPr>
          <w:rFonts w:ascii="Times New Roman" w:eastAsia="Times New Roman" w:hAnsi="Times New Roman" w:cs="Times New Roman"/>
          <w:b/>
          <w:sz w:val="28"/>
          <w:szCs w:val="28"/>
          <w:lang w:eastAsia="ru-RU"/>
        </w:rPr>
        <w:t xml:space="preserve"> </w:t>
      </w:r>
    </w:p>
    <w:p w14:paraId="356E6645" w14:textId="77777777" w:rsidR="0006322E" w:rsidRPr="00E47AA9" w:rsidRDefault="0006322E" w:rsidP="0006322E">
      <w:pPr>
        <w:widowControl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По подпрограмме</w:t>
      </w:r>
      <w:r w:rsidRPr="00E47AA9">
        <w:rPr>
          <w:rFonts w:ascii="Times New Roman" w:eastAsia="Times New Roman" w:hAnsi="Times New Roman" w:cs="Times New Roman"/>
          <w:b/>
          <w:sz w:val="28"/>
          <w:szCs w:val="28"/>
          <w:lang w:eastAsia="ru-RU"/>
        </w:rPr>
        <w:t xml:space="preserve"> </w:t>
      </w:r>
      <w:r w:rsidRPr="00E47AA9">
        <w:rPr>
          <w:rFonts w:ascii="Times New Roman" w:eastAsia="Times New Roman" w:hAnsi="Times New Roman" w:cs="Times New Roman"/>
          <w:sz w:val="28"/>
          <w:szCs w:val="28"/>
          <w:lang w:eastAsia="ru-RU"/>
        </w:rPr>
        <w:t>расходы осуществлялись по:</w:t>
      </w:r>
    </w:p>
    <w:p w14:paraId="675633D0" w14:textId="4DBF1971" w:rsidR="0006322E" w:rsidRPr="00E47AA9" w:rsidRDefault="0006322E" w:rsidP="0006322E">
      <w:pPr>
        <w:widowControl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i/>
          <w:sz w:val="28"/>
          <w:szCs w:val="28"/>
        </w:rPr>
        <w:t>проектным мероприятиям,</w:t>
      </w:r>
      <w:r w:rsidRPr="00E47AA9">
        <w:rPr>
          <w:rFonts w:ascii="Times New Roman" w:eastAsia="Calibri" w:hAnsi="Times New Roman" w:cs="Times New Roman"/>
          <w:sz w:val="28"/>
          <w:szCs w:val="28"/>
        </w:rPr>
        <w:t xml:space="preserve"> включающим РП "Чистая вода" в составе НП "Жилье и городская среда" </w:t>
      </w:r>
      <w:r w:rsidR="00415F10"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922,49 млн рублей, или 98,14 % (план</w:t>
      </w:r>
      <w:r w:rsidR="00E0556A" w:rsidRPr="00E47AA9">
        <w:rPr>
          <w:rFonts w:ascii="Times New Roman" w:eastAsia="Calibri" w:hAnsi="Times New Roman" w:cs="Times New Roman"/>
          <w:sz w:val="28"/>
          <w:szCs w:val="28"/>
        </w:rPr>
        <w:t> –</w:t>
      </w:r>
      <w:r w:rsidR="00415F10"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939,98 млн рублей). Исполнение мероприятий представлено в приложении 3 к заключению;</w:t>
      </w:r>
    </w:p>
    <w:p w14:paraId="710EAF17" w14:textId="77777777" w:rsidR="0006322E" w:rsidRPr="00E47AA9" w:rsidRDefault="0006322E" w:rsidP="0006322E">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i/>
          <w:sz w:val="28"/>
          <w:szCs w:val="28"/>
        </w:rPr>
        <w:t xml:space="preserve">по комплексам процессных мероприятий </w:t>
      </w:r>
      <w:r w:rsidRPr="00E47AA9">
        <w:rPr>
          <w:rFonts w:ascii="Times New Roman" w:eastAsia="Calibri" w:hAnsi="Times New Roman" w:cs="Times New Roman"/>
          <w:sz w:val="28"/>
          <w:szCs w:val="28"/>
        </w:rPr>
        <w:t>на общую сумму 14198,92 млн рублей, или 99,37 % (14210,21 млн рублей), из них:</w:t>
      </w:r>
    </w:p>
    <w:p w14:paraId="5B600136" w14:textId="2935D9BC" w:rsidR="0006322E" w:rsidRPr="00E47AA9"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i/>
          <w:sz w:val="28"/>
          <w:szCs w:val="28"/>
        </w:rPr>
        <w:t xml:space="preserve">КПМ "Поддержка муниципальных программ в сфере жилищно-коммунального хозяйства" </w:t>
      </w:r>
      <w:r w:rsidRPr="00E47AA9">
        <w:rPr>
          <w:rFonts w:ascii="Times New Roman" w:hAnsi="Times New Roman" w:cs="Times New Roman"/>
          <w:sz w:val="28"/>
          <w:szCs w:val="28"/>
        </w:rPr>
        <w:t xml:space="preserve">– 769,79 млн рублей, или 99,65 % (план </w:t>
      </w:r>
      <w:r w:rsidR="00E0556A" w:rsidRPr="00E47AA9">
        <w:rPr>
          <w:rFonts w:ascii="Times New Roman" w:hAnsi="Times New Roman" w:cs="Times New Roman"/>
          <w:sz w:val="28"/>
          <w:szCs w:val="28"/>
        </w:rPr>
        <w:t xml:space="preserve">– </w:t>
      </w:r>
      <w:r w:rsidRPr="00E47AA9">
        <w:rPr>
          <w:rFonts w:ascii="Times New Roman" w:hAnsi="Times New Roman" w:cs="Times New Roman"/>
          <w:sz w:val="28"/>
          <w:szCs w:val="28"/>
        </w:rPr>
        <w:t>772,48 млн рублей), из них направлено:</w:t>
      </w:r>
    </w:p>
    <w:p w14:paraId="0D1B5833" w14:textId="0ED33382" w:rsidR="0006322E" w:rsidRPr="00E47AA9"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на капитальный ремонт МКД бюджету Владивостокского ГО </w:t>
      </w:r>
      <w:r w:rsidR="00415F10" w:rsidRPr="00E47AA9">
        <w:rPr>
          <w:rFonts w:ascii="Times New Roman" w:hAnsi="Times New Roman" w:cs="Times New Roman"/>
          <w:sz w:val="28"/>
          <w:szCs w:val="28"/>
        </w:rPr>
        <w:t>–</w:t>
      </w:r>
      <w:r w:rsidRPr="00E47AA9">
        <w:rPr>
          <w:rFonts w:ascii="Times New Roman" w:hAnsi="Times New Roman" w:cs="Times New Roman"/>
          <w:sz w:val="28"/>
          <w:szCs w:val="28"/>
        </w:rPr>
        <w:t xml:space="preserve"> 74,70 млн рублей, или 99,60 % (план </w:t>
      </w:r>
      <w:r w:rsidR="00E0556A" w:rsidRPr="00E47AA9">
        <w:rPr>
          <w:rFonts w:ascii="Times New Roman" w:hAnsi="Times New Roman" w:cs="Times New Roman"/>
          <w:sz w:val="28"/>
          <w:szCs w:val="28"/>
        </w:rPr>
        <w:t xml:space="preserve">– </w:t>
      </w:r>
      <w:r w:rsidRPr="00E47AA9">
        <w:rPr>
          <w:rFonts w:ascii="Times New Roman" w:hAnsi="Times New Roman" w:cs="Times New Roman"/>
          <w:sz w:val="28"/>
          <w:szCs w:val="28"/>
        </w:rPr>
        <w:t>75,00 млн рублей). Неисполненный остаток в сумме 0,30 млн рублей сложилс</w:t>
      </w:r>
      <w:r w:rsidR="00415F10" w:rsidRPr="00E47AA9">
        <w:rPr>
          <w:rFonts w:ascii="Times New Roman" w:hAnsi="Times New Roman" w:cs="Times New Roman"/>
          <w:sz w:val="28"/>
          <w:szCs w:val="28"/>
        </w:rPr>
        <w:t>я</w:t>
      </w:r>
      <w:r w:rsidRPr="00E47AA9">
        <w:rPr>
          <w:rFonts w:ascii="Times New Roman" w:hAnsi="Times New Roman" w:cs="Times New Roman"/>
          <w:sz w:val="28"/>
          <w:szCs w:val="28"/>
        </w:rPr>
        <w:t xml:space="preserve"> в результате экономии по результатам выполненных работ. Однако запланированные целевые показатели (7 отремонтированных МКД, 54 МКД с ремонтом входных групп и т.д.) не соответствуют фактически выполненным работам (замена чердачных перекрытий в 15 МКД, установка узлов учета тепла в 26 МКД). Это свидетельствует о неточном планировании и необходимости пересмотра методологии расчета целевых показателей для повышения их реалистичности и соответствия фактическим возможностям;</w:t>
      </w:r>
    </w:p>
    <w:p w14:paraId="6D135F5C" w14:textId="77777777" w:rsidR="0006322E" w:rsidRPr="00E47AA9"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на поддержку муниципальных программ по созданию условий для управления МКД бюджетам 5 МО – 49,43 млн рублей, или 99,69 % (49,58 млн рублей). За 2024 год выполнены мероприятия по ремонту 211 подъездов в 59 МКД в 5 муниципальных образованиях. Стоит отметить, что в приложении к порядку предоставления и расходования субсидий результаты использования субсидий на 2024 год не установлены (на 2023 год – установлено количество МКД, в которых проведен ремонт входных групп, оконных блоков и подъездов – 95 ед.);</w:t>
      </w:r>
    </w:p>
    <w:p w14:paraId="1B3E4D87" w14:textId="77777777" w:rsidR="0006322E" w:rsidRPr="00E47AA9"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на реализацию муниципальных программ по сохранению внешнего историко-архитектурного облика зданий, сооружений населенных пунктов Приморского края – 205,80 млн рублей, или 98,92 % (208,04 млн рублей). На 2024 год планировалось отремонтировать 20 объектов, фактически проведен капитальный ремонт фасадов 16 МКД, крыш – 13 МКД;</w:t>
      </w:r>
    </w:p>
    <w:p w14:paraId="4030E652" w14:textId="77777777" w:rsidR="0006322E" w:rsidRPr="00E47AA9"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реализация мероприятий, источником финансового обеспечения которых являются специальные казначейские кредиты из федерального бюджета (капитальный ремонт объектов в историческом центре города) – 389,96 млн рублей в полном объеме. При 100,0 % финансировании согласно бюджетной отчетности министерства жилищно-коммунального хозяйства Приморского края за 2024 год сложилась дебиторская задолженность на данную сумму </w:t>
      </w:r>
      <w:r w:rsidR="00842371" w:rsidRPr="00E47AA9">
        <w:rPr>
          <w:rFonts w:ascii="Times New Roman" w:hAnsi="Times New Roman" w:cs="Times New Roman"/>
          <w:sz w:val="28"/>
          <w:szCs w:val="28"/>
        </w:rPr>
        <w:t>–</w:t>
      </w:r>
      <w:r w:rsidRPr="00E47AA9">
        <w:rPr>
          <w:rFonts w:ascii="Times New Roman" w:hAnsi="Times New Roman" w:cs="Times New Roman"/>
          <w:sz w:val="28"/>
          <w:szCs w:val="28"/>
        </w:rPr>
        <w:t xml:space="preserve"> остаток неиспользованной субсидии, перечисленный в 2024 году управлению содержания жилищного фонда администрации города Владивостока. Реализация мероприятий перенесена на 2025 год;</w:t>
      </w:r>
    </w:p>
    <w:p w14:paraId="2F00AD0F" w14:textId="3EE32D74" w:rsidR="0006322E" w:rsidRPr="00E47AA9"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на проектирование и (или) строительство, реконструкци</w:t>
      </w:r>
      <w:r w:rsidR="00842371" w:rsidRPr="00E47AA9">
        <w:rPr>
          <w:rFonts w:ascii="Times New Roman" w:hAnsi="Times New Roman" w:cs="Times New Roman"/>
          <w:sz w:val="28"/>
          <w:szCs w:val="28"/>
        </w:rPr>
        <w:t>ю (модернизацию</w:t>
      </w:r>
      <w:r w:rsidRPr="00E47AA9">
        <w:rPr>
          <w:rFonts w:ascii="Times New Roman" w:hAnsi="Times New Roman" w:cs="Times New Roman"/>
          <w:sz w:val="28"/>
          <w:szCs w:val="28"/>
        </w:rPr>
        <w:t>), капитальный ремонт объектов водопроводно-</w:t>
      </w:r>
      <w:r w:rsidRPr="00E47AA9">
        <w:rPr>
          <w:rFonts w:ascii="Times New Roman" w:hAnsi="Times New Roman" w:cs="Times New Roman"/>
          <w:sz w:val="28"/>
          <w:szCs w:val="28"/>
        </w:rPr>
        <w:lastRenderedPageBreak/>
        <w:t>канализационного хозяйства – 49,89 млн рублей в полном объеме, из них на строительство централизованной системы водоотведения в г. Дальнереченск</w:t>
      </w:r>
      <w:r w:rsidR="00842371" w:rsidRPr="00E47AA9">
        <w:rPr>
          <w:rFonts w:ascii="Times New Roman" w:hAnsi="Times New Roman" w:cs="Times New Roman"/>
          <w:sz w:val="28"/>
          <w:szCs w:val="28"/>
        </w:rPr>
        <w:t>е</w:t>
      </w:r>
      <w:r w:rsidRPr="00E47AA9">
        <w:rPr>
          <w:rFonts w:ascii="Times New Roman" w:hAnsi="Times New Roman" w:cs="Times New Roman"/>
          <w:sz w:val="28"/>
          <w:szCs w:val="28"/>
        </w:rPr>
        <w:t xml:space="preserve"> (проектирование КОС "Центральные" и КОС "ЛДК") </w:t>
      </w:r>
      <w:r w:rsidR="00842371" w:rsidRPr="00E47AA9">
        <w:rPr>
          <w:rFonts w:ascii="Times New Roman" w:hAnsi="Times New Roman" w:cs="Times New Roman"/>
          <w:sz w:val="28"/>
          <w:szCs w:val="28"/>
        </w:rPr>
        <w:t>–</w:t>
      </w:r>
      <w:r w:rsidRPr="00E47AA9">
        <w:rPr>
          <w:rFonts w:ascii="Times New Roman" w:hAnsi="Times New Roman" w:cs="Times New Roman"/>
          <w:sz w:val="28"/>
          <w:szCs w:val="28"/>
        </w:rPr>
        <w:t xml:space="preserve"> 40,01 млн рублей; на строительство станции водоподготовки в с. Черниговка, Черниговского района (проектирование) – 5,38 млн рублей; на комплексы биологической очистки (доочистки) и обеззараживания сточных вод Уссурийского ГО </w:t>
      </w:r>
      <w:r w:rsidR="00842371" w:rsidRPr="00E47AA9">
        <w:rPr>
          <w:rFonts w:ascii="Times New Roman" w:hAnsi="Times New Roman" w:cs="Times New Roman"/>
          <w:sz w:val="28"/>
          <w:szCs w:val="28"/>
        </w:rPr>
        <w:t>–</w:t>
      </w:r>
      <w:r w:rsidRPr="00E47AA9">
        <w:rPr>
          <w:rFonts w:ascii="Times New Roman" w:hAnsi="Times New Roman" w:cs="Times New Roman"/>
          <w:sz w:val="28"/>
          <w:szCs w:val="28"/>
        </w:rPr>
        <w:t xml:space="preserve"> 4,50 млн рублей</w:t>
      </w:r>
      <w:r w:rsidRPr="00E47AA9">
        <w:rPr>
          <w:rStyle w:val="a8"/>
          <w:rFonts w:ascii="Times New Roman" w:hAnsi="Times New Roman"/>
          <w:sz w:val="28"/>
          <w:szCs w:val="28"/>
        </w:rPr>
        <w:footnoteReference w:id="65"/>
      </w:r>
      <w:r w:rsidRPr="00E47AA9">
        <w:rPr>
          <w:rFonts w:ascii="Times New Roman" w:hAnsi="Times New Roman" w:cs="Times New Roman"/>
          <w:sz w:val="28"/>
          <w:szCs w:val="28"/>
        </w:rPr>
        <w:t xml:space="preserve">. </w:t>
      </w:r>
    </w:p>
    <w:p w14:paraId="47FBE70D" w14:textId="77777777" w:rsidR="0006322E" w:rsidRPr="00E47AA9" w:rsidRDefault="0006322E" w:rsidP="0006322E">
      <w:pPr>
        <w:spacing w:after="0" w:line="240" w:lineRule="auto"/>
        <w:ind w:firstLine="709"/>
        <w:jc w:val="both"/>
        <w:rPr>
          <w:rFonts w:ascii="Times New Roman" w:hAnsi="Times New Roman" w:cs="Times New Roman"/>
          <w:bCs/>
          <w:iCs/>
          <w:sz w:val="28"/>
          <w:szCs w:val="28"/>
        </w:rPr>
      </w:pPr>
      <w:r w:rsidRPr="00E47AA9">
        <w:rPr>
          <w:rFonts w:ascii="Times New Roman" w:hAnsi="Times New Roman" w:cs="Times New Roman"/>
          <w:bCs/>
          <w:i/>
          <w:sz w:val="28"/>
          <w:szCs w:val="28"/>
        </w:rPr>
        <w:t xml:space="preserve">КПМ "Поддержка организаций коммунального хозяйства" – </w:t>
      </w:r>
      <w:r w:rsidRPr="00E47AA9">
        <w:rPr>
          <w:rFonts w:ascii="Times New Roman" w:hAnsi="Times New Roman" w:cs="Times New Roman"/>
          <w:bCs/>
          <w:iCs/>
          <w:sz w:val="28"/>
          <w:szCs w:val="28"/>
        </w:rPr>
        <w:t>13228,35 млн рублей в запланированном объеме годовых бюджетных назначений, из них:</w:t>
      </w:r>
    </w:p>
    <w:p w14:paraId="25DBA5F5" w14:textId="77777777" w:rsidR="0006322E" w:rsidRPr="00E47AA9" w:rsidRDefault="0006322E" w:rsidP="0006322E">
      <w:pPr>
        <w:spacing w:after="0" w:line="240" w:lineRule="auto"/>
        <w:ind w:firstLine="709"/>
        <w:jc w:val="both"/>
        <w:rPr>
          <w:rFonts w:ascii="Times New Roman" w:hAnsi="Times New Roman" w:cs="Times New Roman"/>
          <w:bCs/>
          <w:iCs/>
          <w:sz w:val="28"/>
          <w:szCs w:val="28"/>
        </w:rPr>
      </w:pPr>
      <w:r w:rsidRPr="00E47AA9">
        <w:rPr>
          <w:rFonts w:ascii="Times New Roman" w:hAnsi="Times New Roman" w:cs="Times New Roman"/>
          <w:bCs/>
          <w:iCs/>
          <w:sz w:val="28"/>
          <w:szCs w:val="28"/>
        </w:rPr>
        <w:t>субсидии 5 организациям, производящим электрическую энергию и поставляющим ее для населения Приморского края на возмещение затрат или недополученных доходов, – 592,94 млн рублей;</w:t>
      </w:r>
    </w:p>
    <w:p w14:paraId="767A5F5F" w14:textId="77777777" w:rsidR="0006322E" w:rsidRPr="00E47AA9" w:rsidRDefault="0006322E" w:rsidP="0006322E">
      <w:pPr>
        <w:spacing w:after="0" w:line="240" w:lineRule="auto"/>
        <w:ind w:firstLine="709"/>
        <w:jc w:val="both"/>
        <w:rPr>
          <w:rFonts w:ascii="Times New Roman" w:hAnsi="Times New Roman" w:cs="Times New Roman"/>
          <w:bCs/>
          <w:iCs/>
          <w:sz w:val="28"/>
          <w:szCs w:val="28"/>
        </w:rPr>
      </w:pPr>
      <w:r w:rsidRPr="00E47AA9">
        <w:rPr>
          <w:rFonts w:ascii="Times New Roman" w:hAnsi="Times New Roman" w:cs="Times New Roman"/>
          <w:bCs/>
          <w:iCs/>
          <w:sz w:val="28"/>
          <w:szCs w:val="28"/>
        </w:rPr>
        <w:t>субсидии 4 организациям на приобретение топлива – 5854,68 млн рублей, в том числе на финансовое обеспечение – 4973,96 млн рублей; на возмещение затрат, свя</w:t>
      </w:r>
      <w:r w:rsidR="00842371" w:rsidRPr="00E47AA9">
        <w:rPr>
          <w:rFonts w:ascii="Times New Roman" w:hAnsi="Times New Roman" w:cs="Times New Roman"/>
          <w:bCs/>
          <w:iCs/>
          <w:sz w:val="28"/>
          <w:szCs w:val="28"/>
        </w:rPr>
        <w:t>занных с приобретением топлива –</w:t>
      </w:r>
      <w:r w:rsidRPr="00E47AA9">
        <w:rPr>
          <w:rFonts w:ascii="Times New Roman" w:hAnsi="Times New Roman" w:cs="Times New Roman"/>
          <w:bCs/>
          <w:iCs/>
          <w:sz w:val="28"/>
          <w:szCs w:val="28"/>
        </w:rPr>
        <w:t xml:space="preserve"> 880,72 млн рублей;</w:t>
      </w:r>
    </w:p>
    <w:p w14:paraId="4FA9C8A1" w14:textId="77777777" w:rsidR="0006322E" w:rsidRPr="00E47AA9" w:rsidRDefault="0006322E" w:rsidP="0006322E">
      <w:pPr>
        <w:spacing w:after="0" w:line="240" w:lineRule="auto"/>
        <w:ind w:firstLine="709"/>
        <w:jc w:val="both"/>
        <w:rPr>
          <w:rFonts w:ascii="Times New Roman" w:hAnsi="Times New Roman" w:cs="Times New Roman"/>
          <w:bCs/>
          <w:iCs/>
          <w:sz w:val="28"/>
          <w:szCs w:val="28"/>
        </w:rPr>
      </w:pPr>
      <w:r w:rsidRPr="00E47AA9">
        <w:rPr>
          <w:rFonts w:ascii="Times New Roman" w:hAnsi="Times New Roman" w:cs="Times New Roman"/>
          <w:bCs/>
          <w:iCs/>
          <w:sz w:val="28"/>
          <w:szCs w:val="28"/>
        </w:rPr>
        <w:t>субсидии теплоснабжающим организациям на компенсацию выпадающих доходов, возникающих в результате установления льготного тарифа на тепловую энергию (мощность) – 6396,33 млн рублей в соответствии с отчетами об объемах фактического отпуска тепловой энергии, предоставленными 14 теплоснабжающими организациями;</w:t>
      </w:r>
    </w:p>
    <w:p w14:paraId="3F82B1EA" w14:textId="77777777" w:rsidR="0006322E" w:rsidRPr="00E47AA9" w:rsidRDefault="0006322E" w:rsidP="0006322E">
      <w:pPr>
        <w:spacing w:after="0" w:line="240" w:lineRule="auto"/>
        <w:ind w:firstLine="709"/>
        <w:jc w:val="both"/>
        <w:rPr>
          <w:rFonts w:ascii="Times New Roman" w:hAnsi="Times New Roman" w:cs="Times New Roman"/>
          <w:bCs/>
          <w:iCs/>
          <w:sz w:val="28"/>
          <w:szCs w:val="28"/>
        </w:rPr>
      </w:pPr>
      <w:r w:rsidRPr="00E47AA9">
        <w:rPr>
          <w:rFonts w:ascii="Times New Roman" w:hAnsi="Times New Roman" w:cs="Times New Roman"/>
          <w:bCs/>
          <w:iCs/>
          <w:sz w:val="28"/>
          <w:szCs w:val="28"/>
        </w:rPr>
        <w:t>на осуществление капитальных вложений в объекты государственной собственности Приморского края в сфере жилищно-коммунального хозяйства</w:t>
      </w:r>
      <w:r w:rsidR="00842371" w:rsidRPr="00E47AA9">
        <w:rPr>
          <w:rFonts w:ascii="Times New Roman" w:hAnsi="Times New Roman" w:cs="Times New Roman"/>
          <w:bCs/>
          <w:iCs/>
          <w:sz w:val="28"/>
          <w:szCs w:val="28"/>
        </w:rPr>
        <w:t> </w:t>
      </w:r>
      <w:r w:rsidRPr="00E47AA9">
        <w:rPr>
          <w:rFonts w:ascii="Times New Roman" w:hAnsi="Times New Roman" w:cs="Times New Roman"/>
          <w:bCs/>
          <w:iCs/>
          <w:sz w:val="28"/>
          <w:szCs w:val="28"/>
        </w:rPr>
        <w:t>– 384,40 млн рублей перечислено КГУП "Приморский водоканал", в том числе:</w:t>
      </w:r>
    </w:p>
    <w:p w14:paraId="13F0274A" w14:textId="720EC5F7" w:rsidR="0006322E" w:rsidRPr="00E47AA9" w:rsidRDefault="0006322E" w:rsidP="0006322E">
      <w:pPr>
        <w:spacing w:after="0" w:line="240" w:lineRule="auto"/>
        <w:ind w:firstLine="709"/>
        <w:jc w:val="both"/>
        <w:rPr>
          <w:rFonts w:ascii="Times New Roman" w:hAnsi="Times New Roman" w:cs="Times New Roman"/>
          <w:bCs/>
          <w:iCs/>
          <w:sz w:val="28"/>
          <w:szCs w:val="28"/>
        </w:rPr>
      </w:pPr>
      <w:r w:rsidRPr="00E47AA9">
        <w:rPr>
          <w:rFonts w:ascii="Times New Roman" w:hAnsi="Times New Roman" w:cs="Times New Roman"/>
          <w:bCs/>
          <w:iCs/>
          <w:sz w:val="28"/>
          <w:szCs w:val="28"/>
        </w:rPr>
        <w:t>на реконструкцию системы водоотведения б. Новик со строительством глубоководного выпуска в залив Петра Великого, в том числе проектирование (70,28 млн рублей). Согласно АИП срок исполнения контрактов по разработке проектно-изыскательской документации 25.12.2024. Контракт с ООО "</w:t>
      </w:r>
      <w:proofErr w:type="spellStart"/>
      <w:r w:rsidRPr="00E47AA9">
        <w:rPr>
          <w:rFonts w:ascii="Times New Roman" w:hAnsi="Times New Roman" w:cs="Times New Roman"/>
          <w:bCs/>
          <w:iCs/>
          <w:sz w:val="28"/>
          <w:szCs w:val="28"/>
        </w:rPr>
        <w:t>Дальгеомарк</w:t>
      </w:r>
      <w:proofErr w:type="spellEnd"/>
      <w:r w:rsidRPr="00E47AA9">
        <w:rPr>
          <w:rFonts w:ascii="Times New Roman" w:hAnsi="Times New Roman" w:cs="Times New Roman"/>
          <w:bCs/>
          <w:iCs/>
          <w:sz w:val="28"/>
          <w:szCs w:val="28"/>
        </w:rPr>
        <w:t>" по надводной части исполнен в полном объеме, с АО "</w:t>
      </w:r>
      <w:proofErr w:type="spellStart"/>
      <w:r w:rsidRPr="00E47AA9">
        <w:rPr>
          <w:rFonts w:ascii="Times New Roman" w:hAnsi="Times New Roman" w:cs="Times New Roman"/>
          <w:bCs/>
          <w:iCs/>
          <w:sz w:val="28"/>
          <w:szCs w:val="28"/>
        </w:rPr>
        <w:t>Ленгипроречтранс</w:t>
      </w:r>
      <w:proofErr w:type="spellEnd"/>
      <w:r w:rsidRPr="00E47AA9">
        <w:rPr>
          <w:rFonts w:ascii="Times New Roman" w:hAnsi="Times New Roman" w:cs="Times New Roman"/>
          <w:bCs/>
          <w:iCs/>
          <w:sz w:val="28"/>
          <w:szCs w:val="28"/>
        </w:rPr>
        <w:t>" (глубоководный выпуск) не исполнен. Ориентировочный срок выполнения – апрель 2025 года. На 01.01.2025 по министерству существует дебиторская задолженность КГУП "Приморский водоканал" – 42,81 млн рублей, денежные средства возвращены в доход краевого бюджета 22.01.2025;</w:t>
      </w:r>
    </w:p>
    <w:p w14:paraId="7F200E15" w14:textId="68BB6CFB" w:rsidR="0006322E" w:rsidRPr="00E47AA9" w:rsidRDefault="0006322E" w:rsidP="0006322E">
      <w:pPr>
        <w:spacing w:after="0" w:line="240" w:lineRule="auto"/>
        <w:ind w:firstLine="709"/>
        <w:jc w:val="both"/>
        <w:rPr>
          <w:rFonts w:ascii="Times New Roman" w:hAnsi="Times New Roman" w:cs="Times New Roman"/>
          <w:bCs/>
          <w:iCs/>
          <w:sz w:val="28"/>
          <w:szCs w:val="28"/>
        </w:rPr>
      </w:pPr>
      <w:r w:rsidRPr="00E47AA9">
        <w:rPr>
          <w:rFonts w:ascii="Times New Roman" w:hAnsi="Times New Roman" w:cs="Times New Roman"/>
          <w:bCs/>
          <w:iCs/>
          <w:sz w:val="28"/>
          <w:szCs w:val="28"/>
        </w:rPr>
        <w:t xml:space="preserve">на реконструкцию централизованной системы водоотведения для обеспечения перевода всех хозяйственно-бытовых стоков на очистные сооружения г. Владивостока, в том числе проектирование (27,39 млн рублей, денежные средства 22.01.2025 возвращены в доход краевого бюджета). Объект включает в себя мероприятия по проектированию и строительству четырех канализационных насосных станций с напорно-самотечными коллекторами). </w:t>
      </w:r>
      <w:r w:rsidRPr="00E47AA9">
        <w:rPr>
          <w:rFonts w:ascii="Times New Roman" w:hAnsi="Times New Roman" w:cs="Times New Roman"/>
          <w:bCs/>
          <w:iCs/>
          <w:sz w:val="28"/>
          <w:szCs w:val="28"/>
        </w:rPr>
        <w:lastRenderedPageBreak/>
        <w:t xml:space="preserve">В соответствии с АИП срок выполнения </w:t>
      </w:r>
      <w:r w:rsidR="00407315" w:rsidRPr="00E47AA9">
        <w:rPr>
          <w:rFonts w:ascii="Times New Roman" w:hAnsi="Times New Roman" w:cs="Times New Roman"/>
          <w:bCs/>
          <w:iCs/>
          <w:sz w:val="28"/>
          <w:szCs w:val="28"/>
        </w:rPr>
        <w:t xml:space="preserve">мероприятия - </w:t>
      </w:r>
      <w:r w:rsidRPr="00E47AA9">
        <w:rPr>
          <w:rFonts w:ascii="Times New Roman" w:hAnsi="Times New Roman" w:cs="Times New Roman"/>
          <w:bCs/>
          <w:iCs/>
          <w:sz w:val="28"/>
          <w:szCs w:val="28"/>
        </w:rPr>
        <w:t>31.12.2024. По информации министерства</w:t>
      </w:r>
      <w:r w:rsidR="00842371" w:rsidRPr="00E47AA9">
        <w:rPr>
          <w:rFonts w:ascii="Times New Roman" w:hAnsi="Times New Roman" w:cs="Times New Roman"/>
          <w:bCs/>
          <w:iCs/>
          <w:sz w:val="28"/>
          <w:szCs w:val="28"/>
        </w:rPr>
        <w:t>,</w:t>
      </w:r>
      <w:r w:rsidRPr="00E47AA9">
        <w:rPr>
          <w:rFonts w:ascii="Times New Roman" w:hAnsi="Times New Roman" w:cs="Times New Roman"/>
          <w:bCs/>
          <w:iCs/>
          <w:sz w:val="28"/>
          <w:szCs w:val="28"/>
        </w:rPr>
        <w:t xml:space="preserve"> по состоянию на 15.02.2025 формируется заявка для размещения закупки в КГКУ "</w:t>
      </w:r>
      <w:proofErr w:type="spellStart"/>
      <w:r w:rsidRPr="00E47AA9">
        <w:rPr>
          <w:rFonts w:ascii="Times New Roman" w:hAnsi="Times New Roman" w:cs="Times New Roman"/>
          <w:bCs/>
          <w:iCs/>
          <w:sz w:val="28"/>
          <w:szCs w:val="28"/>
        </w:rPr>
        <w:t>Примзакупки</w:t>
      </w:r>
      <w:proofErr w:type="spellEnd"/>
      <w:r w:rsidRPr="00E47AA9">
        <w:rPr>
          <w:rFonts w:ascii="Times New Roman" w:hAnsi="Times New Roman" w:cs="Times New Roman"/>
          <w:bCs/>
          <w:iCs/>
          <w:sz w:val="28"/>
          <w:szCs w:val="28"/>
        </w:rPr>
        <w:t xml:space="preserve">". Ориентировочные даты размещения закупки </w:t>
      </w:r>
      <w:r w:rsidR="00842371" w:rsidRPr="00E47AA9">
        <w:rPr>
          <w:rFonts w:ascii="Times New Roman" w:hAnsi="Times New Roman" w:cs="Times New Roman"/>
          <w:bCs/>
          <w:iCs/>
          <w:sz w:val="28"/>
          <w:szCs w:val="28"/>
        </w:rPr>
        <w:t>–</w:t>
      </w:r>
      <w:r w:rsidRPr="00E47AA9">
        <w:rPr>
          <w:rFonts w:ascii="Times New Roman" w:hAnsi="Times New Roman" w:cs="Times New Roman"/>
          <w:bCs/>
          <w:iCs/>
          <w:sz w:val="28"/>
          <w:szCs w:val="28"/>
        </w:rPr>
        <w:t xml:space="preserve"> март 2025 год</w:t>
      </w:r>
      <w:r w:rsidR="00842371" w:rsidRPr="00E47AA9">
        <w:rPr>
          <w:rFonts w:ascii="Times New Roman" w:hAnsi="Times New Roman" w:cs="Times New Roman"/>
          <w:bCs/>
          <w:iCs/>
          <w:sz w:val="28"/>
          <w:szCs w:val="28"/>
        </w:rPr>
        <w:t>а, заключения контракта –</w:t>
      </w:r>
      <w:r w:rsidRPr="00E47AA9">
        <w:rPr>
          <w:rFonts w:ascii="Times New Roman" w:hAnsi="Times New Roman" w:cs="Times New Roman"/>
          <w:bCs/>
          <w:iCs/>
          <w:sz w:val="28"/>
          <w:szCs w:val="28"/>
        </w:rPr>
        <w:t xml:space="preserve"> апрель 2025 год</w:t>
      </w:r>
      <w:r w:rsidR="00842371" w:rsidRPr="00E47AA9">
        <w:rPr>
          <w:rFonts w:ascii="Times New Roman" w:hAnsi="Times New Roman" w:cs="Times New Roman"/>
          <w:bCs/>
          <w:iCs/>
          <w:sz w:val="28"/>
          <w:szCs w:val="28"/>
        </w:rPr>
        <w:t>а</w:t>
      </w:r>
      <w:r w:rsidRPr="00E47AA9">
        <w:rPr>
          <w:rFonts w:ascii="Times New Roman" w:hAnsi="Times New Roman" w:cs="Times New Roman"/>
          <w:bCs/>
          <w:iCs/>
          <w:sz w:val="28"/>
          <w:szCs w:val="28"/>
        </w:rPr>
        <w:t>, разработки проектно-изыскательской документации и получения положительного заключе</w:t>
      </w:r>
      <w:r w:rsidR="00842371" w:rsidRPr="00E47AA9">
        <w:rPr>
          <w:rFonts w:ascii="Times New Roman" w:hAnsi="Times New Roman" w:cs="Times New Roman"/>
          <w:bCs/>
          <w:iCs/>
          <w:sz w:val="28"/>
          <w:szCs w:val="28"/>
        </w:rPr>
        <w:t>ния государственной экспертизы –</w:t>
      </w:r>
      <w:r w:rsidRPr="00E47AA9">
        <w:rPr>
          <w:rFonts w:ascii="Times New Roman" w:hAnsi="Times New Roman" w:cs="Times New Roman"/>
          <w:bCs/>
          <w:iCs/>
          <w:sz w:val="28"/>
          <w:szCs w:val="28"/>
        </w:rPr>
        <w:t xml:space="preserve"> декабрь 2025 год</w:t>
      </w:r>
      <w:r w:rsidR="00842371" w:rsidRPr="00E47AA9">
        <w:rPr>
          <w:rFonts w:ascii="Times New Roman" w:hAnsi="Times New Roman" w:cs="Times New Roman"/>
          <w:bCs/>
          <w:iCs/>
          <w:sz w:val="28"/>
          <w:szCs w:val="28"/>
        </w:rPr>
        <w:t>а</w:t>
      </w:r>
      <w:r w:rsidRPr="00E47AA9">
        <w:rPr>
          <w:rFonts w:ascii="Times New Roman" w:hAnsi="Times New Roman" w:cs="Times New Roman"/>
          <w:bCs/>
          <w:iCs/>
          <w:sz w:val="28"/>
          <w:szCs w:val="28"/>
        </w:rPr>
        <w:t>;</w:t>
      </w:r>
    </w:p>
    <w:p w14:paraId="0BC9316B" w14:textId="77777777" w:rsidR="0006322E" w:rsidRPr="00E47AA9" w:rsidRDefault="0006322E" w:rsidP="0006322E">
      <w:pPr>
        <w:spacing w:after="0" w:line="240" w:lineRule="auto"/>
        <w:ind w:firstLine="709"/>
        <w:jc w:val="both"/>
        <w:rPr>
          <w:rFonts w:ascii="Times New Roman" w:hAnsi="Times New Roman" w:cs="Times New Roman"/>
          <w:bCs/>
          <w:iCs/>
          <w:sz w:val="28"/>
          <w:szCs w:val="28"/>
        </w:rPr>
      </w:pPr>
      <w:r w:rsidRPr="00E47AA9">
        <w:rPr>
          <w:rFonts w:ascii="Times New Roman" w:hAnsi="Times New Roman" w:cs="Times New Roman"/>
          <w:bCs/>
          <w:iCs/>
          <w:sz w:val="28"/>
          <w:szCs w:val="28"/>
        </w:rPr>
        <w:t>на строительство станции водоподготовки на территории "Пушкинская депрессия" для обеспечения качественным водоснабжением резидентов ТОР "</w:t>
      </w:r>
      <w:proofErr w:type="spellStart"/>
      <w:r w:rsidRPr="00E47AA9">
        <w:rPr>
          <w:rFonts w:ascii="Times New Roman" w:hAnsi="Times New Roman" w:cs="Times New Roman"/>
          <w:bCs/>
          <w:iCs/>
          <w:sz w:val="28"/>
          <w:szCs w:val="28"/>
        </w:rPr>
        <w:t>Надеждинская</w:t>
      </w:r>
      <w:proofErr w:type="spellEnd"/>
      <w:r w:rsidRPr="00E47AA9">
        <w:rPr>
          <w:rFonts w:ascii="Times New Roman" w:hAnsi="Times New Roman" w:cs="Times New Roman"/>
          <w:bCs/>
          <w:iCs/>
          <w:sz w:val="28"/>
          <w:szCs w:val="28"/>
        </w:rPr>
        <w:t xml:space="preserve">" и части жителей </w:t>
      </w:r>
      <w:proofErr w:type="spellStart"/>
      <w:r w:rsidRPr="00E47AA9">
        <w:rPr>
          <w:rFonts w:ascii="Times New Roman" w:hAnsi="Times New Roman" w:cs="Times New Roman"/>
          <w:bCs/>
          <w:iCs/>
          <w:sz w:val="28"/>
          <w:szCs w:val="28"/>
        </w:rPr>
        <w:t>Надеждинского</w:t>
      </w:r>
      <w:proofErr w:type="spellEnd"/>
      <w:r w:rsidRPr="00E47AA9">
        <w:rPr>
          <w:rFonts w:ascii="Times New Roman" w:hAnsi="Times New Roman" w:cs="Times New Roman"/>
          <w:bCs/>
          <w:iCs/>
          <w:sz w:val="28"/>
          <w:szCs w:val="28"/>
        </w:rPr>
        <w:t xml:space="preserve"> МР (286,73 млн рублей). Завершение данных мероприят</w:t>
      </w:r>
      <w:r w:rsidR="00842371" w:rsidRPr="00E47AA9">
        <w:rPr>
          <w:rFonts w:ascii="Times New Roman" w:hAnsi="Times New Roman" w:cs="Times New Roman"/>
          <w:bCs/>
          <w:iCs/>
          <w:sz w:val="28"/>
          <w:szCs w:val="28"/>
        </w:rPr>
        <w:t>ий в соответствии с контрактом –</w:t>
      </w:r>
      <w:r w:rsidRPr="00E47AA9">
        <w:rPr>
          <w:rFonts w:ascii="Times New Roman" w:hAnsi="Times New Roman" w:cs="Times New Roman"/>
          <w:bCs/>
          <w:iCs/>
          <w:sz w:val="28"/>
          <w:szCs w:val="28"/>
        </w:rPr>
        <w:t xml:space="preserve"> ноябрь 2025 года. При этом согласно бюджетной отчетности на 01.01.2025 сложилась дебиторская задолженность КГУП "Приморский водоканал" в сумме 221,72 млн рублей по соглашению № 1/1-2015 от 17.12.2015 (денежные средства возвращены в доход краевого бюджета 22.01.2025);</w:t>
      </w:r>
    </w:p>
    <w:p w14:paraId="40799E07" w14:textId="77777777" w:rsidR="0006322E" w:rsidRPr="00E47AA9" w:rsidRDefault="0006322E" w:rsidP="0006322E">
      <w:pPr>
        <w:spacing w:after="0" w:line="240" w:lineRule="auto"/>
        <w:ind w:firstLine="709"/>
        <w:jc w:val="both"/>
        <w:rPr>
          <w:rFonts w:ascii="Times New Roman" w:hAnsi="Times New Roman" w:cs="Times New Roman"/>
          <w:bCs/>
          <w:iCs/>
          <w:sz w:val="28"/>
          <w:szCs w:val="28"/>
        </w:rPr>
      </w:pPr>
      <w:r w:rsidRPr="00E47AA9">
        <w:rPr>
          <w:rFonts w:ascii="Times New Roman" w:hAnsi="Times New Roman" w:cs="Times New Roman"/>
          <w:bCs/>
          <w:i/>
          <w:sz w:val="28"/>
          <w:szCs w:val="28"/>
        </w:rPr>
        <w:t>КПМ "Обеспечение граждан твердым топливом"</w:t>
      </w:r>
      <w:r w:rsidRPr="00E47AA9">
        <w:rPr>
          <w:rFonts w:ascii="Times New Roman" w:hAnsi="Times New Roman" w:cs="Times New Roman"/>
          <w:bCs/>
          <w:iCs/>
          <w:sz w:val="28"/>
          <w:szCs w:val="28"/>
        </w:rPr>
        <w:t xml:space="preserve"> – 200,78 млн рублей, или 95,89 % (209,38 млн рублей). Средства направлены бюджетам муниципальных образований</w:t>
      </w:r>
      <w:r w:rsidR="00842371" w:rsidRPr="00E47AA9">
        <w:rPr>
          <w:rFonts w:ascii="Times New Roman" w:hAnsi="Times New Roman" w:cs="Times New Roman"/>
          <w:bCs/>
          <w:iCs/>
          <w:sz w:val="28"/>
          <w:szCs w:val="28"/>
        </w:rPr>
        <w:t>.</w:t>
      </w:r>
    </w:p>
    <w:p w14:paraId="14B04950" w14:textId="77777777" w:rsidR="0006322E" w:rsidRPr="00E47AA9" w:rsidRDefault="0006322E" w:rsidP="0006322E">
      <w:pPr>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 xml:space="preserve">Подпрограмма "Переселение граждан из аварийного жилищного фонда в Приморском крае" </w:t>
      </w:r>
    </w:p>
    <w:p w14:paraId="49F94293" w14:textId="77777777" w:rsidR="0006322E" w:rsidRPr="00E47AA9" w:rsidRDefault="0006322E" w:rsidP="0006322E">
      <w:pPr>
        <w:spacing w:after="0" w:line="240" w:lineRule="auto"/>
        <w:ind w:firstLine="709"/>
        <w:jc w:val="both"/>
        <w:rPr>
          <w:rFonts w:ascii="Times New Roman" w:eastAsia="Times New Roman" w:hAnsi="Times New Roman" w:cs="Times New Roman"/>
          <w:sz w:val="28"/>
          <w:szCs w:val="28"/>
          <w:u w:val="single"/>
          <w:lang w:eastAsia="ru-RU"/>
        </w:rPr>
      </w:pPr>
      <w:r w:rsidRPr="00E47AA9">
        <w:rPr>
          <w:rFonts w:ascii="Times New Roman" w:eastAsia="Times New Roman" w:hAnsi="Times New Roman" w:cs="Times New Roman"/>
          <w:sz w:val="28"/>
          <w:szCs w:val="28"/>
          <w:lang w:eastAsia="ru-RU"/>
        </w:rPr>
        <w:t>По подпрограмме исполнение расходов осуществлено</w:t>
      </w:r>
      <w:r w:rsidRPr="00E47AA9">
        <w:rPr>
          <w:rFonts w:ascii="Times New Roman" w:eastAsia="Times New Roman" w:hAnsi="Times New Roman" w:cs="Times New Roman"/>
          <w:b/>
          <w:i/>
          <w:sz w:val="28"/>
          <w:szCs w:val="28"/>
          <w:lang w:eastAsia="ru-RU"/>
        </w:rPr>
        <w:t xml:space="preserve"> </w:t>
      </w:r>
      <w:r w:rsidRPr="00E47AA9">
        <w:rPr>
          <w:rFonts w:ascii="Times New Roman" w:eastAsia="Times New Roman" w:hAnsi="Times New Roman" w:cs="Times New Roman"/>
          <w:sz w:val="28"/>
          <w:szCs w:val="28"/>
          <w:u w:val="single"/>
          <w:lang w:eastAsia="ru-RU"/>
        </w:rPr>
        <w:t>министерством строительства Приморского края</w:t>
      </w:r>
      <w:r w:rsidRPr="00E47AA9">
        <w:rPr>
          <w:rFonts w:ascii="Times New Roman" w:eastAsia="Times New Roman" w:hAnsi="Times New Roman" w:cs="Times New Roman"/>
          <w:sz w:val="28"/>
          <w:szCs w:val="28"/>
          <w:lang w:eastAsia="ru-RU"/>
        </w:rPr>
        <w:t xml:space="preserve"> по:</w:t>
      </w:r>
    </w:p>
    <w:p w14:paraId="7A7BEA4C" w14:textId="5BC86538" w:rsidR="0006322E" w:rsidRPr="00E47AA9" w:rsidRDefault="0006322E" w:rsidP="0006322E">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i/>
          <w:sz w:val="28"/>
          <w:szCs w:val="28"/>
        </w:rPr>
        <w:t>РП "Обеспечение устойчивого сокращения непригодного для проживания жилищного фонда"</w:t>
      </w:r>
      <w:r w:rsidRPr="00E47AA9">
        <w:rPr>
          <w:rFonts w:ascii="Times New Roman" w:eastAsia="Calibri" w:hAnsi="Times New Roman" w:cs="Times New Roman"/>
          <w:sz w:val="28"/>
          <w:szCs w:val="28"/>
        </w:rPr>
        <w:t xml:space="preserve"> в составе </w:t>
      </w:r>
      <w:r w:rsidRPr="00E47AA9">
        <w:rPr>
          <w:rFonts w:ascii="Times New Roman" w:eastAsia="Times New Roman" w:hAnsi="Times New Roman" w:cs="Times New Roman"/>
          <w:i/>
          <w:iCs/>
          <w:sz w:val="28"/>
          <w:szCs w:val="28"/>
          <w:lang w:eastAsia="ru-RU"/>
        </w:rPr>
        <w:t>НП "Жилье и городская среда"</w:t>
      </w:r>
      <w:r w:rsidRPr="00E47AA9">
        <w:rPr>
          <w:rFonts w:ascii="Times New Roman" w:eastAsia="Calibri" w:hAnsi="Times New Roman" w:cs="Times New Roman"/>
          <w:sz w:val="28"/>
          <w:szCs w:val="28"/>
        </w:rPr>
        <w:t xml:space="preserve"> на сумму 635,88 млн рублей, или 95,76 % (план </w:t>
      </w:r>
      <w:r w:rsidR="00576C74"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664,06 млн рублей). Информация по реализации РП указана в приложении 3;</w:t>
      </w:r>
    </w:p>
    <w:p w14:paraId="7ED87133" w14:textId="77777777" w:rsidR="0006322E" w:rsidRPr="00E47AA9" w:rsidRDefault="0006322E" w:rsidP="0006322E">
      <w:pPr>
        <w:spacing w:after="0" w:line="240" w:lineRule="auto"/>
        <w:ind w:firstLine="709"/>
        <w:jc w:val="both"/>
        <w:rPr>
          <w:rFonts w:ascii="Times New Roman" w:eastAsia="Calibri" w:hAnsi="Times New Roman" w:cs="Times New Roman"/>
          <w:iCs/>
          <w:sz w:val="28"/>
          <w:szCs w:val="28"/>
        </w:rPr>
      </w:pPr>
      <w:r w:rsidRPr="00E47AA9">
        <w:rPr>
          <w:rFonts w:ascii="Times New Roman" w:eastAsia="Calibri" w:hAnsi="Times New Roman" w:cs="Times New Roman"/>
          <w:i/>
          <w:sz w:val="28"/>
          <w:szCs w:val="28"/>
        </w:rPr>
        <w:t>КПМ "Комплексное развитие сельских территорий Приморского края"</w:t>
      </w:r>
      <w:r w:rsidR="00482EBD" w:rsidRPr="00E47AA9">
        <w:rPr>
          <w:rFonts w:ascii="Times New Roman" w:eastAsia="Calibri" w:hAnsi="Times New Roman" w:cs="Times New Roman"/>
          <w:i/>
          <w:sz w:val="28"/>
          <w:szCs w:val="28"/>
        </w:rPr>
        <w:t> –</w:t>
      </w:r>
      <w:r w:rsidRPr="00E47AA9">
        <w:rPr>
          <w:rFonts w:ascii="Times New Roman" w:eastAsia="Calibri" w:hAnsi="Times New Roman" w:cs="Times New Roman"/>
          <w:iCs/>
          <w:sz w:val="28"/>
          <w:szCs w:val="28"/>
        </w:rPr>
        <w:t xml:space="preserve"> 90,19 млн рублей, или 82,05 %, в том числе:</w:t>
      </w:r>
    </w:p>
    <w:p w14:paraId="507B9AA7" w14:textId="77777777" w:rsidR="0006322E" w:rsidRPr="00E47AA9"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на реализацию программ местного развития и обеспечение занятости для шахтерских городов и поселков </w:t>
      </w:r>
      <w:r w:rsidR="00482EBD" w:rsidRPr="00E47AA9">
        <w:rPr>
          <w:rFonts w:ascii="Times New Roman" w:hAnsi="Times New Roman" w:cs="Times New Roman"/>
          <w:sz w:val="28"/>
          <w:szCs w:val="28"/>
        </w:rPr>
        <w:t>–</w:t>
      </w:r>
      <w:r w:rsidRPr="00E47AA9">
        <w:rPr>
          <w:rFonts w:ascii="Times New Roman" w:hAnsi="Times New Roman" w:cs="Times New Roman"/>
          <w:sz w:val="28"/>
          <w:szCs w:val="28"/>
        </w:rPr>
        <w:t xml:space="preserve"> 81,60 млн рублей, или 99,9 % (81,61 млн рублей). Мероприятия реализовывались на территории Партизанского ГО. На средства субсидии переселены 12 семей (22 человека) из 12 помещений площадью 513,00 кв. м;</w:t>
      </w:r>
    </w:p>
    <w:p w14:paraId="30E8CC84" w14:textId="77777777" w:rsidR="0006322E" w:rsidRPr="00E47AA9"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на обеспечение деятельности (оказание услуг, выполнение работ) </w:t>
      </w:r>
      <w:r w:rsidR="0068262A" w:rsidRPr="00E47AA9">
        <w:rPr>
          <w:rFonts w:ascii="Times New Roman" w:hAnsi="Times New Roman" w:cs="Times New Roman"/>
          <w:sz w:val="28"/>
          <w:szCs w:val="28"/>
        </w:rPr>
        <w:t>–</w:t>
      </w:r>
      <w:r w:rsidRPr="00E47AA9">
        <w:rPr>
          <w:rFonts w:ascii="Times New Roman" w:hAnsi="Times New Roman" w:cs="Times New Roman"/>
          <w:sz w:val="28"/>
          <w:szCs w:val="28"/>
        </w:rPr>
        <w:t xml:space="preserve"> 7,76 млн рублей, или 28,24 % (27,49 млн рублей) на содержание нового подведомственного учреждения КГКУ "Приморский проектный институт", созданного в соответствии с распоряжением Правительства Приморского края от 12.07.2024 466-рп, не исполнены в сумме 19,73 млн рублей в связи с неукомплектованным штатом и осуществлением деятельности с июля 2024 года.</w:t>
      </w:r>
    </w:p>
    <w:p w14:paraId="6DFAA13E" w14:textId="77777777" w:rsidR="0006322E" w:rsidRPr="00E47AA9" w:rsidRDefault="0006322E" w:rsidP="0006322E">
      <w:pPr>
        <w:spacing w:after="0" w:line="240" w:lineRule="auto"/>
        <w:ind w:firstLine="680"/>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 xml:space="preserve">Подпрограмма "Доступная ипотека" </w:t>
      </w:r>
    </w:p>
    <w:p w14:paraId="4308B7B1" w14:textId="77777777" w:rsidR="0006322E" w:rsidRPr="00E47AA9" w:rsidRDefault="0006322E" w:rsidP="0006322E">
      <w:pPr>
        <w:tabs>
          <w:tab w:val="left" w:pos="851"/>
        </w:tabs>
        <w:spacing w:after="0" w:line="240" w:lineRule="auto"/>
        <w:ind w:firstLine="709"/>
        <w:contextualSpacing/>
        <w:jc w:val="both"/>
        <w:rPr>
          <w:rFonts w:ascii="Times New Roman" w:hAnsi="Times New Roman" w:cs="Times New Roman"/>
          <w:sz w:val="28"/>
          <w:szCs w:val="28"/>
        </w:rPr>
      </w:pPr>
      <w:r w:rsidRPr="00E47AA9">
        <w:rPr>
          <w:rFonts w:ascii="Times New Roman" w:eastAsia="Times New Roman" w:hAnsi="Times New Roman" w:cs="Times New Roman"/>
          <w:sz w:val="28"/>
          <w:szCs w:val="28"/>
          <w:lang w:eastAsia="ru-RU"/>
        </w:rPr>
        <w:t xml:space="preserve">Расходы по </w:t>
      </w:r>
      <w:r w:rsidRPr="00E47AA9">
        <w:rPr>
          <w:rFonts w:ascii="Times New Roman" w:eastAsia="Times New Roman" w:hAnsi="Times New Roman" w:cs="Times New Roman"/>
          <w:i/>
          <w:sz w:val="28"/>
          <w:szCs w:val="28"/>
          <w:lang w:eastAsia="ru-RU"/>
        </w:rPr>
        <w:t xml:space="preserve">КПМ "Повышение доступности ипотечных жилищных займов для отдельных категорий граждан" </w:t>
      </w:r>
      <w:r w:rsidRPr="00E47AA9">
        <w:rPr>
          <w:rFonts w:ascii="Times New Roman" w:eastAsia="Times New Roman" w:hAnsi="Times New Roman" w:cs="Times New Roman"/>
          <w:sz w:val="28"/>
          <w:szCs w:val="28"/>
          <w:lang w:eastAsia="ru-RU"/>
        </w:rPr>
        <w:t xml:space="preserve">по министерству строительства Приморского края на предоставление субсидии акционерному обществу </w:t>
      </w:r>
      <w:r w:rsidRPr="00E47AA9">
        <w:rPr>
          <w:rFonts w:ascii="Times New Roman" w:eastAsia="Times New Roman" w:hAnsi="Times New Roman" w:cs="Times New Roman"/>
          <w:sz w:val="28"/>
          <w:szCs w:val="28"/>
          <w:lang w:eastAsia="ru-RU"/>
        </w:rPr>
        <w:lastRenderedPageBreak/>
        <w:t xml:space="preserve">"Корпорация развития жилищного строительства" на финансовое обеспечение (возмещение) затрат, связанных с предоставлением отдельным категориям граждан ипотечных жилищных займов со сниженной процентной ставкой составили 29,88 млн рублей в полном объеме. </w:t>
      </w:r>
      <w:r w:rsidRPr="00E47AA9">
        <w:rPr>
          <w:rFonts w:ascii="Times New Roman" w:hAnsi="Times New Roman" w:cs="Times New Roman"/>
          <w:sz w:val="28"/>
          <w:szCs w:val="28"/>
        </w:rPr>
        <w:t xml:space="preserve">По состоянию на 01.10.2024 количество выданных ипотечных займов достигло 45 единиц на сумму 139,32 млн рублей, количество проданных закладных – 65 единиц на 185,44 млн рублей. Согласно уведомлению от 15.12.2023 АО "Банк ДОМ.РФ" в одностороннем порядке расторг договор купли-продажи закладных с 01.06.2024 в связи с указанными обстоятельствами, АО "КРЖС" прекратило выдачу ипотечных займов по программе </w:t>
      </w:r>
      <w:proofErr w:type="gramStart"/>
      <w:r w:rsidRPr="00E47AA9">
        <w:rPr>
          <w:rFonts w:ascii="Times New Roman" w:hAnsi="Times New Roman" w:cs="Times New Roman"/>
          <w:sz w:val="28"/>
          <w:szCs w:val="28"/>
        </w:rPr>
        <w:t>"</w:t>
      </w:r>
      <w:proofErr w:type="gramEnd"/>
      <w:r w:rsidRPr="00E47AA9">
        <w:rPr>
          <w:rFonts w:ascii="Times New Roman" w:hAnsi="Times New Roman" w:cs="Times New Roman"/>
          <w:sz w:val="28"/>
          <w:szCs w:val="28"/>
        </w:rPr>
        <w:t>Доступная ипотека".</w:t>
      </w:r>
    </w:p>
    <w:p w14:paraId="407BD7FE" w14:textId="77777777" w:rsidR="0006322E" w:rsidRPr="00E47AA9"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eastAsia="Calibri" w:hAnsi="Times New Roman" w:cs="Times New Roman"/>
          <w:b/>
          <w:sz w:val="28"/>
          <w:szCs w:val="28"/>
        </w:rPr>
        <w:t>Подпрограмма "Обеспечение функций управления реализации государственной программы"</w:t>
      </w:r>
      <w:r w:rsidRPr="00E47AA9">
        <w:rPr>
          <w:rFonts w:ascii="Times New Roman" w:hAnsi="Times New Roman" w:cs="Times New Roman"/>
          <w:sz w:val="28"/>
          <w:szCs w:val="28"/>
        </w:rPr>
        <w:t xml:space="preserve"> </w:t>
      </w:r>
    </w:p>
    <w:p w14:paraId="6A1A0B2E" w14:textId="77777777" w:rsidR="0006322E" w:rsidRPr="00E47AA9" w:rsidRDefault="0006322E" w:rsidP="0006322E">
      <w:pPr>
        <w:spacing w:after="0" w:line="240" w:lineRule="auto"/>
        <w:ind w:firstLine="709"/>
        <w:jc w:val="both"/>
        <w:rPr>
          <w:rFonts w:ascii="Times New Roman" w:eastAsia="Calibri" w:hAnsi="Times New Roman" w:cs="Times New Roman"/>
          <w:sz w:val="28"/>
          <w:szCs w:val="28"/>
        </w:rPr>
      </w:pPr>
      <w:r w:rsidRPr="00E47AA9">
        <w:rPr>
          <w:rFonts w:ascii="Times New Roman" w:hAnsi="Times New Roman" w:cs="Times New Roman"/>
          <w:sz w:val="28"/>
          <w:szCs w:val="28"/>
        </w:rPr>
        <w:t>Исполнение п</w:t>
      </w:r>
      <w:r w:rsidRPr="00E47AA9">
        <w:rPr>
          <w:rFonts w:ascii="Times New Roman" w:eastAsia="Calibri" w:hAnsi="Times New Roman" w:cs="Times New Roman"/>
          <w:sz w:val="28"/>
          <w:szCs w:val="28"/>
        </w:rPr>
        <w:t>о</w:t>
      </w:r>
      <w:r w:rsidRPr="00E47AA9">
        <w:rPr>
          <w:rFonts w:ascii="Times New Roman" w:eastAsia="Calibri" w:hAnsi="Times New Roman" w:cs="Times New Roman"/>
          <w:i/>
          <w:sz w:val="28"/>
          <w:szCs w:val="28"/>
        </w:rPr>
        <w:t xml:space="preserve"> комплексам процессных мероприятий </w:t>
      </w:r>
      <w:r w:rsidRPr="00E47AA9">
        <w:rPr>
          <w:rFonts w:ascii="Times New Roman" w:eastAsia="Calibri" w:hAnsi="Times New Roman" w:cs="Times New Roman"/>
          <w:sz w:val="28"/>
          <w:szCs w:val="28"/>
        </w:rPr>
        <w:t>следующее:</w:t>
      </w:r>
    </w:p>
    <w:p w14:paraId="042BD0BC" w14:textId="780A02AE" w:rsidR="0006322E" w:rsidRPr="00E47AA9"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i/>
          <w:sz w:val="28"/>
          <w:szCs w:val="28"/>
        </w:rPr>
        <w:t xml:space="preserve">КПМ "Обеспечение деятельности подведомственных организаций" </w:t>
      </w:r>
      <w:r w:rsidR="0068262A" w:rsidRPr="00E47AA9">
        <w:rPr>
          <w:rFonts w:ascii="Times New Roman" w:hAnsi="Times New Roman" w:cs="Times New Roman"/>
          <w:i/>
          <w:sz w:val="28"/>
          <w:szCs w:val="28"/>
        </w:rPr>
        <w:t>–</w:t>
      </w:r>
      <w:r w:rsidRPr="00E47AA9">
        <w:rPr>
          <w:rFonts w:ascii="Times New Roman" w:hAnsi="Times New Roman" w:cs="Times New Roman"/>
          <w:sz w:val="28"/>
          <w:szCs w:val="28"/>
        </w:rPr>
        <w:t xml:space="preserve"> 2399,47 млн рублей, или 98,36 % (план</w:t>
      </w:r>
      <w:r w:rsidR="00576C74"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 2439,48 млн рублей), из них:</w:t>
      </w:r>
    </w:p>
    <w:p w14:paraId="1FF37ACA" w14:textId="77777777" w:rsidR="0006322E" w:rsidRPr="00E47AA9" w:rsidRDefault="0006322E" w:rsidP="0006322E">
      <w:pPr>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sz w:val="28"/>
          <w:szCs w:val="28"/>
          <w:u w:val="single"/>
          <w:lang w:eastAsia="ru-RU"/>
        </w:rPr>
        <w:t>министерством жилищно-коммунального хозяйства Приморского края</w:t>
      </w:r>
      <w:r w:rsidRPr="00E47AA9">
        <w:rPr>
          <w:rFonts w:ascii="Times New Roman" w:hAnsi="Times New Roman" w:cs="Times New Roman"/>
          <w:sz w:val="28"/>
          <w:szCs w:val="28"/>
        </w:rPr>
        <w:t xml:space="preserve"> – 2086,05 млн рублей, или 99,11 % (2104,71 млн рублей), в том числе:</w:t>
      </w:r>
    </w:p>
    <w:p w14:paraId="5ABA5D97" w14:textId="77777777" w:rsidR="0006322E" w:rsidRPr="00E47AA9" w:rsidRDefault="0006322E" w:rsidP="0006322E">
      <w:pPr>
        <w:spacing w:after="0" w:line="240" w:lineRule="auto"/>
        <w:ind w:firstLine="697"/>
        <w:jc w:val="both"/>
        <w:rPr>
          <w:rFonts w:ascii="Times New Roman" w:hAnsi="Times New Roman" w:cs="Times New Roman"/>
          <w:sz w:val="28"/>
          <w:szCs w:val="28"/>
        </w:rPr>
      </w:pPr>
      <w:r w:rsidRPr="00E47AA9">
        <w:rPr>
          <w:rFonts w:ascii="Times New Roman" w:hAnsi="Times New Roman" w:cs="Times New Roman"/>
          <w:sz w:val="28"/>
          <w:szCs w:val="28"/>
        </w:rPr>
        <w:t>в полном объеме субсидии из краевого бюджета:</w:t>
      </w:r>
    </w:p>
    <w:p w14:paraId="3AA54B43" w14:textId="77777777" w:rsidR="0006322E" w:rsidRPr="00E47AA9" w:rsidRDefault="0006322E" w:rsidP="0006322E">
      <w:pPr>
        <w:spacing w:after="0" w:line="240" w:lineRule="auto"/>
        <w:ind w:firstLine="697"/>
        <w:jc w:val="both"/>
        <w:rPr>
          <w:rFonts w:ascii="Times New Roman" w:hAnsi="Times New Roman" w:cs="Times New Roman"/>
          <w:sz w:val="28"/>
          <w:szCs w:val="28"/>
        </w:rPr>
      </w:pPr>
      <w:r w:rsidRPr="00E47AA9">
        <w:rPr>
          <w:rFonts w:ascii="Times New Roman" w:hAnsi="Times New Roman" w:cs="Times New Roman"/>
          <w:sz w:val="28"/>
          <w:szCs w:val="28"/>
        </w:rPr>
        <w:t>на увеличение уставного фонда краевым государственным унитарным предприятиям – 1183,64 млн рублей, в том числе: КГУП "Приморский водоканал" (10,20 млн рублей), КГУП "Примтеплоэнерго" (573,73 млн рублей), КГУП "Приморский экологический оператор" (599,71 млн рублей);</w:t>
      </w:r>
    </w:p>
    <w:p w14:paraId="72452845" w14:textId="77777777" w:rsidR="0006322E" w:rsidRPr="00E47AA9" w:rsidRDefault="0006322E" w:rsidP="0006322E">
      <w:pPr>
        <w:spacing w:after="0" w:line="240" w:lineRule="auto"/>
        <w:ind w:firstLine="697"/>
        <w:jc w:val="both"/>
        <w:rPr>
          <w:rFonts w:ascii="Times New Roman" w:hAnsi="Times New Roman" w:cs="Times New Roman"/>
          <w:sz w:val="28"/>
          <w:szCs w:val="28"/>
        </w:rPr>
      </w:pPr>
      <w:r w:rsidRPr="00E47AA9">
        <w:rPr>
          <w:rFonts w:ascii="Times New Roman" w:hAnsi="Times New Roman" w:cs="Times New Roman"/>
          <w:sz w:val="28"/>
          <w:szCs w:val="28"/>
        </w:rPr>
        <w:t>на осуществление уставной деятельности фонда Приморского края "Фонд капитального ремонта многоквартирных домов Приморского края" – 239,03 млн рублей;</w:t>
      </w:r>
    </w:p>
    <w:p w14:paraId="6226E496" w14:textId="77777777" w:rsidR="0006322E" w:rsidRPr="00E47AA9" w:rsidRDefault="0006322E" w:rsidP="0006322E">
      <w:pPr>
        <w:spacing w:after="0" w:line="240" w:lineRule="auto"/>
        <w:ind w:firstLine="697"/>
        <w:jc w:val="both"/>
        <w:rPr>
          <w:rFonts w:ascii="Times New Roman" w:hAnsi="Times New Roman" w:cs="Times New Roman"/>
          <w:sz w:val="28"/>
          <w:szCs w:val="28"/>
        </w:rPr>
      </w:pPr>
      <w:r w:rsidRPr="00E47AA9">
        <w:rPr>
          <w:rFonts w:ascii="Times New Roman" w:hAnsi="Times New Roman" w:cs="Times New Roman"/>
          <w:sz w:val="28"/>
          <w:szCs w:val="28"/>
        </w:rPr>
        <w:t>на возмещение части затрат на уплату процентов по кредитам КГУП "Приморский экологический оператор" и КГУП "Примтеплоэнерго" – 360,60 млн рублей;</w:t>
      </w:r>
    </w:p>
    <w:p w14:paraId="091C42B6" w14:textId="67424425" w:rsidR="0006322E" w:rsidRPr="00E47AA9" w:rsidRDefault="0006322E" w:rsidP="0006322E">
      <w:pPr>
        <w:spacing w:after="0" w:line="240" w:lineRule="auto"/>
        <w:ind w:firstLine="697"/>
        <w:jc w:val="both"/>
        <w:rPr>
          <w:rFonts w:ascii="Times New Roman" w:hAnsi="Times New Roman" w:cs="Times New Roman"/>
          <w:sz w:val="28"/>
          <w:szCs w:val="28"/>
        </w:rPr>
      </w:pPr>
      <w:r w:rsidRPr="00E47AA9">
        <w:rPr>
          <w:rFonts w:ascii="Times New Roman" w:hAnsi="Times New Roman" w:cs="Times New Roman"/>
          <w:sz w:val="28"/>
          <w:szCs w:val="28"/>
        </w:rPr>
        <w:t xml:space="preserve">на 93,63 %, или 274,24 млн рублей (план </w:t>
      </w:r>
      <w:r w:rsidR="00576C74" w:rsidRPr="00E47AA9">
        <w:rPr>
          <w:rFonts w:ascii="Times New Roman" w:hAnsi="Times New Roman" w:cs="Times New Roman"/>
          <w:sz w:val="28"/>
          <w:szCs w:val="28"/>
        </w:rPr>
        <w:t xml:space="preserve">– </w:t>
      </w:r>
      <w:r w:rsidRPr="00E47AA9">
        <w:rPr>
          <w:rFonts w:ascii="Times New Roman" w:hAnsi="Times New Roman" w:cs="Times New Roman"/>
          <w:sz w:val="28"/>
          <w:szCs w:val="28"/>
        </w:rPr>
        <w:t>292,90 млн рублей) на возмещение недополученных доходов из-за нереальной к взысканию дебиторской задолженности населения за коммунальные услуги КГУП "Приморский водоканал" и КГУП "Примтеплоэнерго";</w:t>
      </w:r>
    </w:p>
    <w:p w14:paraId="1C37E908" w14:textId="77777777" w:rsidR="0006322E" w:rsidRPr="00E47AA9" w:rsidRDefault="0006322E" w:rsidP="0006322E">
      <w:pPr>
        <w:spacing w:after="0" w:line="240" w:lineRule="auto"/>
        <w:ind w:firstLine="697"/>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u w:val="single"/>
          <w:lang w:eastAsia="ru-RU"/>
        </w:rPr>
        <w:t>министерством строительства Приморского края</w:t>
      </w:r>
      <w:r w:rsidRPr="00E47AA9">
        <w:rPr>
          <w:rFonts w:ascii="Times New Roman" w:eastAsia="Times New Roman" w:hAnsi="Times New Roman" w:cs="Times New Roman"/>
          <w:sz w:val="28"/>
          <w:szCs w:val="28"/>
          <w:lang w:eastAsia="ru-RU"/>
        </w:rPr>
        <w:t>:</w:t>
      </w:r>
    </w:p>
    <w:p w14:paraId="27F39221" w14:textId="77777777" w:rsidR="0006322E" w:rsidRPr="00E47AA9" w:rsidRDefault="0006322E" w:rsidP="0006322E">
      <w:pPr>
        <w:spacing w:after="0" w:line="240" w:lineRule="auto"/>
        <w:ind w:firstLine="697"/>
        <w:jc w:val="both"/>
        <w:rPr>
          <w:rFonts w:ascii="Times New Roman" w:eastAsia="Times New Roman" w:hAnsi="Times New Roman" w:cs="Times New Roman"/>
          <w:sz w:val="28"/>
        </w:rPr>
      </w:pPr>
      <w:r w:rsidRPr="00E47AA9">
        <w:rPr>
          <w:rFonts w:ascii="Times New Roman" w:eastAsia="Times New Roman" w:hAnsi="Times New Roman" w:cs="Times New Roman"/>
          <w:sz w:val="28"/>
        </w:rPr>
        <w:t>38,79 млн рублей</w:t>
      </w:r>
      <w:r w:rsidRPr="00E47AA9">
        <w:rPr>
          <w:rFonts w:ascii="Times New Roman" w:eastAsia="Times New Roman" w:hAnsi="Times New Roman" w:cs="Times New Roman"/>
          <w:sz w:val="28"/>
          <w:szCs w:val="28"/>
          <w:lang w:eastAsia="ru-RU"/>
        </w:rPr>
        <w:t xml:space="preserve"> в запланированном объеме – </w:t>
      </w:r>
      <w:r w:rsidRPr="00E47AA9">
        <w:rPr>
          <w:rFonts w:ascii="Times New Roman" w:eastAsia="Times New Roman" w:hAnsi="Times New Roman" w:cs="Times New Roman"/>
          <w:sz w:val="28"/>
        </w:rPr>
        <w:t>субсидии из краевого бюджета в целях восстановления платежеспособности казенного предприятия Приморского края "Единая дирекция по строительству объектов на территории Приморского края";</w:t>
      </w:r>
    </w:p>
    <w:p w14:paraId="4639B4A2" w14:textId="6B2A20D9" w:rsidR="0006322E" w:rsidRPr="00E47AA9" w:rsidRDefault="0006322E" w:rsidP="0006322E">
      <w:pPr>
        <w:widowControl w:val="0"/>
        <w:spacing w:after="0" w:line="240" w:lineRule="auto"/>
        <w:ind w:firstLine="709"/>
        <w:jc w:val="both"/>
        <w:rPr>
          <w:rFonts w:ascii="Times New Roman" w:eastAsia="Calibri" w:hAnsi="Times New Roman" w:cs="Times New Roman"/>
          <w:sz w:val="28"/>
          <w:szCs w:val="28"/>
        </w:rPr>
      </w:pPr>
      <w:r w:rsidRPr="00E47AA9">
        <w:rPr>
          <w:rFonts w:ascii="Times New Roman" w:eastAsia="Times New Roman" w:hAnsi="Times New Roman" w:cs="Times New Roman"/>
          <w:sz w:val="28"/>
        </w:rPr>
        <w:t xml:space="preserve">272,98 млн рублей, или на уровне 93,94 % (план </w:t>
      </w:r>
      <w:r w:rsidR="00576C74" w:rsidRPr="00E47AA9">
        <w:rPr>
          <w:rFonts w:ascii="Times New Roman" w:eastAsia="Times New Roman" w:hAnsi="Times New Roman" w:cs="Times New Roman"/>
          <w:sz w:val="28"/>
        </w:rPr>
        <w:t xml:space="preserve">– </w:t>
      </w:r>
      <w:r w:rsidRPr="00E47AA9">
        <w:rPr>
          <w:rFonts w:ascii="Times New Roman" w:eastAsia="Times New Roman" w:hAnsi="Times New Roman" w:cs="Times New Roman"/>
          <w:sz w:val="28"/>
        </w:rPr>
        <w:t>290,60 млн рублей) – на обеспечение деятельности (оказание услуг, выполнение работ) краевых государственных учреждений, в том числе: КГКУ</w:t>
      </w:r>
      <w:r w:rsidRPr="00E47AA9">
        <w:rPr>
          <w:rFonts w:ascii="Times New Roman" w:eastAsia="Times New Roman" w:hAnsi="Times New Roman" w:cs="Times New Roman"/>
          <w:sz w:val="28"/>
          <w:shd w:val="clear" w:color="auto" w:fill="FFFFFF"/>
        </w:rPr>
        <w:t xml:space="preserve"> "Управление капитального строительства" – 123,24 млн рублей, </w:t>
      </w:r>
      <w:r w:rsidRPr="00E47AA9">
        <w:rPr>
          <w:rFonts w:ascii="Times New Roman" w:eastAsia="Calibri" w:hAnsi="Times New Roman" w:cs="Times New Roman"/>
          <w:sz w:val="28"/>
          <w:shd w:val="clear" w:color="auto" w:fill="FFFFFF"/>
        </w:rPr>
        <w:t xml:space="preserve">КГБУ "Центр развития территорий" – 149,74 млн рублей </w:t>
      </w:r>
      <w:r w:rsidRPr="00E47AA9">
        <w:rPr>
          <w:rFonts w:ascii="Times New Roman" w:eastAsia="Times New Roman" w:hAnsi="Times New Roman" w:cs="Times New Roman"/>
          <w:sz w:val="28"/>
          <w:shd w:val="clear" w:color="auto" w:fill="FFFFFF"/>
        </w:rPr>
        <w:t>на исполнение полномочий по подготовке документов территориального планирования, градостроительного зонирования и документации по планировке территории Владивостокской агломерации;</w:t>
      </w:r>
      <w:r w:rsidRPr="00E47AA9">
        <w:rPr>
          <w:rFonts w:ascii="Times New Roman" w:eastAsia="Calibri" w:hAnsi="Times New Roman" w:cs="Times New Roman"/>
          <w:sz w:val="28"/>
          <w:szCs w:val="28"/>
        </w:rPr>
        <w:t xml:space="preserve"> </w:t>
      </w:r>
    </w:p>
    <w:p w14:paraId="2ED390FB" w14:textId="5512152D" w:rsidR="0006322E" w:rsidRPr="00E47AA9" w:rsidRDefault="0006322E" w:rsidP="0006322E">
      <w:pPr>
        <w:widowControl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lastRenderedPageBreak/>
        <w:t xml:space="preserve">1,59 млн рублей, или 37,95 % (план </w:t>
      </w:r>
      <w:r w:rsidR="00576C74"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4,19 млн рублей) – на оплату услуг эксплуатационного обслуживания, не исполнено 2,60 млн рублей </w:t>
      </w:r>
      <w:r w:rsidRPr="00E47AA9">
        <w:rPr>
          <w:rFonts w:ascii="Times New Roman" w:hAnsi="Times New Roman" w:cs="Times New Roman"/>
          <w:sz w:val="28"/>
          <w:szCs w:val="28"/>
        </w:rPr>
        <w:t xml:space="preserve">в связи с </w:t>
      </w:r>
      <w:proofErr w:type="spellStart"/>
      <w:r w:rsidRPr="00E47AA9">
        <w:rPr>
          <w:rFonts w:ascii="Times New Roman" w:hAnsi="Times New Roman" w:cs="Times New Roman"/>
          <w:sz w:val="28"/>
          <w:szCs w:val="28"/>
        </w:rPr>
        <w:t>незаключением</w:t>
      </w:r>
      <w:proofErr w:type="spellEnd"/>
      <w:r w:rsidRPr="00E47AA9">
        <w:rPr>
          <w:rFonts w:ascii="Times New Roman" w:hAnsi="Times New Roman" w:cs="Times New Roman"/>
          <w:sz w:val="28"/>
          <w:szCs w:val="28"/>
        </w:rPr>
        <w:t xml:space="preserve"> КГКУ </w:t>
      </w:r>
      <w:r w:rsidR="0068262A" w:rsidRPr="00E47AA9">
        <w:rPr>
          <w:rFonts w:ascii="Times New Roman" w:hAnsi="Times New Roman" w:cs="Times New Roman"/>
          <w:sz w:val="28"/>
          <w:szCs w:val="28"/>
        </w:rPr>
        <w:t>"</w:t>
      </w:r>
      <w:r w:rsidRPr="00E47AA9">
        <w:rPr>
          <w:rFonts w:ascii="Times New Roman" w:eastAsia="Times New Roman" w:hAnsi="Times New Roman" w:cs="Times New Roman"/>
          <w:sz w:val="28"/>
          <w:shd w:val="clear" w:color="auto" w:fill="FFFFFF"/>
        </w:rPr>
        <w:t xml:space="preserve">Управление капитального строительства" </w:t>
      </w:r>
      <w:r w:rsidRPr="00E47AA9">
        <w:rPr>
          <w:rFonts w:ascii="Times New Roman" w:hAnsi="Times New Roman" w:cs="Times New Roman"/>
          <w:sz w:val="28"/>
          <w:szCs w:val="28"/>
        </w:rPr>
        <w:t>договора на услуги эксплуатационного обслуживания помещений, в которых расположено учреждение</w:t>
      </w:r>
      <w:r w:rsidRPr="00E47AA9">
        <w:rPr>
          <w:rFonts w:ascii="Times New Roman" w:eastAsia="Calibri" w:hAnsi="Times New Roman" w:cs="Times New Roman"/>
          <w:sz w:val="28"/>
          <w:szCs w:val="28"/>
        </w:rPr>
        <w:t>;</w:t>
      </w:r>
    </w:p>
    <w:p w14:paraId="056DB6C4" w14:textId="77777777" w:rsidR="0006322E" w:rsidRPr="00E47AA9" w:rsidRDefault="0006322E" w:rsidP="0006322E">
      <w:pPr>
        <w:autoSpaceDE w:val="0"/>
        <w:autoSpaceDN w:val="0"/>
        <w:adjustRightInd w:val="0"/>
        <w:spacing w:after="0" w:line="240" w:lineRule="auto"/>
        <w:ind w:firstLine="708"/>
        <w:jc w:val="both"/>
        <w:rPr>
          <w:rFonts w:ascii="Times New Roman" w:eastAsia="Calibri" w:hAnsi="Times New Roman" w:cs="Times New Roman"/>
          <w:sz w:val="28"/>
          <w:szCs w:val="28"/>
        </w:rPr>
      </w:pPr>
      <w:r w:rsidRPr="00E47AA9">
        <w:rPr>
          <w:rFonts w:ascii="Times New Roman" w:eastAsia="Times New Roman" w:hAnsi="Times New Roman" w:cs="Times New Roman"/>
          <w:i/>
          <w:sz w:val="28"/>
          <w:szCs w:val="28"/>
          <w:lang w:eastAsia="ru-RU"/>
        </w:rPr>
        <w:t xml:space="preserve">КПМ "Разработка, согласование и утверждение нормативов градостроительного проектирования, документов территориального планирования и градостроительного зонирования на территории Приморского края" </w:t>
      </w:r>
      <w:r w:rsidRPr="00E47AA9">
        <w:rPr>
          <w:rFonts w:ascii="Times New Roman" w:eastAsia="Calibri" w:hAnsi="Times New Roman" w:cs="Times New Roman"/>
          <w:i/>
          <w:sz w:val="28"/>
          <w:szCs w:val="28"/>
        </w:rPr>
        <w:t>–</w:t>
      </w:r>
      <w:r w:rsidRPr="00E47AA9">
        <w:rPr>
          <w:rFonts w:ascii="Times New Roman" w:eastAsia="Calibri" w:hAnsi="Times New Roman" w:cs="Times New Roman"/>
          <w:sz w:val="28"/>
          <w:szCs w:val="28"/>
        </w:rPr>
        <w:t xml:space="preserve"> 97,30 млн рублей, или 94,07 % (41,80 млн рублей), в том числе</w:t>
      </w:r>
      <w:r w:rsidRPr="00E47AA9">
        <w:rPr>
          <w:rFonts w:ascii="Times New Roman" w:eastAsia="Calibri" w:hAnsi="Times New Roman" w:cs="Times New Roman"/>
          <w:sz w:val="28"/>
          <w:szCs w:val="28"/>
          <w:u w:val="single"/>
        </w:rPr>
        <w:t xml:space="preserve"> департаментом архитектуры и развития территорий Приморского края</w:t>
      </w:r>
      <w:r w:rsidRPr="00E47AA9">
        <w:rPr>
          <w:rFonts w:ascii="Times New Roman" w:eastAsia="Calibri" w:hAnsi="Times New Roman" w:cs="Times New Roman"/>
          <w:sz w:val="28"/>
          <w:szCs w:val="28"/>
        </w:rPr>
        <w:t>:</w:t>
      </w:r>
    </w:p>
    <w:p w14:paraId="5D093EEA" w14:textId="77777777" w:rsidR="0006322E" w:rsidRPr="00E47AA9" w:rsidRDefault="0006322E" w:rsidP="0006322E">
      <w:pPr>
        <w:autoSpaceDE w:val="0"/>
        <w:autoSpaceDN w:val="0"/>
        <w:adjustRightInd w:val="0"/>
        <w:spacing w:after="0" w:line="240" w:lineRule="auto"/>
        <w:ind w:firstLine="708"/>
        <w:jc w:val="both"/>
        <w:rPr>
          <w:sz w:val="28"/>
          <w:szCs w:val="28"/>
        </w:rPr>
      </w:pPr>
      <w:r w:rsidRPr="00E47AA9">
        <w:rPr>
          <w:rFonts w:ascii="Times New Roman" w:eastAsia="Calibri" w:hAnsi="Times New Roman" w:cs="Times New Roman"/>
          <w:sz w:val="28"/>
          <w:szCs w:val="28"/>
        </w:rPr>
        <w:t xml:space="preserve">на работы по подготовке проектов изменений генеральных планов и правил землепользования и застройки, нормативов градостроительного проектирования муниципальных образований Приморского края – 76,20 млн рублей. За отчетный период расходы направлены на подготовку проектов изменений местных нормативов градостроительного проектирования, генеральных планов и правил землепользования и застройки муниципальных образований Приморского края, вошедших во Владивостокскую агломерацию: генеральный план </w:t>
      </w:r>
      <w:r w:rsidR="0068262A"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6</w:t>
      </w:r>
      <w:r w:rsidR="0068262A"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правила землепользования и застройки </w:t>
      </w:r>
      <w:r w:rsidR="0068262A"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6</w:t>
      </w:r>
      <w:r w:rsidR="0068262A"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схема территориального планирования </w:t>
      </w:r>
      <w:r w:rsidR="0068262A"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1</w:t>
      </w:r>
      <w:r w:rsidR="0068262A"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местные нормативы градостроительного проектирования – 4 (Владивосток ГО, Артем ГО, </w:t>
      </w:r>
      <w:proofErr w:type="spellStart"/>
      <w:r w:rsidRPr="00E47AA9">
        <w:rPr>
          <w:rFonts w:ascii="Times New Roman" w:eastAsia="Calibri" w:hAnsi="Times New Roman" w:cs="Times New Roman"/>
          <w:sz w:val="28"/>
          <w:szCs w:val="28"/>
        </w:rPr>
        <w:t>Шкотовский</w:t>
      </w:r>
      <w:proofErr w:type="spellEnd"/>
      <w:r w:rsidRPr="00E47AA9">
        <w:rPr>
          <w:rFonts w:ascii="Times New Roman" w:eastAsia="Calibri" w:hAnsi="Times New Roman" w:cs="Times New Roman"/>
          <w:sz w:val="28"/>
          <w:szCs w:val="28"/>
        </w:rPr>
        <w:t xml:space="preserve"> МО, </w:t>
      </w:r>
      <w:proofErr w:type="spellStart"/>
      <w:r w:rsidRPr="00E47AA9">
        <w:rPr>
          <w:rFonts w:ascii="Times New Roman" w:eastAsia="Calibri" w:hAnsi="Times New Roman" w:cs="Times New Roman"/>
          <w:sz w:val="28"/>
          <w:szCs w:val="28"/>
        </w:rPr>
        <w:t>Надеждинский</w:t>
      </w:r>
      <w:proofErr w:type="spellEnd"/>
      <w:r w:rsidRPr="00E47AA9">
        <w:rPr>
          <w:rFonts w:ascii="Times New Roman" w:eastAsia="Calibri" w:hAnsi="Times New Roman" w:cs="Times New Roman"/>
          <w:sz w:val="28"/>
          <w:szCs w:val="28"/>
        </w:rPr>
        <w:t xml:space="preserve"> МР); </w:t>
      </w:r>
    </w:p>
    <w:p w14:paraId="46BF7C50" w14:textId="77777777" w:rsidR="0006322E" w:rsidRPr="00E47AA9" w:rsidRDefault="0006322E" w:rsidP="0006322E">
      <w:pPr>
        <w:spacing w:after="0" w:line="240" w:lineRule="auto"/>
        <w:ind w:firstLine="709"/>
        <w:jc w:val="both"/>
        <w:rPr>
          <w:rFonts w:ascii="Times New Roman" w:eastAsia="Calibri" w:hAnsi="Times New Roman" w:cs="Times New Roman"/>
          <w:sz w:val="28"/>
          <w:szCs w:val="28"/>
        </w:rPr>
      </w:pPr>
      <w:r w:rsidRPr="00E47AA9">
        <w:rPr>
          <w:rFonts w:ascii="Times New Roman" w:hAnsi="Times New Roman" w:cs="Times New Roman"/>
          <w:sz w:val="28"/>
          <w:szCs w:val="28"/>
        </w:rPr>
        <w:t>на н</w:t>
      </w:r>
      <w:r w:rsidRPr="00E47AA9">
        <w:rPr>
          <w:rFonts w:ascii="Times New Roman" w:eastAsia="Calibri" w:hAnsi="Times New Roman" w:cs="Times New Roman"/>
          <w:sz w:val="28"/>
          <w:szCs w:val="28"/>
        </w:rPr>
        <w:t>аучно-исследовательскую работу по подготовке проекта внесения изменений в схему территориального планирования Приморского края – 21,10 млн рублей.</w:t>
      </w:r>
    </w:p>
    <w:p w14:paraId="570AEC2A" w14:textId="6A0D8A8F" w:rsidR="00F35FEF" w:rsidRDefault="00B2740A" w:rsidP="00F35FEF">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Согласно Сводно</w:t>
      </w:r>
      <w:r w:rsidR="00AA6DE5" w:rsidRPr="00E47AA9">
        <w:rPr>
          <w:rFonts w:ascii="Times New Roman" w:eastAsia="Calibri" w:hAnsi="Times New Roman" w:cs="Times New Roman"/>
          <w:sz w:val="28"/>
          <w:szCs w:val="28"/>
        </w:rPr>
        <w:t>му</w:t>
      </w:r>
      <w:r w:rsidRPr="00E47AA9">
        <w:rPr>
          <w:rFonts w:ascii="Times New Roman" w:eastAsia="Calibri" w:hAnsi="Times New Roman" w:cs="Times New Roman"/>
          <w:sz w:val="28"/>
          <w:szCs w:val="28"/>
        </w:rPr>
        <w:t xml:space="preserve"> годово</w:t>
      </w:r>
      <w:r w:rsidR="00AA6DE5" w:rsidRPr="00E47AA9">
        <w:rPr>
          <w:rFonts w:ascii="Times New Roman" w:eastAsia="Calibri" w:hAnsi="Times New Roman" w:cs="Times New Roman"/>
          <w:sz w:val="28"/>
          <w:szCs w:val="28"/>
        </w:rPr>
        <w:t>му</w:t>
      </w:r>
      <w:r w:rsidRPr="00E47AA9">
        <w:rPr>
          <w:rFonts w:ascii="Times New Roman" w:eastAsia="Calibri" w:hAnsi="Times New Roman" w:cs="Times New Roman"/>
          <w:sz w:val="28"/>
          <w:szCs w:val="28"/>
        </w:rPr>
        <w:t xml:space="preserve"> доклад</w:t>
      </w:r>
      <w:r w:rsidR="00AA6DE5" w:rsidRPr="00E47AA9">
        <w:rPr>
          <w:rFonts w:ascii="Times New Roman" w:eastAsia="Calibri" w:hAnsi="Times New Roman" w:cs="Times New Roman"/>
          <w:sz w:val="28"/>
          <w:szCs w:val="28"/>
        </w:rPr>
        <w:t>у</w:t>
      </w:r>
      <w:r w:rsidRPr="00E47AA9">
        <w:rPr>
          <w:rFonts w:ascii="Times New Roman" w:eastAsia="Calibri" w:hAnsi="Times New Roman" w:cs="Times New Roman"/>
          <w:sz w:val="28"/>
          <w:szCs w:val="28"/>
        </w:rPr>
        <w:t xml:space="preserve"> за 2024 год целевые показатели данного мероприятия не достигнуты: количество разработанных проектов изменений документов территориального планирования и градостроительного зонирования муниципальных образований, вошедших во Владивостокскую агломерацию (план – 12), количество технологических присоединений к сетям водоотведения (1), количество объектов незавершенного строительства, по которым оформлена исполнительная документация для регистрации права собственности Приморского края (3).</w:t>
      </w:r>
      <w:r w:rsidR="00F35FEF" w:rsidRPr="00E47AA9">
        <w:rPr>
          <w:rFonts w:ascii="Times New Roman" w:eastAsia="Calibri" w:hAnsi="Times New Roman" w:cs="Times New Roman"/>
          <w:sz w:val="28"/>
          <w:szCs w:val="28"/>
        </w:rPr>
        <w:t xml:space="preserve"> </w:t>
      </w:r>
    </w:p>
    <w:p w14:paraId="24898B95" w14:textId="77777777" w:rsidR="00042E24" w:rsidRPr="00E47AA9" w:rsidRDefault="00042E24" w:rsidP="00F35FEF">
      <w:pPr>
        <w:spacing w:after="0" w:line="240" w:lineRule="auto"/>
        <w:ind w:firstLine="709"/>
        <w:jc w:val="both"/>
        <w:rPr>
          <w:rFonts w:ascii="Times New Roman" w:eastAsia="Calibri" w:hAnsi="Times New Roman" w:cs="Times New Roman"/>
          <w:sz w:val="28"/>
          <w:szCs w:val="28"/>
        </w:rPr>
      </w:pPr>
    </w:p>
    <w:p w14:paraId="0F70A587" w14:textId="77777777" w:rsidR="008566E1" w:rsidRPr="00E47AA9" w:rsidRDefault="008566E1" w:rsidP="00FD476E">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noProof/>
          <w:sz w:val="20"/>
          <w:szCs w:val="20"/>
          <w:lang w:eastAsia="ru-RU"/>
        </w:rPr>
        <w:drawing>
          <wp:anchor distT="0" distB="0" distL="114300" distR="114300" simplePos="0" relativeHeight="251674624" behindDoc="0" locked="0" layoutInCell="1" allowOverlap="1" wp14:anchorId="1F1C7EE8" wp14:editId="59BBD12D">
            <wp:simplePos x="0" y="0"/>
            <wp:positionH relativeFrom="column">
              <wp:posOffset>-635</wp:posOffset>
            </wp:positionH>
            <wp:positionV relativeFrom="paragraph">
              <wp:posOffset>16782</wp:posOffset>
            </wp:positionV>
            <wp:extent cx="1464945" cy="1011555"/>
            <wp:effectExtent l="0" t="0" r="1905" b="0"/>
            <wp:wrapSquare wrapText="bothSides"/>
            <wp:docPr id="42" name="Рисунок 42" descr="C:\Users\zavzyataya_sv\Desktop\Картинки к исполнению\331f0ed94f30dcaa9c4e7f4bcee102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zavzyataya_sv\Desktop\Картинки к исполнению\331f0ed94f30dcaa9c4e7f4bcee1025a.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464945" cy="10115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AA9">
        <w:rPr>
          <w:rFonts w:ascii="Times New Roman" w:eastAsia="Times New Roman" w:hAnsi="Times New Roman" w:cs="Times New Roman"/>
          <w:b/>
          <w:sz w:val="28"/>
          <w:szCs w:val="28"/>
          <w:lang w:eastAsia="ru-RU"/>
        </w:rPr>
        <w:t>5.2.7. Государственная программа Приморского края "Защита населения и территории от чрезвычайных ситуаций, обеспечение пожарной безопасности и безопасности людей на водных объектах Приморского края"</w:t>
      </w:r>
    </w:p>
    <w:p w14:paraId="6F8AE6DC" w14:textId="77777777" w:rsidR="00F20278" w:rsidRPr="00E47AA9" w:rsidRDefault="000627AA" w:rsidP="00F20278">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rPr>
        <w:t>У</w:t>
      </w:r>
      <w:r w:rsidR="00F20278" w:rsidRPr="00E47AA9">
        <w:rPr>
          <w:rFonts w:ascii="Times New Roman" w:eastAsia="Times New Roman" w:hAnsi="Times New Roman" w:cs="Times New Roman"/>
          <w:sz w:val="28"/>
          <w:szCs w:val="28"/>
        </w:rPr>
        <w:t xml:space="preserve">точненные бюджетные назначения </w:t>
      </w:r>
      <w:r w:rsidRPr="00E47AA9">
        <w:rPr>
          <w:rFonts w:ascii="Times New Roman" w:eastAsia="Times New Roman" w:hAnsi="Times New Roman" w:cs="Times New Roman"/>
          <w:sz w:val="28"/>
          <w:szCs w:val="28"/>
        </w:rPr>
        <w:t xml:space="preserve">на 2024 год </w:t>
      </w:r>
      <w:r w:rsidR="00F20278" w:rsidRPr="00E47AA9">
        <w:rPr>
          <w:rFonts w:ascii="Times New Roman" w:eastAsia="Times New Roman" w:hAnsi="Times New Roman" w:cs="Times New Roman"/>
          <w:sz w:val="28"/>
          <w:szCs w:val="28"/>
        </w:rPr>
        <w:t>составили 4319,86 млн рублей, исполнен</w:t>
      </w:r>
      <w:r w:rsidRPr="00E47AA9">
        <w:rPr>
          <w:rFonts w:ascii="Times New Roman" w:eastAsia="Times New Roman" w:hAnsi="Times New Roman" w:cs="Times New Roman"/>
          <w:sz w:val="28"/>
          <w:szCs w:val="28"/>
        </w:rPr>
        <w:t xml:space="preserve">ие </w:t>
      </w:r>
      <w:r w:rsidR="0068262A" w:rsidRPr="00E47AA9">
        <w:rPr>
          <w:rFonts w:ascii="Times New Roman" w:eastAsia="Times New Roman" w:hAnsi="Times New Roman" w:cs="Times New Roman"/>
          <w:sz w:val="28"/>
          <w:szCs w:val="28"/>
        </w:rPr>
        <w:t>–</w:t>
      </w:r>
      <w:r w:rsidR="00F20278" w:rsidRPr="00E47AA9">
        <w:rPr>
          <w:rFonts w:ascii="Times New Roman" w:eastAsia="Times New Roman" w:hAnsi="Times New Roman" w:cs="Times New Roman"/>
          <w:sz w:val="28"/>
          <w:szCs w:val="28"/>
        </w:rPr>
        <w:t xml:space="preserve"> 4310,71 млн рублей, или 99,79 %</w:t>
      </w:r>
      <w:r w:rsidR="00F20278" w:rsidRPr="00E47AA9">
        <w:rPr>
          <w:rFonts w:ascii="Times New Roman" w:eastAsia="Times New Roman" w:hAnsi="Times New Roman" w:cs="Times New Roman"/>
          <w:sz w:val="28"/>
          <w:szCs w:val="28"/>
          <w:lang w:eastAsia="ru-RU"/>
        </w:rPr>
        <w:t>.</w:t>
      </w:r>
    </w:p>
    <w:p w14:paraId="48C5AA83" w14:textId="5C30680E" w:rsidR="00F83F49" w:rsidRPr="00E47AA9" w:rsidRDefault="00F20278" w:rsidP="00F83F49">
      <w:pPr>
        <w:widowControl w:val="0"/>
        <w:shd w:val="clear" w:color="auto" w:fill="FFFFFF" w:themeFill="background1"/>
        <w:tabs>
          <w:tab w:val="left" w:pos="284"/>
          <w:tab w:val="left" w:pos="1080"/>
        </w:tabs>
        <w:spacing w:after="0" w:line="240" w:lineRule="auto"/>
        <w:ind w:firstLine="680"/>
        <w:contextualSpacing/>
        <w:jc w:val="both"/>
      </w:pPr>
      <w:r w:rsidRPr="00E47AA9">
        <w:rPr>
          <w:rFonts w:ascii="Times New Roman" w:eastAsia="Times New Roman" w:hAnsi="Times New Roman" w:cs="Times New Roman"/>
          <w:sz w:val="28"/>
          <w:szCs w:val="28"/>
        </w:rPr>
        <w:t xml:space="preserve">Ответственный исполнитель ГП – </w:t>
      </w:r>
      <w:r w:rsidRPr="00E47AA9">
        <w:rPr>
          <w:rFonts w:ascii="Times New Roman" w:eastAsia="Calibri" w:hAnsi="Times New Roman" w:cs="Times New Roman"/>
          <w:bCs/>
          <w:sz w:val="28"/>
          <w:szCs w:val="28"/>
        </w:rPr>
        <w:t xml:space="preserve">министерство по делам гражданской обороны, защиты от чрезвычайных ситуаций и ликвидации последствий стихийных бедствий Приморского края (далее </w:t>
      </w:r>
      <w:r w:rsidR="0068262A" w:rsidRPr="00E47AA9">
        <w:rPr>
          <w:rFonts w:ascii="Times New Roman" w:eastAsia="Calibri" w:hAnsi="Times New Roman" w:cs="Times New Roman"/>
          <w:bCs/>
          <w:sz w:val="28"/>
          <w:szCs w:val="28"/>
        </w:rPr>
        <w:t>–</w:t>
      </w:r>
      <w:r w:rsidRPr="00E47AA9">
        <w:rPr>
          <w:rFonts w:ascii="Times New Roman" w:eastAsia="Calibri" w:hAnsi="Times New Roman" w:cs="Times New Roman"/>
          <w:bCs/>
          <w:sz w:val="28"/>
          <w:szCs w:val="28"/>
        </w:rPr>
        <w:t xml:space="preserve"> министерство по делам ГО и ЧС), соисполнители – </w:t>
      </w:r>
      <w:r w:rsidRPr="00E47AA9">
        <w:rPr>
          <w:rFonts w:ascii="Times New Roman" w:eastAsia="Calibri" w:hAnsi="Times New Roman" w:cs="Times New Roman"/>
          <w:sz w:val="28"/>
          <w:szCs w:val="28"/>
        </w:rPr>
        <w:t xml:space="preserve">министерство сельского хозяйства Приморского края, </w:t>
      </w:r>
      <w:r w:rsidRPr="00E47AA9">
        <w:rPr>
          <w:rFonts w:ascii="Times New Roman" w:eastAsia="Calibri" w:hAnsi="Times New Roman" w:cs="Times New Roman"/>
          <w:sz w:val="28"/>
          <w:szCs w:val="28"/>
        </w:rPr>
        <w:lastRenderedPageBreak/>
        <w:t>департамент информационной политики Приморского края, министерство строительства Приморского края</w:t>
      </w:r>
      <w:r w:rsidRPr="00E47AA9">
        <w:rPr>
          <w:rFonts w:ascii="Times New Roman" w:eastAsia="Times New Roman" w:hAnsi="Times New Roman" w:cs="Times New Roman"/>
          <w:sz w:val="28"/>
          <w:szCs w:val="28"/>
        </w:rPr>
        <w:t xml:space="preserve">. </w:t>
      </w:r>
    </w:p>
    <w:p w14:paraId="0512C697" w14:textId="77777777" w:rsidR="00F20278" w:rsidRPr="00E47AA9" w:rsidRDefault="00F20278" w:rsidP="00F20278">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Исполнение ГП в 2024 году в разрезе главных распорядителей приведено в таблице.</w:t>
      </w:r>
    </w:p>
    <w:p w14:paraId="3C593512" w14:textId="77777777" w:rsidR="00F20278" w:rsidRPr="00E47AA9" w:rsidRDefault="00F20278" w:rsidP="00F20278">
      <w:pPr>
        <w:spacing w:after="0" w:line="240" w:lineRule="auto"/>
        <w:ind w:firstLine="708"/>
        <w:jc w:val="right"/>
        <w:rPr>
          <w:rFonts w:ascii="Times New Roman" w:eastAsia="Times New Roman" w:hAnsi="Times New Roman" w:cs="Times New Roman"/>
          <w:sz w:val="24"/>
          <w:szCs w:val="24"/>
        </w:rPr>
      </w:pPr>
    </w:p>
    <w:tbl>
      <w:tblPr>
        <w:tblW w:w="9351" w:type="dxa"/>
        <w:tblLook w:val="04A0" w:firstRow="1" w:lastRow="0" w:firstColumn="1" w:lastColumn="0" w:noHBand="0" w:noVBand="1"/>
      </w:tblPr>
      <w:tblGrid>
        <w:gridCol w:w="3114"/>
        <w:gridCol w:w="567"/>
        <w:gridCol w:w="1417"/>
        <w:gridCol w:w="1054"/>
        <w:gridCol w:w="1221"/>
        <w:gridCol w:w="795"/>
        <w:gridCol w:w="1183"/>
      </w:tblGrid>
      <w:tr w:rsidR="00E47AA9" w:rsidRPr="00E47AA9" w14:paraId="64C68741" w14:textId="77777777" w:rsidTr="00502E06">
        <w:trPr>
          <w:cantSplit/>
          <w:trHeight w:val="20"/>
          <w:tblHeader/>
        </w:trPr>
        <w:tc>
          <w:tcPr>
            <w:tcW w:w="3114" w:type="dxa"/>
            <w:tcBorders>
              <w:bottom w:val="single" w:sz="4" w:space="0" w:color="auto"/>
            </w:tcBorders>
            <w:shd w:val="clear" w:color="auto" w:fill="auto"/>
            <w:vAlign w:val="center"/>
          </w:tcPr>
          <w:p w14:paraId="4555BF71"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p>
        </w:tc>
        <w:tc>
          <w:tcPr>
            <w:tcW w:w="567" w:type="dxa"/>
            <w:tcBorders>
              <w:bottom w:val="single" w:sz="4" w:space="0" w:color="auto"/>
            </w:tcBorders>
            <w:shd w:val="clear" w:color="auto" w:fill="auto"/>
            <w:textDirection w:val="btLr"/>
            <w:vAlign w:val="center"/>
          </w:tcPr>
          <w:p w14:paraId="059E2BF8"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p>
        </w:tc>
        <w:tc>
          <w:tcPr>
            <w:tcW w:w="1417" w:type="dxa"/>
            <w:tcBorders>
              <w:bottom w:val="single" w:sz="4" w:space="0" w:color="auto"/>
            </w:tcBorders>
            <w:shd w:val="clear" w:color="auto" w:fill="auto"/>
            <w:vAlign w:val="center"/>
          </w:tcPr>
          <w:p w14:paraId="20097B5F"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p>
        </w:tc>
        <w:tc>
          <w:tcPr>
            <w:tcW w:w="4253" w:type="dxa"/>
            <w:gridSpan w:val="4"/>
            <w:tcBorders>
              <w:bottom w:val="single" w:sz="4" w:space="0" w:color="auto"/>
            </w:tcBorders>
            <w:shd w:val="clear" w:color="auto" w:fill="auto"/>
            <w:vAlign w:val="center"/>
          </w:tcPr>
          <w:p w14:paraId="26CEC0C8" w14:textId="77777777" w:rsidR="00F20278" w:rsidRPr="00E47AA9" w:rsidRDefault="00F20278" w:rsidP="00F20278">
            <w:pPr>
              <w:spacing w:after="0" w:line="240" w:lineRule="auto"/>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rPr>
              <w:t>(млн рублей)</w:t>
            </w:r>
          </w:p>
        </w:tc>
      </w:tr>
      <w:tr w:rsidR="00E47AA9" w:rsidRPr="00E47AA9" w14:paraId="0C10EF7C" w14:textId="77777777" w:rsidTr="00502E06">
        <w:trPr>
          <w:cantSplit/>
          <w:trHeight w:val="20"/>
          <w:tblHeader/>
        </w:trPr>
        <w:tc>
          <w:tcPr>
            <w:tcW w:w="3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3FB735"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показателя</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A6449FD"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Ведомство</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7751AB"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3070" w:type="dxa"/>
            <w:gridSpan w:val="3"/>
            <w:tcBorders>
              <w:top w:val="single" w:sz="4" w:space="0" w:color="auto"/>
              <w:left w:val="nil"/>
              <w:bottom w:val="single" w:sz="4" w:space="0" w:color="auto"/>
              <w:right w:val="single" w:sz="4" w:space="0" w:color="auto"/>
            </w:tcBorders>
            <w:shd w:val="clear" w:color="auto" w:fill="auto"/>
            <w:vAlign w:val="center"/>
            <w:hideMark/>
          </w:tcPr>
          <w:p w14:paraId="6084D008"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1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2DA49C"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r>
      <w:tr w:rsidR="00E47AA9" w:rsidRPr="00E47AA9" w14:paraId="1F7B2513" w14:textId="77777777" w:rsidTr="0079449F">
        <w:trPr>
          <w:cantSplit/>
          <w:trHeight w:val="20"/>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00C0105D" w14:textId="77777777" w:rsidR="00F20278" w:rsidRPr="00E47AA9" w:rsidRDefault="00F20278" w:rsidP="00F20278">
            <w:pPr>
              <w:spacing w:after="0" w:line="240" w:lineRule="auto"/>
              <w:rPr>
                <w:rFonts w:ascii="Times New Roman" w:eastAsia="Times New Roman" w:hAnsi="Times New Roman" w:cs="Times New Roman"/>
                <w:sz w:val="20"/>
                <w:szCs w:val="20"/>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6340689F" w14:textId="77777777" w:rsidR="00F20278" w:rsidRPr="00E47AA9" w:rsidRDefault="00F20278" w:rsidP="00F20278">
            <w:pPr>
              <w:spacing w:after="0" w:line="240" w:lineRule="auto"/>
              <w:rPr>
                <w:rFonts w:ascii="Times New Roman" w:eastAsia="Times New Roman" w:hAnsi="Times New Roman" w:cs="Times New Roman"/>
                <w:sz w:val="20"/>
                <w:szCs w:val="20"/>
                <w:lang w:eastAsia="ru-RU"/>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FA7561" w14:textId="77777777" w:rsidR="00F20278" w:rsidRPr="00E47AA9" w:rsidRDefault="00F20278" w:rsidP="00F20278">
            <w:pPr>
              <w:spacing w:after="0" w:line="240" w:lineRule="auto"/>
              <w:rPr>
                <w:rFonts w:ascii="Times New Roman" w:eastAsia="Times New Roman" w:hAnsi="Times New Roman" w:cs="Times New Roman"/>
                <w:sz w:val="20"/>
                <w:szCs w:val="20"/>
                <w:lang w:eastAsia="ru-RU"/>
              </w:rPr>
            </w:pPr>
          </w:p>
        </w:tc>
        <w:tc>
          <w:tcPr>
            <w:tcW w:w="1054" w:type="dxa"/>
            <w:tcBorders>
              <w:top w:val="single" w:sz="4" w:space="0" w:color="auto"/>
              <w:left w:val="nil"/>
              <w:bottom w:val="single" w:sz="4" w:space="0" w:color="auto"/>
              <w:right w:val="single" w:sz="4" w:space="0" w:color="auto"/>
            </w:tcBorders>
            <w:shd w:val="clear" w:color="auto" w:fill="auto"/>
            <w:vAlign w:val="center"/>
            <w:hideMark/>
          </w:tcPr>
          <w:p w14:paraId="7B75D277"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1221" w:type="dxa"/>
            <w:tcBorders>
              <w:top w:val="single" w:sz="4" w:space="0" w:color="auto"/>
              <w:left w:val="nil"/>
              <w:bottom w:val="single" w:sz="4" w:space="0" w:color="auto"/>
              <w:right w:val="single" w:sz="4" w:space="0" w:color="auto"/>
            </w:tcBorders>
            <w:shd w:val="clear" w:color="auto" w:fill="auto"/>
            <w:vAlign w:val="center"/>
            <w:hideMark/>
          </w:tcPr>
          <w:p w14:paraId="72182354"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исполнения</w:t>
            </w:r>
          </w:p>
        </w:tc>
        <w:tc>
          <w:tcPr>
            <w:tcW w:w="795" w:type="dxa"/>
            <w:tcBorders>
              <w:top w:val="single" w:sz="4" w:space="0" w:color="auto"/>
              <w:left w:val="nil"/>
              <w:bottom w:val="single" w:sz="4" w:space="0" w:color="auto"/>
              <w:right w:val="single" w:sz="4" w:space="0" w:color="auto"/>
            </w:tcBorders>
            <w:shd w:val="clear" w:color="auto" w:fill="auto"/>
            <w:vAlign w:val="center"/>
            <w:hideMark/>
          </w:tcPr>
          <w:p w14:paraId="23103059"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удель-ный</w:t>
            </w:r>
            <w:proofErr w:type="spellEnd"/>
            <w:proofErr w:type="gramEnd"/>
            <w:r w:rsidRPr="00E47AA9">
              <w:rPr>
                <w:rFonts w:ascii="Times New Roman" w:eastAsia="Times New Roman" w:hAnsi="Times New Roman" w:cs="Times New Roman"/>
                <w:sz w:val="20"/>
                <w:szCs w:val="20"/>
                <w:lang w:eastAsia="ru-RU"/>
              </w:rPr>
              <w:t xml:space="preserve"> вес, %</w:t>
            </w:r>
          </w:p>
        </w:tc>
        <w:tc>
          <w:tcPr>
            <w:tcW w:w="1183" w:type="dxa"/>
            <w:vMerge/>
            <w:tcBorders>
              <w:top w:val="single" w:sz="4" w:space="0" w:color="auto"/>
              <w:left w:val="single" w:sz="4" w:space="0" w:color="auto"/>
              <w:bottom w:val="single" w:sz="4" w:space="0" w:color="auto"/>
              <w:right w:val="single" w:sz="4" w:space="0" w:color="auto"/>
            </w:tcBorders>
            <w:vAlign w:val="center"/>
            <w:hideMark/>
          </w:tcPr>
          <w:p w14:paraId="3F1B9049" w14:textId="77777777" w:rsidR="00F20278" w:rsidRPr="00E47AA9" w:rsidRDefault="00F20278" w:rsidP="00F20278">
            <w:pPr>
              <w:spacing w:after="0" w:line="240" w:lineRule="auto"/>
              <w:rPr>
                <w:rFonts w:ascii="Times New Roman" w:eastAsia="Times New Roman" w:hAnsi="Times New Roman" w:cs="Times New Roman"/>
                <w:sz w:val="20"/>
                <w:szCs w:val="20"/>
                <w:lang w:eastAsia="ru-RU"/>
              </w:rPr>
            </w:pPr>
          </w:p>
        </w:tc>
      </w:tr>
      <w:tr w:rsidR="00E47AA9" w:rsidRPr="00E47AA9" w14:paraId="1245D58D" w14:textId="77777777" w:rsidTr="0079449F">
        <w:trPr>
          <w:cantSplit/>
          <w:trHeight w:val="20"/>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A1A99" w14:textId="77777777" w:rsidR="00F20278" w:rsidRPr="00E47AA9" w:rsidRDefault="00F20278" w:rsidP="00F20278">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Расходы по ГП всего,</w:t>
            </w:r>
          </w:p>
          <w:p w14:paraId="7FEB5178" w14:textId="77777777" w:rsidR="00F20278" w:rsidRPr="00E47AA9" w:rsidRDefault="00F20278" w:rsidP="0090172C">
            <w:pPr>
              <w:spacing w:after="0" w:line="240" w:lineRule="auto"/>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в том числе по ведомствам</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16C66" w14:textId="77777777" w:rsidR="00F20278" w:rsidRPr="00E47AA9" w:rsidRDefault="00F20278" w:rsidP="00F20278">
            <w:pPr>
              <w:spacing w:after="0" w:line="240" w:lineRule="auto"/>
              <w:rPr>
                <w:rFonts w:ascii="Times New Roman" w:eastAsia="Times New Roman" w:hAnsi="Times New Roman" w:cs="Times New Roman"/>
                <w:sz w:val="20"/>
                <w:szCs w:val="20"/>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825A6" w14:textId="77777777" w:rsidR="00F20278" w:rsidRPr="00E47AA9" w:rsidRDefault="00F20278" w:rsidP="00F20278">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4 319,86</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92BAC" w14:textId="77777777" w:rsidR="00F20278" w:rsidRPr="00E47AA9" w:rsidRDefault="00F20278" w:rsidP="00F20278">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4 310,71</w:t>
            </w:r>
          </w:p>
        </w:tc>
        <w:tc>
          <w:tcPr>
            <w:tcW w:w="12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ED26B5" w14:textId="77777777" w:rsidR="00F20278" w:rsidRPr="00E47AA9" w:rsidRDefault="00F20278" w:rsidP="00F20278">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99,79</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F2DF4F" w14:textId="77777777" w:rsidR="00F20278" w:rsidRPr="00E47AA9" w:rsidRDefault="00F20278" w:rsidP="00F20278">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c>
          <w:tcPr>
            <w:tcW w:w="11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6DAB00" w14:textId="77777777" w:rsidR="00F20278" w:rsidRPr="00E47AA9" w:rsidRDefault="00F20278" w:rsidP="00F20278">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9,15</w:t>
            </w:r>
          </w:p>
        </w:tc>
      </w:tr>
      <w:tr w:rsidR="00E47AA9" w:rsidRPr="00E47AA9" w14:paraId="2ED5E0F0" w14:textId="77777777" w:rsidTr="0079449F">
        <w:trPr>
          <w:cantSplit/>
          <w:trHeight w:val="20"/>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E3EB1" w14:textId="77777777" w:rsidR="00F20278" w:rsidRPr="00E47AA9" w:rsidRDefault="00F20278" w:rsidP="00F20278">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сельского хозяйства Приморского края</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F57D62E"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758</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77C0804B"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33,36</w:t>
            </w:r>
          </w:p>
        </w:tc>
        <w:tc>
          <w:tcPr>
            <w:tcW w:w="1054" w:type="dxa"/>
            <w:tcBorders>
              <w:top w:val="single" w:sz="4" w:space="0" w:color="auto"/>
              <w:left w:val="nil"/>
              <w:bottom w:val="single" w:sz="4" w:space="0" w:color="auto"/>
              <w:right w:val="single" w:sz="4" w:space="0" w:color="auto"/>
            </w:tcBorders>
            <w:shd w:val="clear" w:color="auto" w:fill="auto"/>
            <w:noWrap/>
            <w:vAlign w:val="center"/>
            <w:hideMark/>
          </w:tcPr>
          <w:p w14:paraId="2F06B86E"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31,42</w:t>
            </w:r>
          </w:p>
        </w:tc>
        <w:tc>
          <w:tcPr>
            <w:tcW w:w="1221" w:type="dxa"/>
            <w:tcBorders>
              <w:top w:val="single" w:sz="4" w:space="0" w:color="auto"/>
              <w:left w:val="nil"/>
              <w:bottom w:val="single" w:sz="4" w:space="0" w:color="auto"/>
              <w:right w:val="single" w:sz="4" w:space="0" w:color="auto"/>
            </w:tcBorders>
            <w:shd w:val="clear" w:color="auto" w:fill="auto"/>
            <w:vAlign w:val="center"/>
            <w:hideMark/>
          </w:tcPr>
          <w:p w14:paraId="2FDE1F1E"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94,18</w:t>
            </w:r>
          </w:p>
        </w:tc>
        <w:tc>
          <w:tcPr>
            <w:tcW w:w="795" w:type="dxa"/>
            <w:tcBorders>
              <w:top w:val="single" w:sz="4" w:space="0" w:color="auto"/>
              <w:left w:val="nil"/>
              <w:bottom w:val="single" w:sz="4" w:space="0" w:color="auto"/>
              <w:right w:val="single" w:sz="4" w:space="0" w:color="auto"/>
            </w:tcBorders>
            <w:shd w:val="clear" w:color="auto" w:fill="auto"/>
            <w:vAlign w:val="center"/>
            <w:hideMark/>
          </w:tcPr>
          <w:p w14:paraId="775C7C7D"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0,73</w:t>
            </w:r>
          </w:p>
        </w:tc>
        <w:tc>
          <w:tcPr>
            <w:tcW w:w="1183" w:type="dxa"/>
            <w:tcBorders>
              <w:top w:val="single" w:sz="4" w:space="0" w:color="auto"/>
              <w:left w:val="nil"/>
              <w:bottom w:val="single" w:sz="4" w:space="0" w:color="auto"/>
              <w:right w:val="single" w:sz="4" w:space="0" w:color="auto"/>
            </w:tcBorders>
            <w:shd w:val="clear" w:color="auto" w:fill="auto"/>
            <w:vAlign w:val="center"/>
            <w:hideMark/>
          </w:tcPr>
          <w:p w14:paraId="3220C943"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1,94</w:t>
            </w:r>
          </w:p>
        </w:tc>
      </w:tr>
      <w:tr w:rsidR="00E47AA9" w:rsidRPr="00E47AA9" w14:paraId="0A647CBF" w14:textId="77777777" w:rsidTr="0079449F">
        <w:trPr>
          <w:cantSplit/>
          <w:trHeight w:val="20"/>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23299B" w14:textId="77777777" w:rsidR="00F20278" w:rsidRPr="00E47AA9" w:rsidRDefault="00F20278" w:rsidP="00F20278">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по делам гражданской обороны, защиты от чрезвычайных ситуаций и ликвидации последствий стихийных бедствий Приморского края</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06001806"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769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4CA64332"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4 280,75</w:t>
            </w:r>
          </w:p>
        </w:tc>
        <w:tc>
          <w:tcPr>
            <w:tcW w:w="1054" w:type="dxa"/>
            <w:tcBorders>
              <w:top w:val="single" w:sz="4" w:space="0" w:color="auto"/>
              <w:left w:val="nil"/>
              <w:bottom w:val="single" w:sz="4" w:space="0" w:color="auto"/>
              <w:right w:val="single" w:sz="4" w:space="0" w:color="auto"/>
            </w:tcBorders>
            <w:shd w:val="clear" w:color="auto" w:fill="auto"/>
            <w:noWrap/>
            <w:vAlign w:val="center"/>
            <w:hideMark/>
          </w:tcPr>
          <w:p w14:paraId="216CA4AA"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4 273,54</w:t>
            </w:r>
          </w:p>
        </w:tc>
        <w:tc>
          <w:tcPr>
            <w:tcW w:w="1221" w:type="dxa"/>
            <w:tcBorders>
              <w:top w:val="single" w:sz="4" w:space="0" w:color="auto"/>
              <w:left w:val="nil"/>
              <w:bottom w:val="single" w:sz="4" w:space="0" w:color="auto"/>
              <w:right w:val="single" w:sz="4" w:space="0" w:color="auto"/>
            </w:tcBorders>
            <w:shd w:val="clear" w:color="auto" w:fill="auto"/>
            <w:vAlign w:val="center"/>
            <w:hideMark/>
          </w:tcPr>
          <w:p w14:paraId="5FF5DCE1"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99,83</w:t>
            </w:r>
          </w:p>
        </w:tc>
        <w:tc>
          <w:tcPr>
            <w:tcW w:w="795" w:type="dxa"/>
            <w:tcBorders>
              <w:top w:val="single" w:sz="4" w:space="0" w:color="auto"/>
              <w:left w:val="nil"/>
              <w:bottom w:val="single" w:sz="4" w:space="0" w:color="auto"/>
              <w:right w:val="single" w:sz="4" w:space="0" w:color="auto"/>
            </w:tcBorders>
            <w:shd w:val="clear" w:color="auto" w:fill="auto"/>
            <w:vAlign w:val="center"/>
            <w:hideMark/>
          </w:tcPr>
          <w:p w14:paraId="76279CBF"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99,14</w:t>
            </w:r>
          </w:p>
        </w:tc>
        <w:tc>
          <w:tcPr>
            <w:tcW w:w="1183" w:type="dxa"/>
            <w:tcBorders>
              <w:top w:val="single" w:sz="4" w:space="0" w:color="auto"/>
              <w:left w:val="nil"/>
              <w:bottom w:val="single" w:sz="4" w:space="0" w:color="auto"/>
              <w:right w:val="single" w:sz="4" w:space="0" w:color="auto"/>
            </w:tcBorders>
            <w:shd w:val="clear" w:color="auto" w:fill="auto"/>
            <w:vAlign w:val="center"/>
            <w:hideMark/>
          </w:tcPr>
          <w:p w14:paraId="68B532A3"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7,21</w:t>
            </w:r>
          </w:p>
        </w:tc>
      </w:tr>
      <w:tr w:rsidR="00E47AA9" w:rsidRPr="00E47AA9" w14:paraId="0F13B6B2" w14:textId="77777777" w:rsidTr="0079449F">
        <w:trPr>
          <w:cantSplit/>
          <w:trHeight w:val="20"/>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26395" w14:textId="77777777" w:rsidR="00F20278" w:rsidRPr="00E47AA9" w:rsidRDefault="00F20278" w:rsidP="00F20278">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Департамент информационной политики Приморского края</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8832DCE"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771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5B814081"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2,12</w:t>
            </w:r>
          </w:p>
        </w:tc>
        <w:tc>
          <w:tcPr>
            <w:tcW w:w="1054" w:type="dxa"/>
            <w:tcBorders>
              <w:top w:val="single" w:sz="4" w:space="0" w:color="auto"/>
              <w:left w:val="nil"/>
              <w:bottom w:val="single" w:sz="4" w:space="0" w:color="auto"/>
              <w:right w:val="single" w:sz="4" w:space="0" w:color="auto"/>
            </w:tcBorders>
            <w:shd w:val="clear" w:color="auto" w:fill="auto"/>
            <w:noWrap/>
            <w:vAlign w:val="center"/>
            <w:hideMark/>
          </w:tcPr>
          <w:p w14:paraId="08947AB2"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2,12</w:t>
            </w:r>
          </w:p>
        </w:tc>
        <w:tc>
          <w:tcPr>
            <w:tcW w:w="1221" w:type="dxa"/>
            <w:tcBorders>
              <w:top w:val="single" w:sz="4" w:space="0" w:color="auto"/>
              <w:left w:val="nil"/>
              <w:bottom w:val="single" w:sz="4" w:space="0" w:color="auto"/>
              <w:right w:val="single" w:sz="4" w:space="0" w:color="auto"/>
            </w:tcBorders>
            <w:shd w:val="clear" w:color="auto" w:fill="auto"/>
            <w:vAlign w:val="center"/>
            <w:hideMark/>
          </w:tcPr>
          <w:p w14:paraId="4333AC5F"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795" w:type="dxa"/>
            <w:tcBorders>
              <w:top w:val="single" w:sz="4" w:space="0" w:color="auto"/>
              <w:left w:val="nil"/>
              <w:bottom w:val="single" w:sz="4" w:space="0" w:color="auto"/>
              <w:right w:val="single" w:sz="4" w:space="0" w:color="auto"/>
            </w:tcBorders>
            <w:shd w:val="clear" w:color="auto" w:fill="auto"/>
            <w:vAlign w:val="center"/>
            <w:hideMark/>
          </w:tcPr>
          <w:p w14:paraId="30688AB6"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0,05</w:t>
            </w:r>
          </w:p>
        </w:tc>
        <w:tc>
          <w:tcPr>
            <w:tcW w:w="1183" w:type="dxa"/>
            <w:tcBorders>
              <w:top w:val="single" w:sz="4" w:space="0" w:color="auto"/>
              <w:left w:val="nil"/>
              <w:bottom w:val="single" w:sz="4" w:space="0" w:color="auto"/>
              <w:right w:val="single" w:sz="4" w:space="0" w:color="auto"/>
            </w:tcBorders>
            <w:shd w:val="clear" w:color="auto" w:fill="auto"/>
            <w:vAlign w:val="center"/>
            <w:hideMark/>
          </w:tcPr>
          <w:p w14:paraId="359E258F"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F20278" w:rsidRPr="00E47AA9" w14:paraId="143CB6FB" w14:textId="77777777" w:rsidTr="0079449F">
        <w:trPr>
          <w:cantSplit/>
          <w:trHeight w:val="20"/>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5472AE" w14:textId="77777777" w:rsidR="00F20278" w:rsidRPr="00E47AA9" w:rsidRDefault="00F20278" w:rsidP="00F20278">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строительства Приморского края</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CC03089"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775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7412E1DE"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3,63</w:t>
            </w:r>
          </w:p>
        </w:tc>
        <w:tc>
          <w:tcPr>
            <w:tcW w:w="1054" w:type="dxa"/>
            <w:tcBorders>
              <w:top w:val="single" w:sz="4" w:space="0" w:color="auto"/>
              <w:left w:val="nil"/>
              <w:bottom w:val="single" w:sz="4" w:space="0" w:color="auto"/>
              <w:right w:val="single" w:sz="4" w:space="0" w:color="auto"/>
            </w:tcBorders>
            <w:shd w:val="clear" w:color="auto" w:fill="auto"/>
            <w:noWrap/>
            <w:vAlign w:val="center"/>
            <w:hideMark/>
          </w:tcPr>
          <w:p w14:paraId="136FFA5C"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3,63</w:t>
            </w:r>
          </w:p>
        </w:tc>
        <w:tc>
          <w:tcPr>
            <w:tcW w:w="1221" w:type="dxa"/>
            <w:tcBorders>
              <w:top w:val="single" w:sz="4" w:space="0" w:color="auto"/>
              <w:left w:val="nil"/>
              <w:bottom w:val="single" w:sz="4" w:space="0" w:color="auto"/>
              <w:right w:val="single" w:sz="4" w:space="0" w:color="auto"/>
            </w:tcBorders>
            <w:shd w:val="clear" w:color="auto" w:fill="auto"/>
            <w:vAlign w:val="center"/>
            <w:hideMark/>
          </w:tcPr>
          <w:p w14:paraId="49E466E0"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795" w:type="dxa"/>
            <w:tcBorders>
              <w:top w:val="single" w:sz="4" w:space="0" w:color="auto"/>
              <w:left w:val="nil"/>
              <w:bottom w:val="single" w:sz="4" w:space="0" w:color="auto"/>
              <w:right w:val="single" w:sz="4" w:space="0" w:color="auto"/>
            </w:tcBorders>
            <w:shd w:val="clear" w:color="auto" w:fill="auto"/>
            <w:vAlign w:val="center"/>
            <w:hideMark/>
          </w:tcPr>
          <w:p w14:paraId="5A4B75D7"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0,08</w:t>
            </w:r>
          </w:p>
        </w:tc>
        <w:tc>
          <w:tcPr>
            <w:tcW w:w="1183" w:type="dxa"/>
            <w:tcBorders>
              <w:top w:val="single" w:sz="4" w:space="0" w:color="auto"/>
              <w:left w:val="nil"/>
              <w:bottom w:val="single" w:sz="4" w:space="0" w:color="auto"/>
              <w:right w:val="single" w:sz="4" w:space="0" w:color="auto"/>
            </w:tcBorders>
            <w:shd w:val="clear" w:color="auto" w:fill="auto"/>
            <w:vAlign w:val="center"/>
            <w:hideMark/>
          </w:tcPr>
          <w:p w14:paraId="1BF4AA79" w14:textId="77777777" w:rsidR="00F20278" w:rsidRPr="00E47AA9" w:rsidRDefault="00F20278" w:rsidP="00F20278">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bl>
    <w:p w14:paraId="7844788C" w14:textId="77777777" w:rsidR="00F20278" w:rsidRPr="00E47AA9" w:rsidRDefault="00F20278" w:rsidP="00F20278">
      <w:pPr>
        <w:spacing w:after="0" w:line="240" w:lineRule="auto"/>
        <w:ind w:firstLine="709"/>
        <w:jc w:val="both"/>
        <w:outlineLvl w:val="4"/>
        <w:rPr>
          <w:rFonts w:ascii="Times New Roman" w:eastAsia="Times New Roman" w:hAnsi="Times New Roman" w:cs="Times New Roman"/>
          <w:sz w:val="28"/>
          <w:szCs w:val="28"/>
          <w:lang w:eastAsia="ru-RU"/>
        </w:rPr>
      </w:pPr>
    </w:p>
    <w:p w14:paraId="75D189FE" w14:textId="77777777" w:rsidR="00F20278" w:rsidRPr="00E47AA9" w:rsidRDefault="00F20278" w:rsidP="00F20278">
      <w:pPr>
        <w:spacing w:after="0" w:line="240" w:lineRule="auto"/>
        <w:ind w:firstLine="709"/>
        <w:jc w:val="both"/>
        <w:outlineLvl w:val="4"/>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Структура ГП на 2024 год исполнена в разрезе следующих элементов. </w:t>
      </w:r>
    </w:p>
    <w:p w14:paraId="02A7CE49" w14:textId="77777777" w:rsidR="00F20278" w:rsidRPr="00E47AA9" w:rsidRDefault="00F20278" w:rsidP="00F20278">
      <w:pPr>
        <w:spacing w:after="0" w:line="240" w:lineRule="auto"/>
        <w:ind w:firstLine="709"/>
        <w:jc w:val="right"/>
        <w:outlineLvl w:val="4"/>
        <w:rPr>
          <w:rFonts w:ascii="Times New Roman" w:eastAsia="Times New Roman" w:hAnsi="Times New Roman" w:cs="Times New Roman"/>
          <w:sz w:val="24"/>
          <w:szCs w:val="24"/>
          <w:lang w:eastAsia="ru-RU"/>
        </w:rPr>
      </w:pPr>
    </w:p>
    <w:tbl>
      <w:tblPr>
        <w:tblW w:w="9351" w:type="dxa"/>
        <w:tblLook w:val="04A0" w:firstRow="1" w:lastRow="0" w:firstColumn="1" w:lastColumn="0" w:noHBand="0" w:noVBand="1"/>
      </w:tblPr>
      <w:tblGrid>
        <w:gridCol w:w="2567"/>
        <w:gridCol w:w="1279"/>
        <w:gridCol w:w="1159"/>
        <w:gridCol w:w="1221"/>
        <w:gridCol w:w="825"/>
        <w:gridCol w:w="1183"/>
        <w:gridCol w:w="1117"/>
      </w:tblGrid>
      <w:tr w:rsidR="00E47AA9" w:rsidRPr="00E47AA9" w14:paraId="724C5B99" w14:textId="77777777" w:rsidTr="0079449F">
        <w:trPr>
          <w:trHeight w:val="20"/>
        </w:trPr>
        <w:tc>
          <w:tcPr>
            <w:tcW w:w="2567" w:type="dxa"/>
            <w:tcBorders>
              <w:bottom w:val="single" w:sz="4" w:space="0" w:color="auto"/>
            </w:tcBorders>
            <w:shd w:val="clear" w:color="auto" w:fill="auto"/>
            <w:vAlign w:val="center"/>
          </w:tcPr>
          <w:p w14:paraId="7AA1877B"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p>
        </w:tc>
        <w:tc>
          <w:tcPr>
            <w:tcW w:w="1279" w:type="dxa"/>
            <w:tcBorders>
              <w:bottom w:val="single" w:sz="4" w:space="0" w:color="auto"/>
            </w:tcBorders>
            <w:shd w:val="clear" w:color="auto" w:fill="auto"/>
            <w:vAlign w:val="center"/>
          </w:tcPr>
          <w:p w14:paraId="21D76609"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p>
        </w:tc>
        <w:tc>
          <w:tcPr>
            <w:tcW w:w="1159" w:type="dxa"/>
            <w:tcBorders>
              <w:bottom w:val="single" w:sz="4" w:space="0" w:color="auto"/>
            </w:tcBorders>
            <w:shd w:val="clear" w:color="auto" w:fill="auto"/>
            <w:vAlign w:val="center"/>
          </w:tcPr>
          <w:p w14:paraId="5F72247C"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p>
        </w:tc>
        <w:tc>
          <w:tcPr>
            <w:tcW w:w="1221" w:type="dxa"/>
            <w:tcBorders>
              <w:bottom w:val="single" w:sz="4" w:space="0" w:color="auto"/>
            </w:tcBorders>
            <w:shd w:val="clear" w:color="auto" w:fill="auto"/>
            <w:vAlign w:val="center"/>
          </w:tcPr>
          <w:p w14:paraId="38EE923F"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p>
        </w:tc>
        <w:tc>
          <w:tcPr>
            <w:tcW w:w="825" w:type="dxa"/>
            <w:tcBorders>
              <w:bottom w:val="single" w:sz="4" w:space="0" w:color="auto"/>
            </w:tcBorders>
            <w:shd w:val="clear" w:color="auto" w:fill="auto"/>
            <w:vAlign w:val="center"/>
          </w:tcPr>
          <w:p w14:paraId="336D55A0"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p>
        </w:tc>
        <w:tc>
          <w:tcPr>
            <w:tcW w:w="2300" w:type="dxa"/>
            <w:gridSpan w:val="2"/>
            <w:tcBorders>
              <w:bottom w:val="single" w:sz="4" w:space="0" w:color="auto"/>
            </w:tcBorders>
            <w:shd w:val="clear" w:color="auto" w:fill="auto"/>
            <w:vAlign w:val="center"/>
          </w:tcPr>
          <w:p w14:paraId="047AB3B2" w14:textId="77777777" w:rsidR="00F20278" w:rsidRPr="00E47AA9" w:rsidRDefault="00F20278" w:rsidP="00F20278">
            <w:pPr>
              <w:spacing w:after="0" w:line="240" w:lineRule="auto"/>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25BEA883" w14:textId="77777777" w:rsidTr="0079449F">
        <w:trPr>
          <w:trHeight w:val="2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2F5AA"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ГП, типа структурного элемента</w:t>
            </w:r>
          </w:p>
        </w:tc>
        <w:tc>
          <w:tcPr>
            <w:tcW w:w="12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768FA"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11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32026"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2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F55023"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исполнения</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00BC7"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Удель-ный</w:t>
            </w:r>
            <w:proofErr w:type="spellEnd"/>
            <w:proofErr w:type="gramEnd"/>
            <w:r w:rsidRPr="00E47AA9">
              <w:rPr>
                <w:rFonts w:ascii="Times New Roman" w:eastAsia="Times New Roman" w:hAnsi="Times New Roman" w:cs="Times New Roman"/>
                <w:sz w:val="20"/>
                <w:szCs w:val="20"/>
                <w:lang w:eastAsia="ru-RU"/>
              </w:rPr>
              <w:t xml:space="preserve"> вес, %</w:t>
            </w:r>
          </w:p>
        </w:tc>
        <w:tc>
          <w:tcPr>
            <w:tcW w:w="11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A0D2EC"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C8645A" w14:textId="77777777" w:rsidR="00F20278" w:rsidRPr="00E47AA9" w:rsidRDefault="00F20278" w:rsidP="00F20278">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Удель-ный</w:t>
            </w:r>
            <w:proofErr w:type="spellEnd"/>
            <w:proofErr w:type="gramEnd"/>
            <w:r w:rsidRPr="00E47AA9">
              <w:rPr>
                <w:rFonts w:ascii="Times New Roman" w:eastAsia="Times New Roman" w:hAnsi="Times New Roman" w:cs="Times New Roman"/>
                <w:sz w:val="20"/>
                <w:szCs w:val="20"/>
                <w:lang w:eastAsia="ru-RU"/>
              </w:rPr>
              <w:t xml:space="preserve"> вес, %</w:t>
            </w:r>
          </w:p>
        </w:tc>
      </w:tr>
      <w:tr w:rsidR="00E47AA9" w:rsidRPr="00E47AA9" w14:paraId="59AC600B" w14:textId="77777777" w:rsidTr="0079449F">
        <w:trPr>
          <w:trHeight w:val="2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37EF0" w14:textId="2D54D4B6" w:rsidR="00F20278" w:rsidRPr="00E47AA9" w:rsidRDefault="00F20278" w:rsidP="00E0556A">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Расходы по ГП всего,</w:t>
            </w:r>
            <w:r w:rsidR="00E0556A" w:rsidRPr="00E47AA9">
              <w:rPr>
                <w:rFonts w:ascii="Times New Roman" w:eastAsia="Times New Roman" w:hAnsi="Times New Roman" w:cs="Times New Roman"/>
                <w:b/>
                <w:bCs/>
                <w:sz w:val="20"/>
                <w:szCs w:val="20"/>
                <w:lang w:eastAsia="ru-RU"/>
              </w:rPr>
              <w:t xml:space="preserve"> </w:t>
            </w:r>
            <w:r w:rsidRPr="00E47AA9">
              <w:rPr>
                <w:rFonts w:ascii="Times New Roman" w:eastAsia="Times New Roman" w:hAnsi="Times New Roman" w:cs="Times New Roman"/>
                <w:bCs/>
                <w:sz w:val="20"/>
                <w:szCs w:val="20"/>
                <w:lang w:eastAsia="ru-RU"/>
              </w:rPr>
              <w:t>в</w:t>
            </w:r>
            <w:r w:rsidR="00E0556A" w:rsidRPr="00E47AA9">
              <w:rPr>
                <w:rFonts w:ascii="Times New Roman" w:eastAsia="Times New Roman" w:hAnsi="Times New Roman" w:cs="Times New Roman"/>
                <w:bCs/>
                <w:sz w:val="20"/>
                <w:szCs w:val="20"/>
                <w:lang w:eastAsia="ru-RU"/>
              </w:rPr>
              <w:t> </w:t>
            </w:r>
            <w:r w:rsidRPr="00E47AA9">
              <w:rPr>
                <w:rFonts w:ascii="Times New Roman" w:eastAsia="Times New Roman" w:hAnsi="Times New Roman" w:cs="Times New Roman"/>
                <w:bCs/>
                <w:sz w:val="20"/>
                <w:szCs w:val="20"/>
                <w:lang w:eastAsia="ru-RU"/>
              </w:rPr>
              <w:t>том числе</w:t>
            </w:r>
          </w:p>
        </w:tc>
        <w:tc>
          <w:tcPr>
            <w:tcW w:w="127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4396C65" w14:textId="77777777" w:rsidR="00F20278" w:rsidRPr="00E47AA9" w:rsidRDefault="00F20278" w:rsidP="00F20278">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4319,86</w:t>
            </w:r>
          </w:p>
        </w:tc>
        <w:tc>
          <w:tcPr>
            <w:tcW w:w="115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A0022CE" w14:textId="77777777" w:rsidR="00F20278" w:rsidRPr="00E47AA9" w:rsidRDefault="00F20278" w:rsidP="00F20278">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4310,71</w:t>
            </w:r>
          </w:p>
        </w:tc>
        <w:tc>
          <w:tcPr>
            <w:tcW w:w="122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243F095" w14:textId="77777777" w:rsidR="00F20278" w:rsidRPr="00E47AA9" w:rsidRDefault="00F20278" w:rsidP="00F20278">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99,79</w:t>
            </w:r>
          </w:p>
        </w:tc>
        <w:tc>
          <w:tcPr>
            <w:tcW w:w="82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371635C" w14:textId="77777777" w:rsidR="00F20278" w:rsidRPr="00E47AA9" w:rsidRDefault="00F20278" w:rsidP="00F20278">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c>
          <w:tcPr>
            <w:tcW w:w="118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FFDBB75" w14:textId="77777777" w:rsidR="00F20278" w:rsidRPr="00E47AA9" w:rsidRDefault="00F20278" w:rsidP="00F20278">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9,15</w:t>
            </w:r>
          </w:p>
        </w:tc>
        <w:tc>
          <w:tcPr>
            <w:tcW w:w="111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40D34B9" w14:textId="77777777" w:rsidR="00F20278" w:rsidRPr="00E47AA9" w:rsidRDefault="00F20278" w:rsidP="00F20278">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r>
      <w:tr w:rsidR="00F20278" w:rsidRPr="00E47AA9" w14:paraId="77B82F09" w14:textId="77777777" w:rsidTr="0079449F">
        <w:trPr>
          <w:trHeight w:val="2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ED60BC" w14:textId="77777777" w:rsidR="00F20278" w:rsidRPr="00E47AA9" w:rsidRDefault="00F20278" w:rsidP="00F20278">
            <w:pPr>
              <w:spacing w:after="0" w:line="240" w:lineRule="auto"/>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комплексы процессных мероприятий</w:t>
            </w:r>
          </w:p>
        </w:tc>
        <w:tc>
          <w:tcPr>
            <w:tcW w:w="12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A4E4DC" w14:textId="77777777" w:rsidR="00F20278" w:rsidRPr="00E47AA9" w:rsidRDefault="00F20278" w:rsidP="00F20278">
            <w:pPr>
              <w:spacing w:after="0" w:line="240" w:lineRule="auto"/>
              <w:jc w:val="right"/>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4319,86</w:t>
            </w:r>
          </w:p>
        </w:tc>
        <w:tc>
          <w:tcPr>
            <w:tcW w:w="11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ECC097" w14:textId="77777777" w:rsidR="00F20278" w:rsidRPr="00E47AA9" w:rsidRDefault="00F20278" w:rsidP="00F20278">
            <w:pPr>
              <w:spacing w:after="0" w:line="240" w:lineRule="auto"/>
              <w:jc w:val="right"/>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4310,71</w:t>
            </w:r>
          </w:p>
        </w:tc>
        <w:tc>
          <w:tcPr>
            <w:tcW w:w="12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A50D36" w14:textId="77777777" w:rsidR="00F20278" w:rsidRPr="00E47AA9" w:rsidRDefault="00F20278" w:rsidP="00F20278">
            <w:pPr>
              <w:spacing w:after="0" w:line="240" w:lineRule="auto"/>
              <w:jc w:val="right"/>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99,79</w:t>
            </w:r>
          </w:p>
        </w:tc>
        <w:tc>
          <w:tcPr>
            <w:tcW w:w="8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F8BED7" w14:textId="77777777" w:rsidR="00F20278" w:rsidRPr="00E47AA9" w:rsidRDefault="00F20278" w:rsidP="00F20278">
            <w:pPr>
              <w:spacing w:after="0" w:line="240" w:lineRule="auto"/>
              <w:jc w:val="right"/>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100,00</w:t>
            </w:r>
          </w:p>
        </w:tc>
        <w:tc>
          <w:tcPr>
            <w:tcW w:w="11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DF8FF" w14:textId="77777777" w:rsidR="00F20278" w:rsidRPr="00E47AA9" w:rsidRDefault="00F20278" w:rsidP="00F20278">
            <w:pPr>
              <w:spacing w:after="0" w:line="240" w:lineRule="auto"/>
              <w:jc w:val="right"/>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9,15</w:t>
            </w: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645FF" w14:textId="77777777" w:rsidR="00F20278" w:rsidRPr="00E47AA9" w:rsidRDefault="00F20278" w:rsidP="00F20278">
            <w:pPr>
              <w:spacing w:after="0" w:line="240" w:lineRule="auto"/>
              <w:jc w:val="right"/>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100,00</w:t>
            </w:r>
          </w:p>
        </w:tc>
      </w:tr>
    </w:tbl>
    <w:p w14:paraId="6FF15F95" w14:textId="77777777" w:rsidR="00F20278" w:rsidRPr="00E47AA9" w:rsidRDefault="00F20278" w:rsidP="00F20278">
      <w:pPr>
        <w:spacing w:after="0" w:line="240" w:lineRule="auto"/>
        <w:ind w:firstLine="709"/>
        <w:jc w:val="both"/>
        <w:outlineLvl w:val="4"/>
        <w:rPr>
          <w:rFonts w:ascii="Times New Roman" w:eastAsia="Times New Roman" w:hAnsi="Times New Roman" w:cs="Times New Roman"/>
          <w:sz w:val="28"/>
          <w:szCs w:val="28"/>
          <w:lang w:eastAsia="ru-RU"/>
        </w:rPr>
      </w:pPr>
    </w:p>
    <w:p w14:paraId="10416E33" w14:textId="6703AC74" w:rsidR="003A34F9" w:rsidRPr="00E47AA9" w:rsidRDefault="00E0556A" w:rsidP="003A34F9">
      <w:pPr>
        <w:widowControl w:val="0"/>
        <w:shd w:val="clear" w:color="auto" w:fill="FFFFFF" w:themeFill="background1"/>
        <w:tabs>
          <w:tab w:val="left" w:pos="284"/>
          <w:tab w:val="left" w:pos="1080"/>
        </w:tabs>
        <w:spacing w:after="0" w:line="240" w:lineRule="auto"/>
        <w:ind w:firstLine="680"/>
        <w:contextualSpacing/>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В соответствии со</w:t>
      </w:r>
      <w:r w:rsidR="003A34F9" w:rsidRPr="00E47AA9">
        <w:rPr>
          <w:rFonts w:ascii="Times New Roman" w:eastAsia="Times New Roman" w:hAnsi="Times New Roman" w:cs="Times New Roman"/>
          <w:sz w:val="28"/>
          <w:szCs w:val="28"/>
        </w:rPr>
        <w:t xml:space="preserve"> Сводн</w:t>
      </w:r>
      <w:r w:rsidRPr="00E47AA9">
        <w:rPr>
          <w:rFonts w:ascii="Times New Roman" w:eastAsia="Times New Roman" w:hAnsi="Times New Roman" w:cs="Times New Roman"/>
          <w:sz w:val="28"/>
          <w:szCs w:val="28"/>
        </w:rPr>
        <w:t>ым</w:t>
      </w:r>
      <w:r w:rsidR="003A34F9" w:rsidRPr="00E47AA9">
        <w:rPr>
          <w:rFonts w:ascii="Times New Roman" w:eastAsia="Times New Roman" w:hAnsi="Times New Roman" w:cs="Times New Roman"/>
          <w:sz w:val="28"/>
          <w:szCs w:val="28"/>
        </w:rPr>
        <w:t xml:space="preserve"> годов</w:t>
      </w:r>
      <w:r w:rsidRPr="00E47AA9">
        <w:rPr>
          <w:rFonts w:ascii="Times New Roman" w:eastAsia="Times New Roman" w:hAnsi="Times New Roman" w:cs="Times New Roman"/>
          <w:sz w:val="28"/>
          <w:szCs w:val="28"/>
        </w:rPr>
        <w:t>ым</w:t>
      </w:r>
      <w:r w:rsidR="003A34F9" w:rsidRPr="00E47AA9">
        <w:rPr>
          <w:rFonts w:ascii="Times New Roman" w:eastAsia="Times New Roman" w:hAnsi="Times New Roman" w:cs="Times New Roman"/>
          <w:sz w:val="28"/>
          <w:szCs w:val="28"/>
        </w:rPr>
        <w:t xml:space="preserve"> доклад</w:t>
      </w:r>
      <w:r w:rsidRPr="00E47AA9">
        <w:rPr>
          <w:rFonts w:ascii="Times New Roman" w:eastAsia="Times New Roman" w:hAnsi="Times New Roman" w:cs="Times New Roman"/>
          <w:sz w:val="28"/>
          <w:szCs w:val="28"/>
        </w:rPr>
        <w:t>ом</w:t>
      </w:r>
      <w:r w:rsidR="003A34F9" w:rsidRPr="00E47AA9">
        <w:rPr>
          <w:rFonts w:ascii="Times New Roman" w:eastAsia="Times New Roman" w:hAnsi="Times New Roman" w:cs="Times New Roman"/>
          <w:sz w:val="28"/>
          <w:szCs w:val="28"/>
        </w:rPr>
        <w:t>:</w:t>
      </w:r>
    </w:p>
    <w:p w14:paraId="2796F774" w14:textId="21A9E01B" w:rsidR="003A34F9" w:rsidRPr="00E47AA9" w:rsidRDefault="003A34F9" w:rsidP="003A34F9">
      <w:pPr>
        <w:widowControl w:val="0"/>
        <w:shd w:val="clear" w:color="auto" w:fill="FFFFFF" w:themeFill="background1"/>
        <w:tabs>
          <w:tab w:val="left" w:pos="284"/>
          <w:tab w:val="left" w:pos="1080"/>
        </w:tabs>
        <w:spacing w:after="0" w:line="240" w:lineRule="auto"/>
        <w:ind w:firstLine="680"/>
        <w:contextualSpacing/>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из 18 мероприятий государственной программы, запланированных к</w:t>
      </w:r>
      <w:r w:rsidR="00E0556A"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 xml:space="preserve">выполнению в 2024 году, выполнены в полном объеме 15 мероприятий, </w:t>
      </w:r>
      <w:r w:rsidR="00B2655A" w:rsidRPr="00E47AA9">
        <w:rPr>
          <w:rFonts w:ascii="Times New Roman" w:eastAsia="Times New Roman" w:hAnsi="Times New Roman" w:cs="Times New Roman"/>
          <w:sz w:val="28"/>
          <w:szCs w:val="28"/>
        </w:rPr>
        <w:br/>
      </w:r>
      <w:r w:rsidRPr="00E47AA9">
        <w:rPr>
          <w:rFonts w:ascii="Times New Roman" w:eastAsia="Times New Roman" w:hAnsi="Times New Roman" w:cs="Times New Roman"/>
          <w:sz w:val="28"/>
          <w:szCs w:val="28"/>
        </w:rPr>
        <w:t>2 мероприятия выполнены не в полном объеме, 1 мероприятие исключено из</w:t>
      </w:r>
      <w:r w:rsidR="00E0556A"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плана реализации;</w:t>
      </w:r>
    </w:p>
    <w:p w14:paraId="4A3A3661" w14:textId="1002A4A1" w:rsidR="003A34F9" w:rsidRPr="00E47AA9" w:rsidRDefault="003A34F9" w:rsidP="003A34F9">
      <w:pPr>
        <w:widowControl w:val="0"/>
        <w:shd w:val="clear" w:color="auto" w:fill="FFFFFF" w:themeFill="background1"/>
        <w:tabs>
          <w:tab w:val="left" w:pos="284"/>
          <w:tab w:val="left" w:pos="1080"/>
        </w:tabs>
        <w:spacing w:after="0" w:line="240" w:lineRule="auto"/>
        <w:ind w:firstLine="680"/>
        <w:contextualSpacing/>
        <w:jc w:val="both"/>
        <w:rPr>
          <w:rFonts w:ascii="Times New Roman" w:eastAsia="Times New Roman" w:hAnsi="Times New Roman" w:cs="Times New Roman"/>
          <w:sz w:val="28"/>
          <w:szCs w:val="28"/>
          <w:lang w:eastAsia="ru-RU"/>
        </w:rPr>
      </w:pPr>
      <w:r w:rsidRPr="00E47AA9">
        <w:rPr>
          <w:rFonts w:ascii="Times New Roman" w:hAnsi="Times New Roman" w:cs="Times New Roman"/>
          <w:sz w:val="28"/>
          <w:szCs w:val="28"/>
        </w:rPr>
        <w:t xml:space="preserve">из 18 показателей государственной программы 11 достигли планового значения, </w:t>
      </w:r>
      <w:r w:rsidRPr="00E47AA9">
        <w:rPr>
          <w:rFonts w:ascii="Times New Roman" w:eastAsia="Times New Roman" w:hAnsi="Times New Roman" w:cs="Times New Roman"/>
          <w:sz w:val="28"/>
          <w:szCs w:val="28"/>
          <w:lang w:eastAsia="ru-RU"/>
        </w:rPr>
        <w:t>7 показателей достигнуты не в полном объеме;</w:t>
      </w:r>
    </w:p>
    <w:p w14:paraId="4814B754" w14:textId="13A8C7BB" w:rsidR="003A34F9" w:rsidRPr="00E47AA9" w:rsidRDefault="003A34F9" w:rsidP="00F20278">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эффективность реализации государственной программы составила 94,6</w:t>
      </w:r>
      <w:r w:rsidR="00E0556A"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(выше среднего уровня).</w:t>
      </w:r>
    </w:p>
    <w:p w14:paraId="19ECC5F3" w14:textId="77777777" w:rsidR="00F20278" w:rsidRPr="00E47AA9" w:rsidRDefault="00F20278" w:rsidP="00F20278">
      <w:pPr>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Подпрограмма "Предупреждение, спасение, помощь"</w:t>
      </w:r>
    </w:p>
    <w:p w14:paraId="2B72C7A1" w14:textId="77777777" w:rsidR="00F20278" w:rsidRPr="00E47AA9" w:rsidRDefault="00F20278" w:rsidP="00F20278">
      <w:pPr>
        <w:spacing w:after="0" w:line="240" w:lineRule="auto"/>
        <w:ind w:firstLine="709"/>
        <w:jc w:val="both"/>
        <w:rPr>
          <w:rFonts w:ascii="Times New Roman" w:eastAsia="Calibri" w:hAnsi="Times New Roman" w:cs="Times New Roman"/>
          <w:bCs/>
          <w:sz w:val="28"/>
          <w:szCs w:val="28"/>
        </w:rPr>
      </w:pPr>
      <w:r w:rsidRPr="00E47AA9">
        <w:rPr>
          <w:rFonts w:ascii="Times New Roman" w:eastAsia="Calibri" w:hAnsi="Times New Roman" w:cs="Times New Roman"/>
          <w:bCs/>
          <w:sz w:val="28"/>
          <w:szCs w:val="28"/>
        </w:rPr>
        <w:t xml:space="preserve">По </w:t>
      </w:r>
      <w:r w:rsidRPr="00E47AA9">
        <w:rPr>
          <w:rFonts w:ascii="Times New Roman" w:eastAsia="Calibri" w:hAnsi="Times New Roman" w:cs="Times New Roman"/>
          <w:bCs/>
          <w:i/>
          <w:sz w:val="28"/>
          <w:szCs w:val="28"/>
        </w:rPr>
        <w:t>КПМ "Предупреждение, спасение, помощь"</w:t>
      </w:r>
      <w:r w:rsidRPr="00E47AA9">
        <w:rPr>
          <w:rFonts w:ascii="Times New Roman" w:eastAsia="Calibri" w:hAnsi="Times New Roman" w:cs="Times New Roman"/>
          <w:bCs/>
          <w:sz w:val="28"/>
          <w:szCs w:val="28"/>
        </w:rPr>
        <w:t xml:space="preserve"> расходы составили 4307,08 млн рублей, или 99,79 % (4316,23 млн рублей), в том числе:</w:t>
      </w:r>
    </w:p>
    <w:p w14:paraId="6D6148D9" w14:textId="4D4A300B" w:rsidR="00F20278" w:rsidRPr="00E47AA9" w:rsidRDefault="00F20278" w:rsidP="00F20278">
      <w:pPr>
        <w:spacing w:after="0" w:line="240" w:lineRule="auto"/>
        <w:ind w:firstLine="709"/>
        <w:jc w:val="both"/>
        <w:rPr>
          <w:rFonts w:ascii="Times New Roman" w:hAnsi="Times New Roman" w:cs="Times New Roman"/>
        </w:rPr>
      </w:pPr>
      <w:r w:rsidRPr="00E47AA9">
        <w:rPr>
          <w:rFonts w:ascii="Times New Roman" w:hAnsi="Times New Roman" w:cs="Times New Roman"/>
          <w:bCs/>
          <w:sz w:val="28"/>
          <w:szCs w:val="28"/>
          <w:u w:val="single"/>
        </w:rPr>
        <w:t>по министерству сельского хозяйства Приморского края</w:t>
      </w:r>
      <w:r w:rsidRPr="00E47AA9">
        <w:rPr>
          <w:rFonts w:ascii="Times New Roman" w:hAnsi="Times New Roman" w:cs="Times New Roman"/>
          <w:bCs/>
          <w:sz w:val="28"/>
          <w:szCs w:val="28"/>
        </w:rPr>
        <w:t xml:space="preserve"> – </w:t>
      </w:r>
      <w:r w:rsidRPr="00E47AA9">
        <w:rPr>
          <w:rFonts w:ascii="Times New Roman" w:hAnsi="Times New Roman" w:cs="Times New Roman"/>
          <w:bCs/>
          <w:sz w:val="28"/>
          <w:szCs w:val="28"/>
        </w:rPr>
        <w:br/>
        <w:t>31,42 млн рублей, или 94,20 % (план</w:t>
      </w:r>
      <w:r w:rsidR="00E0556A" w:rsidRPr="00E47AA9">
        <w:rPr>
          <w:rFonts w:ascii="Times New Roman" w:hAnsi="Times New Roman" w:cs="Times New Roman"/>
          <w:bCs/>
          <w:sz w:val="28"/>
          <w:szCs w:val="28"/>
        </w:rPr>
        <w:t xml:space="preserve"> –</w:t>
      </w:r>
      <w:r w:rsidRPr="00E47AA9">
        <w:rPr>
          <w:rFonts w:ascii="Times New Roman" w:hAnsi="Times New Roman" w:cs="Times New Roman"/>
          <w:bCs/>
          <w:sz w:val="28"/>
          <w:szCs w:val="28"/>
        </w:rPr>
        <w:t xml:space="preserve"> 33,36 млн рублей) </w:t>
      </w:r>
      <w:r w:rsidRPr="00E47AA9">
        <w:rPr>
          <w:rFonts w:ascii="Times New Roman" w:eastAsia="Calibri" w:hAnsi="Times New Roman" w:cs="Times New Roman"/>
          <w:sz w:val="28"/>
          <w:szCs w:val="28"/>
        </w:rPr>
        <w:t xml:space="preserve">на </w:t>
      </w:r>
      <w:r w:rsidRPr="00E47AA9">
        <w:rPr>
          <w:rFonts w:ascii="Times New Roman" w:hAnsi="Times New Roman" w:cs="Times New Roman"/>
          <w:iCs/>
          <w:sz w:val="28"/>
          <w:szCs w:val="28"/>
        </w:rPr>
        <w:t xml:space="preserve">проведение мер по предупреждению чрезвычайных ситуаций муниципального характера, </w:t>
      </w:r>
      <w:r w:rsidRPr="00E47AA9">
        <w:rPr>
          <w:rFonts w:ascii="Times New Roman" w:hAnsi="Times New Roman" w:cs="Times New Roman"/>
          <w:iCs/>
          <w:sz w:val="28"/>
          <w:szCs w:val="28"/>
        </w:rPr>
        <w:lastRenderedPageBreak/>
        <w:t>направленные на недопущение затопления сельских населенных пунктов Приморского края, расположенных на береговой территории озера Ханка</w:t>
      </w:r>
      <w:r w:rsidRPr="00E47AA9">
        <w:rPr>
          <w:rFonts w:ascii="Times New Roman" w:hAnsi="Times New Roman" w:cs="Times New Roman"/>
          <w:i/>
          <w:iCs/>
          <w:sz w:val="28"/>
          <w:szCs w:val="28"/>
        </w:rPr>
        <w:t xml:space="preserve">. </w:t>
      </w:r>
      <w:r w:rsidRPr="00E47AA9">
        <w:rPr>
          <w:rFonts w:ascii="Times New Roman" w:hAnsi="Times New Roman" w:cs="Times New Roman"/>
          <w:iCs/>
          <w:sz w:val="28"/>
          <w:szCs w:val="28"/>
        </w:rPr>
        <w:t xml:space="preserve">Бюджетные средства </w:t>
      </w:r>
      <w:r w:rsidRPr="00E47AA9">
        <w:rPr>
          <w:rFonts w:ascii="Times New Roman" w:hAnsi="Times New Roman" w:cs="Times New Roman"/>
          <w:sz w:val="28"/>
          <w:szCs w:val="28"/>
        </w:rPr>
        <w:t xml:space="preserve">направлены на недопущение затопления </w:t>
      </w:r>
      <w:r w:rsidRPr="00E47AA9">
        <w:rPr>
          <w:rFonts w:ascii="Times New Roman" w:hAnsi="Times New Roman" w:cs="Times New Roman"/>
          <w:sz w:val="28"/>
          <w:szCs w:val="28"/>
          <w:lang w:eastAsia="ru-RU"/>
        </w:rPr>
        <w:t>374 подворий граждан,</w:t>
      </w:r>
      <w:r w:rsidRPr="00E47AA9">
        <w:rPr>
          <w:rFonts w:ascii="Times New Roman" w:hAnsi="Times New Roman" w:cs="Times New Roman"/>
          <w:sz w:val="28"/>
          <w:szCs w:val="28"/>
        </w:rPr>
        <w:t xml:space="preserve"> </w:t>
      </w:r>
      <w:r w:rsidRPr="00E47AA9">
        <w:rPr>
          <w:rFonts w:ascii="Times New Roman" w:hAnsi="Times New Roman" w:cs="Times New Roman"/>
          <w:sz w:val="28"/>
          <w:szCs w:val="28"/>
          <w:lang w:eastAsia="ru-RU"/>
        </w:rPr>
        <w:t>расположенных на</w:t>
      </w:r>
      <w:r w:rsidRPr="00E47AA9">
        <w:rPr>
          <w:rFonts w:ascii="Times New Roman" w:hAnsi="Times New Roman" w:cs="Times New Roman"/>
          <w:sz w:val="28"/>
          <w:szCs w:val="28"/>
        </w:rPr>
        <w:t xml:space="preserve"> береговой линии озера Ханка;</w:t>
      </w:r>
    </w:p>
    <w:p w14:paraId="4834931C" w14:textId="77777777" w:rsidR="00F20278" w:rsidRPr="00E47AA9" w:rsidRDefault="00F20278" w:rsidP="00F20278">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bCs/>
          <w:sz w:val="28"/>
          <w:szCs w:val="28"/>
          <w:u w:val="single"/>
        </w:rPr>
        <w:t>по департаменту информационной политики Приморского края</w:t>
      </w:r>
      <w:r w:rsidRPr="00E47AA9">
        <w:rPr>
          <w:rFonts w:ascii="Times New Roman" w:hAnsi="Times New Roman" w:cs="Times New Roman"/>
          <w:bCs/>
          <w:sz w:val="28"/>
          <w:szCs w:val="28"/>
        </w:rPr>
        <w:t xml:space="preserve"> – 2,12 млн рублей </w:t>
      </w:r>
      <w:r w:rsidRPr="00E47AA9">
        <w:rPr>
          <w:rFonts w:ascii="Times New Roman" w:eastAsia="Calibri" w:hAnsi="Times New Roman" w:cs="Times New Roman"/>
          <w:sz w:val="28"/>
          <w:szCs w:val="28"/>
        </w:rPr>
        <w:t xml:space="preserve">в полном объеме на </w:t>
      </w:r>
      <w:r w:rsidRPr="00E47AA9">
        <w:rPr>
          <w:rFonts w:ascii="Times New Roman" w:hAnsi="Times New Roman" w:cs="Times New Roman"/>
          <w:iCs/>
          <w:sz w:val="28"/>
          <w:szCs w:val="28"/>
        </w:rPr>
        <w:t xml:space="preserve">пропаганду в области защиты населения и территории от чрезвычайных ситуаций природного и техногенного характера, пожарной безопасности и безопасности людей на водных объектах. В 2024 году </w:t>
      </w:r>
      <w:r w:rsidRPr="00E47AA9">
        <w:rPr>
          <w:rFonts w:ascii="Times New Roman" w:hAnsi="Times New Roman" w:cs="Times New Roman"/>
          <w:sz w:val="28"/>
          <w:szCs w:val="28"/>
        </w:rPr>
        <w:t xml:space="preserve">заключены государственные контракты с ООО </w:t>
      </w:r>
      <w:r w:rsidRPr="00E47AA9">
        <w:rPr>
          <w:rFonts w:ascii="Times New Roman" w:eastAsia="Times New Roman" w:hAnsi="Times New Roman" w:cs="Times New Roman"/>
          <w:sz w:val="28"/>
          <w:szCs w:val="28"/>
          <w:lang w:eastAsia="ru-RU"/>
        </w:rPr>
        <w:t>"</w:t>
      </w:r>
      <w:proofErr w:type="spellStart"/>
      <w:r w:rsidRPr="00E47AA9">
        <w:rPr>
          <w:rFonts w:ascii="Times New Roman" w:eastAsia="Times New Roman" w:hAnsi="Times New Roman" w:cs="Times New Roman"/>
          <w:sz w:val="28"/>
          <w:szCs w:val="28"/>
          <w:lang w:eastAsia="ru-RU"/>
        </w:rPr>
        <w:t>Интеррейтинг</w:t>
      </w:r>
      <w:proofErr w:type="spellEnd"/>
      <w:r w:rsidRPr="00E47AA9">
        <w:rPr>
          <w:rFonts w:ascii="Times New Roman" w:eastAsia="Times New Roman" w:hAnsi="Times New Roman" w:cs="Times New Roman"/>
          <w:sz w:val="28"/>
          <w:szCs w:val="28"/>
          <w:lang w:eastAsia="ru-RU"/>
        </w:rPr>
        <w:t xml:space="preserve">" на оказание услуг по изготовлению </w:t>
      </w:r>
      <w:proofErr w:type="spellStart"/>
      <w:r w:rsidRPr="00E47AA9">
        <w:rPr>
          <w:rFonts w:ascii="Times New Roman" w:eastAsia="Times New Roman" w:hAnsi="Times New Roman" w:cs="Times New Roman"/>
          <w:sz w:val="28"/>
          <w:szCs w:val="28"/>
          <w:lang w:eastAsia="ru-RU"/>
        </w:rPr>
        <w:t>аудиороликов</w:t>
      </w:r>
      <w:proofErr w:type="spellEnd"/>
      <w:r w:rsidRPr="00E47AA9">
        <w:rPr>
          <w:rFonts w:ascii="Times New Roman" w:eastAsia="Times New Roman" w:hAnsi="Times New Roman" w:cs="Times New Roman"/>
          <w:sz w:val="28"/>
          <w:szCs w:val="28"/>
          <w:lang w:eastAsia="ru-RU"/>
        </w:rPr>
        <w:t xml:space="preserve">: "Сохрани лес от пожара" и "Не жги костры", с последующим размещением </w:t>
      </w:r>
      <w:r w:rsidRPr="00E47AA9">
        <w:rPr>
          <w:rFonts w:ascii="Times New Roman" w:hAnsi="Times New Roman" w:cs="Times New Roman"/>
          <w:sz w:val="28"/>
          <w:szCs w:val="28"/>
        </w:rPr>
        <w:t xml:space="preserve">на 24 </w:t>
      </w:r>
      <w:r w:rsidRPr="00E47AA9">
        <w:rPr>
          <w:rFonts w:ascii="Times New Roman" w:eastAsia="Times New Roman" w:hAnsi="Times New Roman" w:cs="Times New Roman"/>
          <w:sz w:val="28"/>
          <w:szCs w:val="28"/>
          <w:lang w:eastAsia="ru-RU"/>
        </w:rPr>
        <w:t xml:space="preserve">радиоканалах Приморского края в </w:t>
      </w:r>
      <w:r w:rsidRPr="00E47AA9">
        <w:rPr>
          <w:rFonts w:ascii="Times New Roman" w:hAnsi="Times New Roman" w:cs="Times New Roman"/>
          <w:sz w:val="28"/>
          <w:szCs w:val="28"/>
        </w:rPr>
        <w:t xml:space="preserve">общим объемом </w:t>
      </w:r>
      <w:r w:rsidRPr="00E47AA9">
        <w:rPr>
          <w:rFonts w:ascii="Times New Roman" w:hAnsi="Times New Roman" w:cs="Times New Roman"/>
          <w:bCs/>
          <w:sz w:val="28"/>
          <w:szCs w:val="28"/>
        </w:rPr>
        <w:t xml:space="preserve">2280 </w:t>
      </w:r>
      <w:r w:rsidRPr="00E47AA9">
        <w:rPr>
          <w:rFonts w:ascii="Times New Roman" w:hAnsi="Times New Roman" w:cs="Times New Roman"/>
          <w:sz w:val="28"/>
          <w:szCs w:val="28"/>
        </w:rPr>
        <w:t xml:space="preserve">выходов. Вещание осуществлялось в </w:t>
      </w:r>
      <w:r w:rsidRPr="00E47AA9">
        <w:rPr>
          <w:rFonts w:ascii="Times New Roman" w:hAnsi="Times New Roman" w:cs="Times New Roman"/>
          <w:sz w:val="28"/>
          <w:szCs w:val="28"/>
          <w:lang w:val="en-US"/>
        </w:rPr>
        <w:t>FM</w:t>
      </w:r>
      <w:r w:rsidRPr="00E47AA9">
        <w:rPr>
          <w:rFonts w:ascii="Times New Roman" w:hAnsi="Times New Roman" w:cs="Times New Roman"/>
          <w:sz w:val="28"/>
          <w:szCs w:val="28"/>
        </w:rPr>
        <w:t xml:space="preserve"> – диапазоне, с территорией вещания, охватывающей города Владивосток, Уссурийск, Находка, Арсеньев, Дальнегорск, Спасск-Дальний, Дальнереченск, пгт </w:t>
      </w:r>
      <w:proofErr w:type="spellStart"/>
      <w:r w:rsidRPr="00E47AA9">
        <w:rPr>
          <w:rFonts w:ascii="Times New Roman" w:hAnsi="Times New Roman" w:cs="Times New Roman"/>
          <w:sz w:val="28"/>
          <w:szCs w:val="28"/>
        </w:rPr>
        <w:t>Лучегорск</w:t>
      </w:r>
      <w:proofErr w:type="spellEnd"/>
      <w:r w:rsidRPr="00E47AA9">
        <w:rPr>
          <w:rFonts w:ascii="Times New Roman" w:hAnsi="Times New Roman" w:cs="Times New Roman"/>
          <w:sz w:val="28"/>
          <w:szCs w:val="28"/>
        </w:rPr>
        <w:t xml:space="preserve">, Кавалеровский и </w:t>
      </w:r>
      <w:proofErr w:type="spellStart"/>
      <w:r w:rsidRPr="00E47AA9">
        <w:rPr>
          <w:rFonts w:ascii="Times New Roman" w:hAnsi="Times New Roman" w:cs="Times New Roman"/>
          <w:sz w:val="28"/>
          <w:szCs w:val="28"/>
        </w:rPr>
        <w:t>Лазовский</w:t>
      </w:r>
      <w:proofErr w:type="spellEnd"/>
      <w:r w:rsidRPr="00E47AA9">
        <w:rPr>
          <w:rFonts w:ascii="Times New Roman" w:hAnsi="Times New Roman" w:cs="Times New Roman"/>
          <w:sz w:val="28"/>
          <w:szCs w:val="28"/>
        </w:rPr>
        <w:t xml:space="preserve"> муниципальные округа. Также заключены 2 контракта с ИП </w:t>
      </w:r>
      <w:proofErr w:type="spellStart"/>
      <w:r w:rsidRPr="00E47AA9">
        <w:rPr>
          <w:rFonts w:ascii="Times New Roman" w:hAnsi="Times New Roman" w:cs="Times New Roman"/>
          <w:sz w:val="28"/>
          <w:szCs w:val="28"/>
        </w:rPr>
        <w:t>Михиденко</w:t>
      </w:r>
      <w:proofErr w:type="spellEnd"/>
      <w:r w:rsidRPr="00E47AA9">
        <w:rPr>
          <w:rFonts w:ascii="Times New Roman" w:hAnsi="Times New Roman" w:cs="Times New Roman"/>
          <w:sz w:val="28"/>
          <w:szCs w:val="28"/>
        </w:rPr>
        <w:t xml:space="preserve"> А.В. на оказание услуг по изготовлению полиграфической продукции, </w:t>
      </w:r>
      <w:r w:rsidRPr="00E47AA9">
        <w:rPr>
          <w:rFonts w:ascii="Times New Roman" w:eastAsia="Calibri" w:hAnsi="Times New Roman" w:cs="Times New Roman"/>
          <w:bCs/>
          <w:sz w:val="28"/>
          <w:szCs w:val="28"/>
          <w:lang w:eastAsia="ar-SA"/>
        </w:rPr>
        <w:t xml:space="preserve">направленной </w:t>
      </w:r>
      <w:r w:rsidRPr="00E47AA9">
        <w:rPr>
          <w:rFonts w:ascii="Times New Roman" w:eastAsia="Calibri" w:hAnsi="Times New Roman" w:cs="Times New Roman"/>
          <w:bCs/>
          <w:sz w:val="28"/>
          <w:szCs w:val="28"/>
          <w:lang w:eastAsia="ar-SA"/>
        </w:rPr>
        <w:br/>
        <w:t>на противопожарную пропаганду, в количестве 50 тысяч штук.</w:t>
      </w:r>
    </w:p>
    <w:p w14:paraId="23FC70C4" w14:textId="43D6CFBF" w:rsidR="00F20278" w:rsidRPr="00E47AA9" w:rsidRDefault="00F20278" w:rsidP="00F20278">
      <w:pPr>
        <w:spacing w:after="0" w:line="240" w:lineRule="auto"/>
        <w:ind w:firstLine="709"/>
        <w:jc w:val="both"/>
        <w:rPr>
          <w:rFonts w:ascii="Times New Roman" w:eastAsia="Calibri" w:hAnsi="Times New Roman" w:cs="Times New Roman"/>
          <w:bCs/>
          <w:sz w:val="28"/>
          <w:szCs w:val="28"/>
        </w:rPr>
      </w:pPr>
      <w:r w:rsidRPr="00E47AA9">
        <w:rPr>
          <w:rFonts w:ascii="Times New Roman" w:eastAsia="Calibri" w:hAnsi="Times New Roman" w:cs="Times New Roman"/>
          <w:bCs/>
          <w:sz w:val="28"/>
          <w:szCs w:val="28"/>
          <w:u w:val="single"/>
        </w:rPr>
        <w:t xml:space="preserve">по министерству по делам ГО и ЧС </w:t>
      </w:r>
      <w:r w:rsidRPr="00E47AA9">
        <w:rPr>
          <w:rFonts w:ascii="Times New Roman" w:eastAsia="Calibri" w:hAnsi="Times New Roman" w:cs="Times New Roman"/>
          <w:bCs/>
          <w:sz w:val="28"/>
          <w:szCs w:val="28"/>
        </w:rPr>
        <w:t xml:space="preserve">основной объем расходов по КПМ направлен </w:t>
      </w:r>
      <w:r w:rsidRPr="00E47AA9">
        <w:rPr>
          <w:rFonts w:ascii="Times New Roman" w:hAnsi="Times New Roman" w:cs="Times New Roman"/>
          <w:iCs/>
          <w:sz w:val="28"/>
          <w:szCs w:val="28"/>
        </w:rPr>
        <w:t xml:space="preserve">на обеспечение деятельности </w:t>
      </w:r>
      <w:r w:rsidRPr="00E47AA9">
        <w:rPr>
          <w:rFonts w:ascii="Times New Roman" w:hAnsi="Times New Roman" w:cs="Times New Roman"/>
          <w:sz w:val="28"/>
          <w:szCs w:val="28"/>
        </w:rPr>
        <w:t xml:space="preserve">подведомственных учреждений министерства </w:t>
      </w:r>
      <w:r w:rsidRPr="00E47AA9">
        <w:rPr>
          <w:rFonts w:ascii="Times New Roman" w:eastAsia="Calibri" w:hAnsi="Times New Roman" w:cs="Times New Roman"/>
          <w:bCs/>
          <w:sz w:val="28"/>
          <w:szCs w:val="28"/>
        </w:rPr>
        <w:t>по делам ГО и ЧС</w:t>
      </w:r>
      <w:r w:rsidRPr="00E47AA9">
        <w:rPr>
          <w:rFonts w:ascii="Times New Roman" w:hAnsi="Times New Roman" w:cs="Times New Roman"/>
          <w:sz w:val="28"/>
          <w:szCs w:val="28"/>
        </w:rPr>
        <w:t xml:space="preserve"> – 4273,54 млн рублей, или 99,83 % (план</w:t>
      </w:r>
      <w:r w:rsidR="004703F3" w:rsidRPr="00E47AA9">
        <w:rPr>
          <w:rFonts w:ascii="Times New Roman" w:hAnsi="Times New Roman" w:cs="Times New Roman"/>
          <w:sz w:val="28"/>
          <w:szCs w:val="28"/>
        </w:rPr>
        <w:t> –</w:t>
      </w:r>
      <w:r w:rsidRPr="00E47AA9">
        <w:rPr>
          <w:rFonts w:ascii="Times New Roman" w:hAnsi="Times New Roman" w:cs="Times New Roman"/>
          <w:sz w:val="28"/>
          <w:szCs w:val="28"/>
        </w:rPr>
        <w:t>4280,75 млн рублей)</w:t>
      </w:r>
      <w:r w:rsidRPr="00E47AA9">
        <w:rPr>
          <w:rFonts w:ascii="Times New Roman" w:eastAsia="Calibri" w:hAnsi="Times New Roman" w:cs="Times New Roman"/>
          <w:bCs/>
          <w:sz w:val="28"/>
          <w:szCs w:val="28"/>
        </w:rPr>
        <w:t xml:space="preserve">, из них: </w:t>
      </w:r>
    </w:p>
    <w:p w14:paraId="267ECFA5" w14:textId="77777777" w:rsidR="00F20278" w:rsidRPr="00E47AA9" w:rsidRDefault="00F20278" w:rsidP="00F20278">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3208,35 млн рублей – на обеспечение деятельности учреждения в сфере защиты населения и территорий от чрезвычайных ситуаций, обеспечение пожарной безопасности и безопасности на водных объектах Приморского края;</w:t>
      </w:r>
    </w:p>
    <w:p w14:paraId="69F0A882" w14:textId="77777777" w:rsidR="00F20278" w:rsidRPr="00E47AA9" w:rsidRDefault="00F20278" w:rsidP="00F20278">
      <w:pPr>
        <w:spacing w:after="0" w:line="240" w:lineRule="auto"/>
        <w:ind w:firstLine="709"/>
        <w:jc w:val="both"/>
        <w:rPr>
          <w:rFonts w:ascii="Times New Roman" w:hAnsi="Times New Roman" w:cs="Times New Roman"/>
          <w:iCs/>
          <w:sz w:val="28"/>
          <w:szCs w:val="28"/>
        </w:rPr>
      </w:pPr>
      <w:r w:rsidRPr="00E47AA9">
        <w:rPr>
          <w:rFonts w:ascii="Times New Roman" w:hAnsi="Times New Roman" w:cs="Times New Roman"/>
          <w:sz w:val="28"/>
          <w:szCs w:val="28"/>
        </w:rPr>
        <w:t>88,22 млн рублей</w:t>
      </w:r>
      <w:r w:rsidRPr="00E47AA9">
        <w:rPr>
          <w:rFonts w:ascii="Times New Roman" w:hAnsi="Times New Roman" w:cs="Times New Roman"/>
          <w:i/>
          <w:sz w:val="28"/>
          <w:szCs w:val="28"/>
        </w:rPr>
        <w:t xml:space="preserve"> – </w:t>
      </w:r>
      <w:r w:rsidRPr="00E47AA9">
        <w:rPr>
          <w:rFonts w:ascii="Times New Roman" w:hAnsi="Times New Roman" w:cs="Times New Roman"/>
          <w:sz w:val="28"/>
          <w:szCs w:val="28"/>
        </w:rPr>
        <w:t>на о</w:t>
      </w:r>
      <w:r w:rsidRPr="00E47AA9">
        <w:rPr>
          <w:rFonts w:ascii="Times New Roman" w:hAnsi="Times New Roman" w:cs="Times New Roman"/>
          <w:iCs/>
          <w:sz w:val="28"/>
          <w:szCs w:val="28"/>
        </w:rPr>
        <w:t xml:space="preserve">беспечение эксплуатации комплексных систем безопасности Приморского края (расходы на ремонт, техническое обслуживание и оказание услуг на каналы связи). </w:t>
      </w:r>
      <w:r w:rsidRPr="00E47AA9">
        <w:rPr>
          <w:rFonts w:ascii="Times New Roman" w:hAnsi="Times New Roman" w:cs="Times New Roman"/>
          <w:sz w:val="28"/>
          <w:szCs w:val="28"/>
        </w:rPr>
        <w:t>Все заключенные Учреждением государственные контракты</w:t>
      </w:r>
      <w:r w:rsidRPr="00E47AA9">
        <w:rPr>
          <w:rFonts w:ascii="Times New Roman" w:hAnsi="Times New Roman" w:cs="Times New Roman"/>
          <w:sz w:val="28"/>
          <w:szCs w:val="28"/>
          <w:vertAlign w:val="superscript"/>
        </w:rPr>
        <w:footnoteReference w:id="66"/>
      </w:r>
      <w:r w:rsidRPr="00E47AA9">
        <w:rPr>
          <w:rFonts w:ascii="Times New Roman" w:hAnsi="Times New Roman" w:cs="Times New Roman"/>
          <w:sz w:val="28"/>
          <w:szCs w:val="28"/>
        </w:rPr>
        <w:t xml:space="preserve"> на приобретение товаров по эксплуатационным расходам и оказание услуг выполнены в срок и в полном объеме</w:t>
      </w:r>
      <w:r w:rsidRPr="00E47AA9">
        <w:rPr>
          <w:rFonts w:ascii="Times New Roman" w:hAnsi="Times New Roman" w:cs="Times New Roman"/>
          <w:iCs/>
          <w:sz w:val="28"/>
          <w:szCs w:val="28"/>
        </w:rPr>
        <w:t xml:space="preserve">; </w:t>
      </w:r>
    </w:p>
    <w:p w14:paraId="507D6C93" w14:textId="77777777" w:rsidR="00F20278" w:rsidRPr="00E47AA9" w:rsidRDefault="00F20278" w:rsidP="00F20278">
      <w:pPr>
        <w:spacing w:after="0" w:line="240" w:lineRule="auto"/>
        <w:ind w:firstLine="709"/>
        <w:jc w:val="both"/>
        <w:rPr>
          <w:rFonts w:ascii="Times New Roman" w:hAnsi="Times New Roman" w:cs="Times New Roman"/>
          <w:i/>
          <w:sz w:val="28"/>
          <w:szCs w:val="28"/>
        </w:rPr>
      </w:pPr>
      <w:r w:rsidRPr="00E47AA9">
        <w:rPr>
          <w:rFonts w:ascii="Times New Roman" w:hAnsi="Times New Roman" w:cs="Times New Roman"/>
          <w:iCs/>
          <w:sz w:val="28"/>
          <w:szCs w:val="28"/>
        </w:rPr>
        <w:t>77,95 млн рублей</w:t>
      </w:r>
      <w:r w:rsidRPr="00E47AA9">
        <w:rPr>
          <w:rFonts w:ascii="Times New Roman" w:hAnsi="Times New Roman" w:cs="Times New Roman"/>
          <w:i/>
          <w:iCs/>
          <w:sz w:val="28"/>
          <w:szCs w:val="28"/>
        </w:rPr>
        <w:t xml:space="preserve"> – </w:t>
      </w:r>
      <w:r w:rsidRPr="00E47AA9">
        <w:rPr>
          <w:rFonts w:ascii="Times New Roman" w:hAnsi="Times New Roman" w:cs="Times New Roman"/>
          <w:iCs/>
          <w:sz w:val="28"/>
          <w:szCs w:val="28"/>
        </w:rPr>
        <w:t xml:space="preserve">на создание, дооснащение и содержание единой системы оповещения населения об опасностях, возникающих при ведении </w:t>
      </w:r>
      <w:r w:rsidRPr="00E47AA9">
        <w:rPr>
          <w:rFonts w:ascii="Times New Roman" w:hAnsi="Times New Roman" w:cs="Times New Roman"/>
          <w:iCs/>
          <w:sz w:val="28"/>
          <w:szCs w:val="28"/>
        </w:rPr>
        <w:lastRenderedPageBreak/>
        <w:t xml:space="preserve">военных действий или вследствие этих действий, а также при возникновении чрезвычайных ситуаций природного и техногенного характера и осуществлении мероприятий по гражданской обороне и мобилизационной подготовке. </w:t>
      </w:r>
      <w:r w:rsidRPr="00E47AA9">
        <w:rPr>
          <w:rFonts w:ascii="Times New Roman" w:eastAsia="Times New Roman" w:hAnsi="Times New Roman" w:cs="Times New Roman"/>
          <w:i/>
          <w:sz w:val="28"/>
          <w:szCs w:val="28"/>
          <w:lang w:eastAsia="ru-RU"/>
        </w:rPr>
        <w:t xml:space="preserve">Справочно: </w:t>
      </w:r>
      <w:r w:rsidR="000B0A97" w:rsidRPr="00E47AA9">
        <w:rPr>
          <w:rFonts w:ascii="Times New Roman" w:eastAsia="Times New Roman" w:hAnsi="Times New Roman" w:cs="Times New Roman"/>
          <w:i/>
          <w:sz w:val="28"/>
          <w:szCs w:val="28"/>
          <w:lang w:eastAsia="ru-RU"/>
        </w:rPr>
        <w:t>п</w:t>
      </w:r>
      <w:r w:rsidRPr="00E47AA9">
        <w:rPr>
          <w:rFonts w:ascii="Times New Roman" w:eastAsia="Times New Roman" w:hAnsi="Times New Roman" w:cs="Times New Roman"/>
          <w:i/>
          <w:sz w:val="28"/>
          <w:szCs w:val="28"/>
          <w:lang w:eastAsia="ru-RU"/>
        </w:rPr>
        <w:t xml:space="preserve">о информации министерства </w:t>
      </w:r>
      <w:r w:rsidRPr="00E47AA9">
        <w:rPr>
          <w:rFonts w:ascii="Times New Roman" w:hAnsi="Times New Roman" w:cs="Times New Roman"/>
          <w:i/>
          <w:iCs/>
          <w:sz w:val="28"/>
          <w:szCs w:val="28"/>
        </w:rPr>
        <w:t>все</w:t>
      </w:r>
      <w:r w:rsidRPr="00E47AA9">
        <w:rPr>
          <w:rFonts w:ascii="Times New Roman" w:hAnsi="Times New Roman" w:cs="Times New Roman"/>
          <w:i/>
          <w:sz w:val="28"/>
          <w:szCs w:val="28"/>
        </w:rPr>
        <w:t xml:space="preserve"> заключенные </w:t>
      </w:r>
      <w:r w:rsidRPr="00E47AA9">
        <w:rPr>
          <w:rFonts w:ascii="Times New Roman" w:eastAsia="Times New Roman" w:hAnsi="Times New Roman" w:cs="Times New Roman"/>
          <w:i/>
          <w:sz w:val="28"/>
          <w:szCs w:val="28"/>
          <w:lang w:eastAsia="ru-RU"/>
        </w:rPr>
        <w:t>Г</w:t>
      </w:r>
      <w:r w:rsidRPr="00E47AA9">
        <w:rPr>
          <w:rFonts w:ascii="Times New Roman" w:hAnsi="Times New Roman" w:cs="Times New Roman"/>
          <w:i/>
          <w:sz w:val="28"/>
          <w:szCs w:val="28"/>
        </w:rPr>
        <w:t>осударственным казенным учреждением Приморского края по пожарной безопасности, делам гражданской обороны, защите населения и территорий от чрезвычайных ситуаций (далее – Учреждение) государственные контракты</w:t>
      </w:r>
      <w:r w:rsidRPr="00E47AA9">
        <w:rPr>
          <w:rFonts w:ascii="Times New Roman" w:hAnsi="Times New Roman" w:cs="Times New Roman"/>
          <w:i/>
          <w:sz w:val="28"/>
          <w:szCs w:val="28"/>
          <w:vertAlign w:val="superscript"/>
        </w:rPr>
        <w:footnoteReference w:id="67"/>
      </w:r>
      <w:r w:rsidRPr="00E47AA9">
        <w:rPr>
          <w:rFonts w:ascii="Times New Roman" w:hAnsi="Times New Roman" w:cs="Times New Roman"/>
          <w:i/>
          <w:sz w:val="28"/>
          <w:szCs w:val="28"/>
        </w:rPr>
        <w:t xml:space="preserve"> на приобретение товаров выполнены в срок и в полном объеме;</w:t>
      </w:r>
    </w:p>
    <w:p w14:paraId="76BB2C13" w14:textId="77777777" w:rsidR="00F20278" w:rsidRPr="00E47AA9" w:rsidRDefault="00F20278" w:rsidP="00F20278">
      <w:pPr>
        <w:spacing w:after="0" w:line="240" w:lineRule="auto"/>
        <w:ind w:firstLine="709"/>
        <w:jc w:val="both"/>
        <w:rPr>
          <w:rFonts w:ascii="Times New Roman" w:hAnsi="Times New Roman" w:cs="Times New Roman"/>
          <w:i/>
          <w:sz w:val="28"/>
          <w:szCs w:val="28"/>
        </w:rPr>
      </w:pPr>
      <w:r w:rsidRPr="00E47AA9">
        <w:rPr>
          <w:rFonts w:ascii="Times New Roman" w:eastAsia="Times New Roman" w:hAnsi="Times New Roman" w:cs="Times New Roman"/>
          <w:sz w:val="28"/>
          <w:szCs w:val="28"/>
          <w:lang w:eastAsia="ru-RU"/>
        </w:rPr>
        <w:t>33,00 млн рублей – на р</w:t>
      </w:r>
      <w:r w:rsidRPr="00E47AA9">
        <w:rPr>
          <w:rFonts w:ascii="Times New Roman" w:hAnsi="Times New Roman" w:cs="Times New Roman"/>
          <w:iCs/>
          <w:sz w:val="28"/>
          <w:szCs w:val="28"/>
        </w:rPr>
        <w:t>азвитие материально-технической базы поисково-спасательной службы Приморского края</w:t>
      </w:r>
      <w:r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i/>
          <w:sz w:val="28"/>
          <w:szCs w:val="28"/>
          <w:lang w:eastAsia="ru-RU"/>
        </w:rPr>
        <w:t xml:space="preserve"> Справочно:</w:t>
      </w:r>
      <w:r w:rsidR="007C678E" w:rsidRPr="00E47AA9">
        <w:rPr>
          <w:rFonts w:ascii="Times New Roman" w:eastAsia="Times New Roman" w:hAnsi="Times New Roman" w:cs="Times New Roman"/>
          <w:i/>
          <w:sz w:val="28"/>
          <w:szCs w:val="28"/>
          <w:lang w:eastAsia="ru-RU"/>
        </w:rPr>
        <w:t xml:space="preserve"> у</w:t>
      </w:r>
      <w:r w:rsidRPr="00E47AA9">
        <w:rPr>
          <w:rFonts w:ascii="Times New Roman" w:hAnsi="Times New Roman" w:cs="Times New Roman"/>
          <w:i/>
          <w:sz w:val="28"/>
          <w:szCs w:val="28"/>
        </w:rPr>
        <w:t>чреждением заключены государственные контракты: с ООО "</w:t>
      </w:r>
      <w:proofErr w:type="spellStart"/>
      <w:r w:rsidRPr="00E47AA9">
        <w:rPr>
          <w:rFonts w:ascii="Times New Roman" w:hAnsi="Times New Roman" w:cs="Times New Roman"/>
          <w:i/>
          <w:sz w:val="28"/>
          <w:szCs w:val="28"/>
        </w:rPr>
        <w:t>Альбионик</w:t>
      </w:r>
      <w:proofErr w:type="spellEnd"/>
      <w:r w:rsidRPr="00E47AA9">
        <w:rPr>
          <w:rFonts w:ascii="Times New Roman" w:hAnsi="Times New Roman" w:cs="Times New Roman"/>
          <w:i/>
          <w:sz w:val="28"/>
          <w:szCs w:val="28"/>
        </w:rPr>
        <w:t>" на поставку сборно-разборного модуля базы поисково-спасательного отряда № 3 с</w:t>
      </w:r>
      <w:r w:rsidR="007C678E" w:rsidRPr="00E47AA9">
        <w:rPr>
          <w:rFonts w:ascii="Times New Roman" w:hAnsi="Times New Roman" w:cs="Times New Roman"/>
          <w:i/>
          <w:sz w:val="28"/>
          <w:szCs w:val="28"/>
        </w:rPr>
        <w:t>о</w:t>
      </w:r>
      <w:r w:rsidRPr="00E47AA9">
        <w:rPr>
          <w:rFonts w:ascii="Times New Roman" w:hAnsi="Times New Roman" w:cs="Times New Roman"/>
          <w:i/>
          <w:sz w:val="28"/>
          <w:szCs w:val="28"/>
        </w:rPr>
        <w:t xml:space="preserve"> складским помещением, расположенного в пос. Новый </w:t>
      </w:r>
      <w:proofErr w:type="spellStart"/>
      <w:r w:rsidRPr="00E47AA9">
        <w:rPr>
          <w:rFonts w:ascii="Times New Roman" w:hAnsi="Times New Roman" w:cs="Times New Roman"/>
          <w:i/>
          <w:sz w:val="28"/>
          <w:szCs w:val="28"/>
        </w:rPr>
        <w:t>Надеждинского</w:t>
      </w:r>
      <w:proofErr w:type="spellEnd"/>
      <w:r w:rsidRPr="00E47AA9">
        <w:rPr>
          <w:rFonts w:ascii="Times New Roman" w:hAnsi="Times New Roman" w:cs="Times New Roman"/>
          <w:i/>
          <w:sz w:val="28"/>
          <w:szCs w:val="28"/>
        </w:rPr>
        <w:t xml:space="preserve"> МР (31,52 млн рублей), с ИП Киселев И.И. и ООО "АМУР СЕРВИС" на поставку мебели и скального грунта (1,44 млн рублей); за наличный расчет приобретены жалюзи для модуля базы поисково-спасательного отряда на сумму 0,03 млн рублей;</w:t>
      </w:r>
    </w:p>
    <w:p w14:paraId="0596CB98" w14:textId="77777777" w:rsidR="00F20278" w:rsidRPr="00E47AA9" w:rsidRDefault="00F20278" w:rsidP="00F20278">
      <w:pPr>
        <w:shd w:val="clear" w:color="auto" w:fill="FFFFFF" w:themeFill="background1"/>
        <w:spacing w:after="0" w:line="240" w:lineRule="auto"/>
        <w:ind w:firstLine="709"/>
        <w:jc w:val="both"/>
        <w:rPr>
          <w:rFonts w:ascii="Times New Roman" w:hAnsi="Times New Roman" w:cs="Times New Roman"/>
          <w:i/>
          <w:sz w:val="28"/>
          <w:szCs w:val="28"/>
        </w:rPr>
      </w:pPr>
      <w:r w:rsidRPr="00E47AA9">
        <w:rPr>
          <w:rFonts w:ascii="Times New Roman" w:hAnsi="Times New Roman" w:cs="Times New Roman"/>
          <w:sz w:val="28"/>
          <w:szCs w:val="28"/>
        </w:rPr>
        <w:t>31,51 млн рублей</w:t>
      </w:r>
      <w:r w:rsidRPr="00E47AA9">
        <w:rPr>
          <w:rFonts w:ascii="Times New Roman" w:hAnsi="Times New Roman" w:cs="Times New Roman"/>
          <w:iCs/>
          <w:sz w:val="28"/>
          <w:szCs w:val="28"/>
        </w:rPr>
        <w:t xml:space="preserve"> – на модернизацию и оснащение автопарка спецтехники, пожарно-технического вооружения и другого пожарно-спасательного имущества государственной противопожарной службы Приморского края</w:t>
      </w:r>
      <w:r w:rsidRPr="00E47AA9">
        <w:rPr>
          <w:rFonts w:ascii="Times New Roman" w:hAnsi="Times New Roman" w:cs="Times New Roman"/>
          <w:sz w:val="28"/>
          <w:szCs w:val="28"/>
        </w:rPr>
        <w:t xml:space="preserve">. </w:t>
      </w:r>
      <w:r w:rsidRPr="00E47AA9">
        <w:rPr>
          <w:rFonts w:ascii="Times New Roman" w:hAnsi="Times New Roman" w:cs="Times New Roman"/>
          <w:i/>
          <w:sz w:val="28"/>
          <w:szCs w:val="28"/>
        </w:rPr>
        <w:t>Учреждением выполнены все заключенные государственные контракты (3 контракта с ООО "ПТО-ПТС" (12,48 млн рублей); 2 контракта с ООО "ВСВ" (2,42 млн рублей) и 7 контрактов с индивидуальным предпринимателем и коммерческими организациями (16,61 млн рублей);</w:t>
      </w:r>
    </w:p>
    <w:p w14:paraId="050D2EE9" w14:textId="77777777" w:rsidR="00F20278" w:rsidRPr="00E47AA9" w:rsidRDefault="00F20278" w:rsidP="00F20278">
      <w:pPr>
        <w:shd w:val="clear" w:color="auto" w:fill="FFFFFF" w:themeFill="background1"/>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283,80 млн рублей – </w:t>
      </w:r>
      <w:r w:rsidRPr="00E47AA9">
        <w:rPr>
          <w:rFonts w:ascii="Times New Roman" w:hAnsi="Times New Roman" w:cs="Times New Roman"/>
          <w:iCs/>
          <w:sz w:val="28"/>
          <w:szCs w:val="28"/>
        </w:rPr>
        <w:t>на обеспечение деятельности аварийно-спасательных служб и аварийно-спасательных формирований</w:t>
      </w:r>
      <w:r w:rsidRPr="00E47AA9">
        <w:rPr>
          <w:rFonts w:ascii="Times New Roman" w:hAnsi="Times New Roman" w:cs="Times New Roman"/>
          <w:sz w:val="28"/>
          <w:szCs w:val="28"/>
        </w:rPr>
        <w:t xml:space="preserve"> учреждения;</w:t>
      </w:r>
    </w:p>
    <w:p w14:paraId="65CD45F5" w14:textId="77777777" w:rsidR="00F20278" w:rsidRPr="00E47AA9" w:rsidRDefault="00F20278" w:rsidP="00F20278">
      <w:pPr>
        <w:shd w:val="clear" w:color="auto" w:fill="FFFFFF" w:themeFill="background1"/>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244,93 млн рублей – на обеспечение деятельности учреждения в сфере защиты населения и территорий от чрезвычайных ситуаций, обеспечение пожарной безопасности и безопасности на водных объектах Приморского края;</w:t>
      </w:r>
    </w:p>
    <w:p w14:paraId="0F01B361" w14:textId="0A809256" w:rsidR="00F20278" w:rsidRPr="00E47AA9" w:rsidRDefault="00F20278" w:rsidP="00F20278">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212,54 млн рублей</w:t>
      </w:r>
      <w:r w:rsidRPr="00E47AA9">
        <w:rPr>
          <w:rFonts w:ascii="Times New Roman" w:hAnsi="Times New Roman" w:cs="Times New Roman"/>
          <w:iCs/>
          <w:sz w:val="28"/>
          <w:szCs w:val="28"/>
        </w:rPr>
        <w:t xml:space="preserve"> – на развитие инфраструктуры государственной противопожарной службы Приморского края</w:t>
      </w:r>
      <w:r w:rsidRPr="00E47AA9">
        <w:rPr>
          <w:rFonts w:ascii="Times New Roman" w:hAnsi="Times New Roman" w:cs="Times New Roman"/>
          <w:sz w:val="28"/>
          <w:szCs w:val="28"/>
        </w:rPr>
        <w:t xml:space="preserve">. За 2024 год установлены: </w:t>
      </w:r>
      <w:r w:rsidRPr="00E47AA9">
        <w:rPr>
          <w:rFonts w:ascii="Times New Roman" w:hAnsi="Times New Roman" w:cs="Times New Roman"/>
          <w:sz w:val="28"/>
          <w:szCs w:val="28"/>
        </w:rPr>
        <w:br/>
        <w:t xml:space="preserve">7 сборно-разборных модулей пожарных депо – в населенных пунктах Приморского края (в пос. Новонежино и пгт </w:t>
      </w:r>
      <w:proofErr w:type="spellStart"/>
      <w:r w:rsidRPr="00E47AA9">
        <w:rPr>
          <w:rFonts w:ascii="Times New Roman" w:hAnsi="Times New Roman" w:cs="Times New Roman"/>
          <w:sz w:val="28"/>
          <w:szCs w:val="28"/>
        </w:rPr>
        <w:t>Смоляниново</w:t>
      </w:r>
      <w:proofErr w:type="spellEnd"/>
      <w:r w:rsidRPr="00E47AA9">
        <w:rPr>
          <w:rFonts w:ascii="Times New Roman" w:hAnsi="Times New Roman" w:cs="Times New Roman"/>
          <w:sz w:val="28"/>
          <w:szCs w:val="28"/>
        </w:rPr>
        <w:t xml:space="preserve"> </w:t>
      </w:r>
      <w:proofErr w:type="spellStart"/>
      <w:r w:rsidRPr="00E47AA9">
        <w:rPr>
          <w:rFonts w:ascii="Times New Roman" w:hAnsi="Times New Roman" w:cs="Times New Roman"/>
          <w:sz w:val="28"/>
          <w:szCs w:val="28"/>
        </w:rPr>
        <w:t>Шкотовского</w:t>
      </w:r>
      <w:proofErr w:type="spellEnd"/>
      <w:r w:rsidRPr="00E47AA9">
        <w:rPr>
          <w:rFonts w:ascii="Times New Roman" w:hAnsi="Times New Roman" w:cs="Times New Roman"/>
          <w:sz w:val="28"/>
          <w:szCs w:val="28"/>
        </w:rPr>
        <w:t xml:space="preserve"> МО, Зеркальное Кавалеровского МО, с. </w:t>
      </w:r>
      <w:proofErr w:type="spellStart"/>
      <w:r w:rsidRPr="00E47AA9">
        <w:rPr>
          <w:rFonts w:ascii="Times New Roman" w:hAnsi="Times New Roman" w:cs="Times New Roman"/>
          <w:sz w:val="28"/>
          <w:szCs w:val="28"/>
        </w:rPr>
        <w:t>Жариково</w:t>
      </w:r>
      <w:proofErr w:type="spellEnd"/>
      <w:r w:rsidRPr="00E47AA9">
        <w:rPr>
          <w:rFonts w:ascii="Times New Roman" w:hAnsi="Times New Roman" w:cs="Times New Roman"/>
          <w:sz w:val="28"/>
          <w:szCs w:val="28"/>
        </w:rPr>
        <w:t xml:space="preserve"> Пограничного МО, с.</w:t>
      </w:r>
      <w:r w:rsidR="007C678E" w:rsidRPr="00E47AA9">
        <w:rPr>
          <w:rFonts w:ascii="Times New Roman" w:hAnsi="Times New Roman" w:cs="Times New Roman"/>
          <w:sz w:val="28"/>
          <w:szCs w:val="28"/>
        </w:rPr>
        <w:t> </w:t>
      </w:r>
      <w:proofErr w:type="spellStart"/>
      <w:r w:rsidRPr="00E47AA9">
        <w:rPr>
          <w:rFonts w:ascii="Times New Roman" w:hAnsi="Times New Roman" w:cs="Times New Roman"/>
          <w:sz w:val="28"/>
          <w:szCs w:val="28"/>
        </w:rPr>
        <w:t>Крыловка</w:t>
      </w:r>
      <w:proofErr w:type="spellEnd"/>
      <w:r w:rsidRPr="00E47AA9">
        <w:rPr>
          <w:rFonts w:ascii="Times New Roman" w:hAnsi="Times New Roman" w:cs="Times New Roman"/>
          <w:sz w:val="28"/>
          <w:szCs w:val="28"/>
        </w:rPr>
        <w:t xml:space="preserve"> </w:t>
      </w:r>
      <w:r w:rsidRPr="00E47AA9">
        <w:rPr>
          <w:rFonts w:ascii="Times New Roman" w:hAnsi="Times New Roman" w:cs="Times New Roman"/>
          <w:sz w:val="28"/>
          <w:szCs w:val="28"/>
        </w:rPr>
        <w:lastRenderedPageBreak/>
        <w:t xml:space="preserve">Кировского МО, с. Новогеоргиевка Октябрьского МО, с. Самарка </w:t>
      </w:r>
      <w:proofErr w:type="spellStart"/>
      <w:r w:rsidRPr="00E47AA9">
        <w:rPr>
          <w:rFonts w:ascii="Times New Roman" w:hAnsi="Times New Roman" w:cs="Times New Roman"/>
          <w:sz w:val="28"/>
          <w:szCs w:val="28"/>
        </w:rPr>
        <w:t>Чугуевского</w:t>
      </w:r>
      <w:proofErr w:type="spellEnd"/>
      <w:r w:rsidRPr="00E47AA9">
        <w:rPr>
          <w:rFonts w:ascii="Times New Roman" w:hAnsi="Times New Roman" w:cs="Times New Roman"/>
          <w:sz w:val="28"/>
          <w:szCs w:val="28"/>
        </w:rPr>
        <w:t xml:space="preserve"> ГО); 1 сборно-разборный модуль (гараж) для дополнительного размещения двух единиц пожарной техники в пгт Преображение </w:t>
      </w:r>
      <w:proofErr w:type="spellStart"/>
      <w:r w:rsidR="00EC5258" w:rsidRPr="00E47AA9">
        <w:rPr>
          <w:rFonts w:ascii="Times New Roman" w:hAnsi="Times New Roman" w:cs="Times New Roman"/>
          <w:sz w:val="28"/>
          <w:szCs w:val="28"/>
        </w:rPr>
        <w:t>Лазовского</w:t>
      </w:r>
      <w:proofErr w:type="spellEnd"/>
      <w:r w:rsidRPr="00E47AA9">
        <w:rPr>
          <w:rFonts w:ascii="Times New Roman" w:hAnsi="Times New Roman" w:cs="Times New Roman"/>
          <w:sz w:val="28"/>
          <w:szCs w:val="28"/>
        </w:rPr>
        <w:t xml:space="preserve"> МО;</w:t>
      </w:r>
    </w:p>
    <w:p w14:paraId="4F4B4EE1" w14:textId="77777777" w:rsidR="00F20278" w:rsidRPr="00E47AA9" w:rsidRDefault="00F20278" w:rsidP="00F20278">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28,27 млн рублей – на обеспечение деятельности краевого государственного образовательного казенного учреждения дополнительного профессионального образования "Учебно-методический центр по гражданской обороне, чрезвычайным ситуациям и пожарной безопасности Приморского края".</w:t>
      </w:r>
    </w:p>
    <w:p w14:paraId="171DE1E3" w14:textId="77777777" w:rsidR="00F20278" w:rsidRPr="00E47AA9" w:rsidRDefault="00F20278" w:rsidP="00F20278">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В рамках реализации </w:t>
      </w:r>
      <w:r w:rsidRPr="00E47AA9">
        <w:rPr>
          <w:rFonts w:ascii="Times New Roman" w:hAnsi="Times New Roman" w:cs="Times New Roman"/>
          <w:i/>
          <w:iCs/>
          <w:sz w:val="28"/>
          <w:szCs w:val="28"/>
        </w:rPr>
        <w:t xml:space="preserve">КПМ "Приобретение и строительство объектов государственной собственности" </w:t>
      </w:r>
      <w:r w:rsidRPr="00E47AA9">
        <w:rPr>
          <w:rFonts w:ascii="Times New Roman" w:hAnsi="Times New Roman" w:cs="Times New Roman"/>
          <w:iCs/>
          <w:sz w:val="28"/>
          <w:szCs w:val="28"/>
        </w:rPr>
        <w:t xml:space="preserve">по </w:t>
      </w:r>
      <w:r w:rsidRPr="00E47AA9">
        <w:rPr>
          <w:rFonts w:ascii="Times New Roman" w:hAnsi="Times New Roman" w:cs="Times New Roman"/>
          <w:bCs/>
          <w:sz w:val="28"/>
          <w:szCs w:val="28"/>
          <w:u w:val="single"/>
        </w:rPr>
        <w:t>министерству строительства Приморского края</w:t>
      </w:r>
      <w:r w:rsidRPr="00E47AA9">
        <w:rPr>
          <w:rFonts w:ascii="Times New Roman" w:hAnsi="Times New Roman" w:cs="Times New Roman"/>
          <w:bCs/>
          <w:sz w:val="28"/>
          <w:szCs w:val="28"/>
        </w:rPr>
        <w:t xml:space="preserve"> </w:t>
      </w:r>
      <w:r w:rsidRPr="00E47AA9">
        <w:rPr>
          <w:rFonts w:ascii="Times New Roman" w:hAnsi="Times New Roman" w:cs="Times New Roman"/>
          <w:sz w:val="28"/>
          <w:szCs w:val="28"/>
        </w:rPr>
        <w:t>расходы исполнены на 3,63 млн рублей в полном объеме, в том числе:</w:t>
      </w:r>
    </w:p>
    <w:p w14:paraId="706F7443" w14:textId="77777777" w:rsidR="00F20278" w:rsidRPr="00E47AA9" w:rsidRDefault="00F20278" w:rsidP="00F20278">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на о</w:t>
      </w:r>
      <w:r w:rsidRPr="00E47AA9">
        <w:rPr>
          <w:rFonts w:ascii="Times New Roman" w:hAnsi="Times New Roman" w:cs="Times New Roman"/>
          <w:iCs/>
          <w:sz w:val="28"/>
          <w:szCs w:val="28"/>
        </w:rPr>
        <w:t>казание услуг по охране объекта незавершенного строительства –2,09 млн рублей</w:t>
      </w:r>
      <w:r w:rsidRPr="00E47AA9">
        <w:rPr>
          <w:rFonts w:ascii="Times New Roman" w:hAnsi="Times New Roman" w:cs="Times New Roman"/>
          <w:sz w:val="28"/>
          <w:szCs w:val="28"/>
        </w:rPr>
        <w:t>. За отчетный период произведено финансирование государственных контрактов на оказание услуг по охране объекта пожарного депо в с. Новопокровка Приморского края, заключенных с ООО ОА "Гепард-Секьюрити";</w:t>
      </w:r>
    </w:p>
    <w:p w14:paraId="7ECC3462" w14:textId="77777777" w:rsidR="00F20278" w:rsidRPr="00E47AA9" w:rsidRDefault="00F20278" w:rsidP="00F20278">
      <w:pPr>
        <w:spacing w:after="0" w:line="240" w:lineRule="auto"/>
        <w:ind w:firstLine="709"/>
        <w:jc w:val="both"/>
        <w:rPr>
          <w:rFonts w:ascii="Times New Roman" w:hAnsi="Times New Roman" w:cs="Times New Roman"/>
          <w:sz w:val="28"/>
          <w:szCs w:val="28"/>
          <w:shd w:val="clear" w:color="auto" w:fill="FFFFFF"/>
        </w:rPr>
      </w:pPr>
      <w:r w:rsidRPr="00E47AA9">
        <w:rPr>
          <w:rFonts w:ascii="Times New Roman" w:hAnsi="Times New Roman" w:cs="Times New Roman"/>
          <w:sz w:val="28"/>
          <w:szCs w:val="28"/>
        </w:rPr>
        <w:t>на к</w:t>
      </w:r>
      <w:r w:rsidRPr="00E47AA9">
        <w:rPr>
          <w:rFonts w:ascii="Times New Roman" w:hAnsi="Times New Roman" w:cs="Times New Roman"/>
          <w:iCs/>
          <w:sz w:val="28"/>
          <w:szCs w:val="28"/>
        </w:rPr>
        <w:t>онсервацию сибиреязвенных захоронений на территории Приморского края – 1,52 млн рублей</w:t>
      </w:r>
      <w:r w:rsidRPr="00E47AA9">
        <w:rPr>
          <w:rFonts w:ascii="Times New Roman" w:hAnsi="Times New Roman" w:cs="Times New Roman"/>
          <w:sz w:val="28"/>
          <w:szCs w:val="28"/>
        </w:rPr>
        <w:t>. Р</w:t>
      </w:r>
      <w:r w:rsidRPr="00E47AA9">
        <w:rPr>
          <w:rFonts w:ascii="Times New Roman" w:eastAsia="Calibri" w:hAnsi="Times New Roman" w:cs="Times New Roman"/>
          <w:sz w:val="28"/>
          <w:szCs w:val="28"/>
        </w:rPr>
        <w:t>аботы по государственному контракту №</w:t>
      </w:r>
      <w:r w:rsidRPr="00E47AA9">
        <w:rPr>
          <w:rFonts w:ascii="Times New Roman" w:hAnsi="Times New Roman" w:cs="Times New Roman"/>
          <w:sz w:val="28"/>
          <w:szCs w:val="28"/>
          <w:lang w:val="ru"/>
        </w:rPr>
        <w:t xml:space="preserve"> </w:t>
      </w:r>
      <w:r w:rsidRPr="00E47AA9">
        <w:rPr>
          <w:rFonts w:ascii="Times New Roman" w:eastAsia="Calibri" w:hAnsi="Times New Roman" w:cs="Times New Roman"/>
          <w:sz w:val="28"/>
          <w:szCs w:val="28"/>
        </w:rPr>
        <w:t>137/Р-06-07-2022-ГК от</w:t>
      </w:r>
      <w:r w:rsidRPr="00E47AA9">
        <w:rPr>
          <w:rFonts w:ascii="Times New Roman" w:hAnsi="Times New Roman" w:cs="Times New Roman"/>
          <w:sz w:val="28"/>
          <w:szCs w:val="28"/>
          <w:lang w:val="ru"/>
        </w:rPr>
        <w:t xml:space="preserve"> </w:t>
      </w:r>
      <w:r w:rsidRPr="00E47AA9">
        <w:rPr>
          <w:rFonts w:ascii="Times New Roman" w:eastAsia="Calibri" w:hAnsi="Times New Roman" w:cs="Times New Roman"/>
          <w:sz w:val="28"/>
          <w:szCs w:val="28"/>
        </w:rPr>
        <w:t xml:space="preserve">18.10.2022 </w:t>
      </w:r>
      <w:r w:rsidRPr="00E47AA9">
        <w:rPr>
          <w:rFonts w:ascii="Times New Roman" w:hAnsi="Times New Roman" w:cs="Times New Roman"/>
          <w:iCs/>
          <w:sz w:val="28"/>
          <w:szCs w:val="28"/>
        </w:rPr>
        <w:t>"</w:t>
      </w:r>
      <w:r w:rsidRPr="00E47AA9">
        <w:rPr>
          <w:rFonts w:ascii="Times New Roman" w:eastAsia="Calibri" w:hAnsi="Times New Roman" w:cs="Times New Roman"/>
          <w:sz w:val="28"/>
          <w:szCs w:val="28"/>
        </w:rPr>
        <w:t xml:space="preserve">Консервация сибиреязвенного захоронения с. Астраханка, </w:t>
      </w:r>
      <w:proofErr w:type="spellStart"/>
      <w:r w:rsidRPr="00E47AA9">
        <w:rPr>
          <w:rFonts w:ascii="Times New Roman" w:eastAsia="Calibri" w:hAnsi="Times New Roman" w:cs="Times New Roman"/>
          <w:sz w:val="28"/>
          <w:szCs w:val="28"/>
        </w:rPr>
        <w:t>Ханкайского</w:t>
      </w:r>
      <w:proofErr w:type="spellEnd"/>
      <w:r w:rsidRPr="00E47AA9">
        <w:rPr>
          <w:rFonts w:ascii="Times New Roman" w:eastAsia="Calibri" w:hAnsi="Times New Roman" w:cs="Times New Roman"/>
          <w:sz w:val="28"/>
          <w:szCs w:val="28"/>
        </w:rPr>
        <w:t xml:space="preserve"> муниципального района Приморского края (в том числе проектно-изыскательные работы)</w:t>
      </w:r>
      <w:r w:rsidRPr="00E47AA9">
        <w:rPr>
          <w:rFonts w:ascii="Times New Roman" w:hAnsi="Times New Roman" w:cs="Times New Roman"/>
          <w:iCs/>
          <w:sz w:val="28"/>
          <w:szCs w:val="28"/>
        </w:rPr>
        <w:t xml:space="preserve">", заключенному КГКУ "Управление капитального строительства Приморского края" с ИП </w:t>
      </w:r>
      <w:proofErr w:type="spellStart"/>
      <w:r w:rsidRPr="00E47AA9">
        <w:rPr>
          <w:rFonts w:ascii="Times New Roman" w:hAnsi="Times New Roman" w:cs="Times New Roman"/>
          <w:iCs/>
          <w:sz w:val="28"/>
          <w:szCs w:val="28"/>
        </w:rPr>
        <w:t>Шабурниковой</w:t>
      </w:r>
      <w:proofErr w:type="spellEnd"/>
      <w:r w:rsidRPr="00E47AA9">
        <w:rPr>
          <w:rFonts w:ascii="Times New Roman" w:hAnsi="Times New Roman" w:cs="Times New Roman"/>
          <w:iCs/>
          <w:sz w:val="28"/>
          <w:szCs w:val="28"/>
        </w:rPr>
        <w:t xml:space="preserve"> И.С.,</w:t>
      </w:r>
      <w:r w:rsidRPr="00E47AA9">
        <w:rPr>
          <w:rFonts w:ascii="Times New Roman" w:eastAsia="Calibri" w:hAnsi="Times New Roman" w:cs="Times New Roman"/>
          <w:sz w:val="28"/>
          <w:szCs w:val="28"/>
        </w:rPr>
        <w:t xml:space="preserve"> выполнены и приняты в полном объеме в июле 2024 года</w:t>
      </w:r>
      <w:r w:rsidRPr="00E47AA9">
        <w:rPr>
          <w:rFonts w:ascii="Times New Roman" w:hAnsi="Times New Roman" w:cs="Times New Roman"/>
          <w:sz w:val="28"/>
          <w:szCs w:val="28"/>
          <w:shd w:val="clear" w:color="auto" w:fill="FFFFFF"/>
        </w:rPr>
        <w:t>;</w:t>
      </w:r>
    </w:p>
    <w:p w14:paraId="7B029227" w14:textId="77777777" w:rsidR="00F20278" w:rsidRPr="00E47AA9" w:rsidRDefault="00F20278" w:rsidP="00F20278">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shd w:val="clear" w:color="auto" w:fill="FFFFFF"/>
        </w:rPr>
        <w:t>расходы, связанные с исполнением судебных актов и решений налоговых органов – 0,02 млн рублей. С м</w:t>
      </w:r>
      <w:r w:rsidRPr="00E47AA9">
        <w:rPr>
          <w:rFonts w:ascii="Times New Roman" w:hAnsi="Times New Roman" w:cs="Times New Roman"/>
          <w:sz w:val="28"/>
          <w:szCs w:val="28"/>
        </w:rPr>
        <w:t xml:space="preserve">инистерства строительства Приморского края взыскана сумма фактических расходов, связанных </w:t>
      </w:r>
      <w:r w:rsidRPr="00E47AA9">
        <w:rPr>
          <w:rFonts w:ascii="Times New Roman" w:hAnsi="Times New Roman" w:cs="Times New Roman"/>
          <w:sz w:val="28"/>
          <w:szCs w:val="28"/>
        </w:rPr>
        <w:br/>
        <w:t>с исполнением д</w:t>
      </w:r>
      <w:r w:rsidR="007C678E" w:rsidRPr="00E47AA9">
        <w:rPr>
          <w:rFonts w:ascii="Times New Roman" w:hAnsi="Times New Roman" w:cs="Times New Roman"/>
          <w:sz w:val="28"/>
          <w:szCs w:val="28"/>
        </w:rPr>
        <w:t>оговора от 18.11.2013 № 13-4473</w:t>
      </w:r>
      <w:r w:rsidRPr="00E47AA9">
        <w:rPr>
          <w:rFonts w:ascii="Times New Roman" w:hAnsi="Times New Roman" w:cs="Times New Roman"/>
          <w:sz w:val="28"/>
          <w:szCs w:val="28"/>
        </w:rPr>
        <w:t xml:space="preserve"> по исполнительному листу </w:t>
      </w:r>
      <w:r w:rsidR="007C678E" w:rsidRPr="00E47AA9">
        <w:rPr>
          <w:rFonts w:ascii="Times New Roman" w:hAnsi="Times New Roman" w:cs="Times New Roman"/>
          <w:sz w:val="28"/>
          <w:szCs w:val="28"/>
        </w:rPr>
        <w:t xml:space="preserve">от 08.10.2024 </w:t>
      </w:r>
      <w:r w:rsidRPr="00E47AA9">
        <w:rPr>
          <w:rFonts w:ascii="Times New Roman" w:hAnsi="Times New Roman" w:cs="Times New Roman"/>
          <w:sz w:val="28"/>
          <w:szCs w:val="28"/>
        </w:rPr>
        <w:t>№ ФС047559276 в пользу АО</w:t>
      </w:r>
      <w:r w:rsidRPr="00E47AA9">
        <w:rPr>
          <w:rFonts w:ascii="Times New Roman" w:hAnsi="Times New Roman" w:cs="Times New Roman"/>
          <w:sz w:val="28"/>
          <w:szCs w:val="28"/>
          <w:lang w:val="ru"/>
        </w:rPr>
        <w:t xml:space="preserve"> </w:t>
      </w:r>
      <w:r w:rsidRPr="00E47AA9">
        <w:rPr>
          <w:rFonts w:ascii="Times New Roman" w:hAnsi="Times New Roman" w:cs="Times New Roman"/>
          <w:sz w:val="28"/>
          <w:szCs w:val="28"/>
        </w:rPr>
        <w:t>"ДРСК" за осуществление технологического присоединения к</w:t>
      </w:r>
      <w:r w:rsidRPr="00E47AA9">
        <w:rPr>
          <w:rFonts w:ascii="Times New Roman" w:hAnsi="Times New Roman" w:cs="Times New Roman"/>
          <w:sz w:val="28"/>
          <w:szCs w:val="28"/>
          <w:lang w:val="ru"/>
        </w:rPr>
        <w:t xml:space="preserve"> </w:t>
      </w:r>
      <w:r w:rsidRPr="00E47AA9">
        <w:rPr>
          <w:rFonts w:ascii="Times New Roman" w:hAnsi="Times New Roman" w:cs="Times New Roman"/>
          <w:sz w:val="28"/>
          <w:szCs w:val="28"/>
        </w:rPr>
        <w:t>электрическим сетям объекта – электроустановки пожарного депо на два выезда, расположенного в с. Новогеоргиевка.</w:t>
      </w:r>
    </w:p>
    <w:p w14:paraId="2CADDA6E" w14:textId="77777777" w:rsidR="000711E6" w:rsidRPr="00E47AA9" w:rsidRDefault="000711E6" w:rsidP="000711E6">
      <w:pPr>
        <w:spacing w:after="0" w:line="240" w:lineRule="auto"/>
        <w:jc w:val="both"/>
        <w:rPr>
          <w:rFonts w:ascii="Times New Roman" w:eastAsia="Times New Roman" w:hAnsi="Times New Roman" w:cs="Times New Roman"/>
          <w:sz w:val="28"/>
          <w:szCs w:val="28"/>
          <w:lang w:eastAsia="ru-RU"/>
        </w:rPr>
      </w:pPr>
    </w:p>
    <w:p w14:paraId="24A175F8" w14:textId="77777777" w:rsidR="000711E6" w:rsidRPr="00E47AA9" w:rsidRDefault="000711E6" w:rsidP="00FD476E">
      <w:pPr>
        <w:spacing w:after="0" w:line="240" w:lineRule="auto"/>
        <w:jc w:val="center"/>
        <w:rPr>
          <w:rFonts w:ascii="Times New Roman" w:eastAsia="Times New Roman" w:hAnsi="Times New Roman" w:cs="Times New Roman"/>
          <w:b/>
          <w:sz w:val="28"/>
          <w:szCs w:val="28"/>
        </w:rPr>
      </w:pPr>
      <w:r w:rsidRPr="00E47AA9">
        <w:rPr>
          <w:rFonts w:ascii="Times New Roman" w:eastAsia="Times New Roman" w:hAnsi="Times New Roman" w:cs="Times New Roman"/>
          <w:noProof/>
          <w:sz w:val="20"/>
          <w:szCs w:val="20"/>
          <w:lang w:eastAsia="ru-RU"/>
        </w:rPr>
        <w:drawing>
          <wp:anchor distT="0" distB="0" distL="114300" distR="114300" simplePos="0" relativeHeight="251688960" behindDoc="0" locked="0" layoutInCell="1" allowOverlap="1" wp14:anchorId="7F6B8DAA" wp14:editId="5C269CA1">
            <wp:simplePos x="0" y="0"/>
            <wp:positionH relativeFrom="column">
              <wp:posOffset>12791</wp:posOffset>
            </wp:positionH>
            <wp:positionV relativeFrom="paragraph">
              <wp:posOffset>81371</wp:posOffset>
            </wp:positionV>
            <wp:extent cx="1343660" cy="922020"/>
            <wp:effectExtent l="0" t="0" r="8890" b="0"/>
            <wp:wrapSquare wrapText="bothSides"/>
            <wp:docPr id="43" name="Рисунок 43" descr="C:\Users\zavzyataya_sv\Desktop\Картинки к исполнению\880_x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zavzyataya_sv\Desktop\Картинки к исполнению\880_x922.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43660" cy="9220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AA9">
        <w:rPr>
          <w:rFonts w:ascii="Times New Roman" w:eastAsia="Times New Roman" w:hAnsi="Times New Roman" w:cs="Times New Roman"/>
          <w:b/>
          <w:sz w:val="28"/>
          <w:szCs w:val="28"/>
        </w:rPr>
        <w:t xml:space="preserve">5.2.8. Государственная программа Приморского края "Охрана окружающей среды Приморского края" </w:t>
      </w:r>
    </w:p>
    <w:p w14:paraId="613773EC"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Уточненные бюджетные назначения на 2024 год на реализацию ГП составили 2747,53 млн рублей, исполнение</w:t>
      </w:r>
      <w:r w:rsidR="007C678E"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 xml:space="preserve"> 92,10 %, или 2530,60 млн рублей, в том числе: за счет средств федерального бюджета – 397,27 млн рублей, краевого бюджета – 2133,33 млн рублей.</w:t>
      </w:r>
    </w:p>
    <w:p w14:paraId="276713DB"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По паспорту ГП ответственный исполнитель государственной программы </w:t>
      </w:r>
      <w:r w:rsidR="007C678E"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министерство лесного хозяйства, охраны окружающей среды, животного мира и природных ресурсов Приморского края, соисполнители: </w:t>
      </w:r>
      <w:r w:rsidRPr="00E47AA9">
        <w:rPr>
          <w:rFonts w:ascii="Times New Roman" w:eastAsia="Times New Roman" w:hAnsi="Times New Roman" w:cs="Times New Roman"/>
          <w:sz w:val="28"/>
          <w:szCs w:val="28"/>
        </w:rPr>
        <w:lastRenderedPageBreak/>
        <w:t>агентство по гидротехническим сооружениям, мелиорации и гидрологии Приморского края; министерство строительства Приморского края; министерство жилищно-коммунального хозяйства Приморского края; министерство транспорта и дорожного хозяйства Приморского края.</w:t>
      </w:r>
    </w:p>
    <w:p w14:paraId="38717A59"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Исполнение ГП в разрезе главных распорядителей средств краевого бюджета приведено в таблице.</w:t>
      </w:r>
    </w:p>
    <w:tbl>
      <w:tblPr>
        <w:tblW w:w="9389" w:type="dxa"/>
        <w:tblInd w:w="-34" w:type="dxa"/>
        <w:tblLook w:val="04A0" w:firstRow="1" w:lastRow="0" w:firstColumn="1" w:lastColumn="0" w:noHBand="0" w:noVBand="1"/>
      </w:tblPr>
      <w:tblGrid>
        <w:gridCol w:w="1405"/>
        <w:gridCol w:w="1133"/>
        <w:gridCol w:w="190"/>
        <w:gridCol w:w="567"/>
        <w:gridCol w:w="1701"/>
        <w:gridCol w:w="1134"/>
        <w:gridCol w:w="850"/>
        <w:gridCol w:w="977"/>
        <w:gridCol w:w="1432"/>
      </w:tblGrid>
      <w:tr w:rsidR="00E47AA9" w:rsidRPr="00E47AA9" w14:paraId="2705D09A" w14:textId="77777777" w:rsidTr="00845A54">
        <w:trPr>
          <w:trHeight w:val="20"/>
          <w:tblHeader/>
        </w:trPr>
        <w:tc>
          <w:tcPr>
            <w:tcW w:w="1405" w:type="dxa"/>
            <w:tcBorders>
              <w:bottom w:val="single" w:sz="4" w:space="0" w:color="auto"/>
            </w:tcBorders>
            <w:shd w:val="clear" w:color="000000" w:fill="FFFFFF"/>
          </w:tcPr>
          <w:p w14:paraId="746F6E3D" w14:textId="77777777" w:rsidR="000711E6" w:rsidRPr="00E47AA9" w:rsidRDefault="000711E6" w:rsidP="00845A54">
            <w:pPr>
              <w:spacing w:after="0" w:line="240" w:lineRule="auto"/>
              <w:jc w:val="right"/>
              <w:rPr>
                <w:rFonts w:ascii="Times New Roman" w:eastAsia="Times New Roman" w:hAnsi="Times New Roman" w:cs="Times New Roman"/>
                <w:sz w:val="20"/>
                <w:szCs w:val="20"/>
                <w:lang w:eastAsia="ru-RU"/>
              </w:rPr>
            </w:pPr>
          </w:p>
        </w:tc>
        <w:tc>
          <w:tcPr>
            <w:tcW w:w="1133" w:type="dxa"/>
            <w:tcBorders>
              <w:bottom w:val="single" w:sz="4" w:space="0" w:color="auto"/>
            </w:tcBorders>
            <w:shd w:val="clear" w:color="000000" w:fill="FFFFFF"/>
          </w:tcPr>
          <w:p w14:paraId="71E5060E" w14:textId="77777777" w:rsidR="000711E6" w:rsidRPr="00E47AA9" w:rsidRDefault="000711E6" w:rsidP="00845A54">
            <w:pPr>
              <w:spacing w:after="0" w:line="240" w:lineRule="auto"/>
              <w:jc w:val="right"/>
              <w:rPr>
                <w:rFonts w:ascii="Times New Roman" w:eastAsia="Times New Roman" w:hAnsi="Times New Roman" w:cs="Times New Roman"/>
                <w:sz w:val="20"/>
                <w:szCs w:val="20"/>
                <w:lang w:eastAsia="ru-RU"/>
              </w:rPr>
            </w:pPr>
          </w:p>
        </w:tc>
        <w:tc>
          <w:tcPr>
            <w:tcW w:w="6851" w:type="dxa"/>
            <w:gridSpan w:val="7"/>
            <w:tcBorders>
              <w:bottom w:val="single" w:sz="4" w:space="0" w:color="auto"/>
            </w:tcBorders>
            <w:shd w:val="clear" w:color="000000" w:fill="FFFFFF"/>
            <w:vAlign w:val="center"/>
          </w:tcPr>
          <w:p w14:paraId="7A263680" w14:textId="77777777" w:rsidR="000711E6" w:rsidRPr="00E47AA9" w:rsidRDefault="000711E6" w:rsidP="00845A54">
            <w:pPr>
              <w:spacing w:after="0" w:line="240" w:lineRule="auto"/>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3FDC4433" w14:textId="77777777" w:rsidTr="00845A54">
        <w:trPr>
          <w:trHeight w:val="20"/>
          <w:tblHeader/>
        </w:trPr>
        <w:tc>
          <w:tcPr>
            <w:tcW w:w="2728"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520606A"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показателя</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61F8C63"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Ведомство</w:t>
            </w:r>
          </w:p>
        </w:tc>
        <w:tc>
          <w:tcPr>
            <w:tcW w:w="1701" w:type="dxa"/>
            <w:vMerge w:val="restart"/>
            <w:tcBorders>
              <w:top w:val="single" w:sz="4" w:space="0" w:color="auto"/>
              <w:left w:val="nil"/>
              <w:bottom w:val="single" w:sz="4" w:space="0" w:color="auto"/>
              <w:right w:val="single" w:sz="4" w:space="0" w:color="auto"/>
            </w:tcBorders>
            <w:shd w:val="clear" w:color="000000" w:fill="FFFFFF"/>
            <w:vAlign w:val="center"/>
          </w:tcPr>
          <w:p w14:paraId="63598F8C"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Уточненные бюджетные назначения </w:t>
            </w:r>
          </w:p>
          <w:p w14:paraId="7DE4E90A"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 2024 год</w:t>
            </w:r>
          </w:p>
        </w:tc>
        <w:tc>
          <w:tcPr>
            <w:tcW w:w="2961" w:type="dxa"/>
            <w:gridSpan w:val="3"/>
            <w:tcBorders>
              <w:top w:val="single" w:sz="4" w:space="0" w:color="auto"/>
              <w:left w:val="nil"/>
              <w:bottom w:val="single" w:sz="4" w:space="0" w:color="auto"/>
              <w:right w:val="single" w:sz="4" w:space="0" w:color="auto"/>
            </w:tcBorders>
            <w:shd w:val="clear" w:color="000000" w:fill="FFFFFF"/>
            <w:vAlign w:val="center"/>
          </w:tcPr>
          <w:p w14:paraId="51CD1626"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432" w:type="dxa"/>
            <w:vMerge w:val="restart"/>
            <w:tcBorders>
              <w:top w:val="single" w:sz="4" w:space="0" w:color="auto"/>
              <w:left w:val="nil"/>
              <w:bottom w:val="single" w:sz="4" w:space="0" w:color="auto"/>
              <w:right w:val="single" w:sz="4" w:space="0" w:color="auto"/>
            </w:tcBorders>
            <w:shd w:val="clear" w:color="000000" w:fill="FFFFFF"/>
            <w:vAlign w:val="center"/>
          </w:tcPr>
          <w:p w14:paraId="43D790D6"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r>
      <w:tr w:rsidR="00E47AA9" w:rsidRPr="00E47AA9" w14:paraId="1C9C8E1A" w14:textId="77777777" w:rsidTr="00845A54">
        <w:trPr>
          <w:trHeight w:val="20"/>
          <w:tblHeader/>
        </w:trPr>
        <w:tc>
          <w:tcPr>
            <w:tcW w:w="2728"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03125EF"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888E749"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p>
        </w:tc>
        <w:tc>
          <w:tcPr>
            <w:tcW w:w="1701" w:type="dxa"/>
            <w:vMerge/>
            <w:tcBorders>
              <w:top w:val="single" w:sz="4" w:space="0" w:color="auto"/>
              <w:left w:val="single" w:sz="4" w:space="0" w:color="auto"/>
              <w:bottom w:val="single" w:sz="4" w:space="0" w:color="auto"/>
              <w:right w:val="single" w:sz="4" w:space="0" w:color="auto"/>
            </w:tcBorders>
            <w:shd w:val="clear" w:color="000000" w:fill="FFFFFF"/>
            <w:vAlign w:val="center"/>
            <w:hideMark/>
          </w:tcPr>
          <w:p w14:paraId="371DD4D5"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E7AB43E"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tcPr>
          <w:p w14:paraId="14615F3B"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w:t>
            </w:r>
          </w:p>
        </w:tc>
        <w:tc>
          <w:tcPr>
            <w:tcW w:w="977" w:type="dxa"/>
            <w:tcBorders>
              <w:top w:val="single" w:sz="4" w:space="0" w:color="auto"/>
              <w:left w:val="single" w:sz="4" w:space="0" w:color="auto"/>
              <w:bottom w:val="single" w:sz="4" w:space="0" w:color="auto"/>
              <w:right w:val="single" w:sz="4" w:space="0" w:color="auto"/>
            </w:tcBorders>
            <w:shd w:val="clear" w:color="000000" w:fill="FFFFFF"/>
            <w:vAlign w:val="center"/>
          </w:tcPr>
          <w:p w14:paraId="768F1074"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уд. вес, %</w:t>
            </w:r>
          </w:p>
        </w:tc>
        <w:tc>
          <w:tcPr>
            <w:tcW w:w="1432" w:type="dxa"/>
            <w:vMerge/>
            <w:tcBorders>
              <w:top w:val="single" w:sz="4" w:space="0" w:color="auto"/>
              <w:left w:val="single" w:sz="4" w:space="0" w:color="auto"/>
              <w:bottom w:val="single" w:sz="4" w:space="0" w:color="auto"/>
              <w:right w:val="single" w:sz="4" w:space="0" w:color="auto"/>
            </w:tcBorders>
            <w:shd w:val="clear" w:color="000000" w:fill="FFFFFF"/>
            <w:vAlign w:val="center"/>
          </w:tcPr>
          <w:p w14:paraId="697730EB"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p>
        </w:tc>
      </w:tr>
      <w:tr w:rsidR="00E47AA9" w:rsidRPr="00E47AA9" w14:paraId="150A2794" w14:textId="77777777" w:rsidTr="00845A54">
        <w:trPr>
          <w:trHeight w:val="20"/>
        </w:trPr>
        <w:tc>
          <w:tcPr>
            <w:tcW w:w="2728" w:type="dxa"/>
            <w:gridSpan w:val="3"/>
            <w:tcBorders>
              <w:top w:val="single" w:sz="4" w:space="0" w:color="auto"/>
              <w:left w:val="single" w:sz="4" w:space="0" w:color="auto"/>
              <w:bottom w:val="single" w:sz="4" w:space="0" w:color="auto"/>
              <w:right w:val="single" w:sz="4" w:space="0" w:color="auto"/>
            </w:tcBorders>
            <w:shd w:val="clear" w:color="auto" w:fill="auto"/>
            <w:vAlign w:val="bottom"/>
          </w:tcPr>
          <w:p w14:paraId="3D04300C" w14:textId="77777777" w:rsidR="000711E6" w:rsidRPr="00E47AA9" w:rsidRDefault="000711E6" w:rsidP="00845A54">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 xml:space="preserve">Расходы по ГП всего, </w:t>
            </w:r>
          </w:p>
          <w:p w14:paraId="64B40377" w14:textId="77777777" w:rsidR="000711E6" w:rsidRPr="00E47AA9" w:rsidRDefault="000711E6" w:rsidP="00845A54">
            <w:pPr>
              <w:spacing w:after="0" w:line="240" w:lineRule="auto"/>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в том числе по ведомствам</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68F5D487" w14:textId="77777777" w:rsidR="000711E6" w:rsidRPr="00E47AA9" w:rsidRDefault="000711E6" w:rsidP="00845A54">
            <w:pPr>
              <w:spacing w:after="0" w:line="240" w:lineRule="auto"/>
              <w:jc w:val="right"/>
              <w:rPr>
                <w:rFonts w:ascii="Times New Roman" w:eastAsia="Calibri" w:hAnsi="Times New Roman" w:cs="Times New Roman"/>
                <w:b/>
                <w:bCs/>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39E73940" w14:textId="77777777" w:rsidR="000711E6" w:rsidRPr="00E47AA9" w:rsidRDefault="000711E6" w:rsidP="00845A54">
            <w:pPr>
              <w:spacing w:after="0" w:line="240" w:lineRule="auto"/>
              <w:jc w:val="right"/>
              <w:rPr>
                <w:rFonts w:ascii="Times New Roman" w:eastAsia="Calibri" w:hAnsi="Times New Roman" w:cs="Times New Roman"/>
                <w:b/>
                <w:bCs/>
                <w:sz w:val="20"/>
                <w:szCs w:val="20"/>
              </w:rPr>
            </w:pPr>
            <w:r w:rsidRPr="00E47AA9">
              <w:rPr>
                <w:rFonts w:ascii="Times New Roman" w:eastAsia="Calibri" w:hAnsi="Times New Roman" w:cs="Times New Roman"/>
                <w:b/>
                <w:bCs/>
                <w:sz w:val="20"/>
                <w:szCs w:val="20"/>
              </w:rPr>
              <w:t>2747,53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768C2FE7" w14:textId="77777777" w:rsidR="000711E6" w:rsidRPr="00E47AA9" w:rsidRDefault="000711E6" w:rsidP="00845A54">
            <w:pPr>
              <w:spacing w:after="0" w:line="240" w:lineRule="auto"/>
              <w:jc w:val="right"/>
              <w:rPr>
                <w:rFonts w:ascii="Times New Roman" w:eastAsia="Calibri" w:hAnsi="Times New Roman" w:cs="Times New Roman"/>
                <w:b/>
                <w:bCs/>
                <w:sz w:val="20"/>
                <w:szCs w:val="20"/>
              </w:rPr>
            </w:pPr>
            <w:r w:rsidRPr="00E47AA9">
              <w:rPr>
                <w:rFonts w:ascii="Times New Roman" w:eastAsia="Calibri" w:hAnsi="Times New Roman" w:cs="Times New Roman"/>
                <w:b/>
                <w:bCs/>
                <w:sz w:val="20"/>
                <w:szCs w:val="20"/>
              </w:rPr>
              <w:t>2530,60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7B16A115" w14:textId="77777777" w:rsidR="000711E6" w:rsidRPr="00E47AA9" w:rsidRDefault="000711E6" w:rsidP="00845A54">
            <w:pPr>
              <w:spacing w:after="0" w:line="240" w:lineRule="auto"/>
              <w:jc w:val="right"/>
              <w:rPr>
                <w:rFonts w:ascii="Times New Roman" w:eastAsia="Calibri" w:hAnsi="Times New Roman" w:cs="Times New Roman"/>
                <w:b/>
                <w:bCs/>
                <w:sz w:val="20"/>
                <w:szCs w:val="20"/>
              </w:rPr>
            </w:pPr>
            <w:r w:rsidRPr="00E47AA9">
              <w:rPr>
                <w:rFonts w:ascii="Times New Roman" w:eastAsia="Calibri" w:hAnsi="Times New Roman" w:cs="Times New Roman"/>
                <w:b/>
                <w:bCs/>
                <w:sz w:val="20"/>
                <w:szCs w:val="20"/>
              </w:rPr>
              <w:t>92,10</w:t>
            </w:r>
          </w:p>
        </w:tc>
        <w:tc>
          <w:tcPr>
            <w:tcW w:w="977" w:type="dxa"/>
            <w:tcBorders>
              <w:top w:val="single" w:sz="4" w:space="0" w:color="auto"/>
              <w:left w:val="single" w:sz="4" w:space="0" w:color="auto"/>
              <w:bottom w:val="single" w:sz="4" w:space="0" w:color="auto"/>
              <w:right w:val="single" w:sz="4" w:space="0" w:color="auto"/>
            </w:tcBorders>
            <w:shd w:val="clear" w:color="auto" w:fill="auto"/>
            <w:vAlign w:val="bottom"/>
          </w:tcPr>
          <w:p w14:paraId="2E2E9FB0" w14:textId="77777777" w:rsidR="000711E6" w:rsidRPr="00E47AA9" w:rsidRDefault="000711E6" w:rsidP="00845A54">
            <w:pPr>
              <w:spacing w:after="0" w:line="240" w:lineRule="auto"/>
              <w:jc w:val="right"/>
              <w:rPr>
                <w:rFonts w:ascii="Times New Roman" w:eastAsia="Calibri" w:hAnsi="Times New Roman" w:cs="Times New Roman"/>
                <w:b/>
                <w:bCs/>
                <w:sz w:val="20"/>
                <w:szCs w:val="20"/>
              </w:rPr>
            </w:pPr>
            <w:r w:rsidRPr="00E47AA9">
              <w:rPr>
                <w:rFonts w:ascii="Times New Roman" w:eastAsia="Calibri" w:hAnsi="Times New Roman" w:cs="Times New Roman"/>
                <w:b/>
                <w:bCs/>
                <w:sz w:val="20"/>
                <w:szCs w:val="20"/>
              </w:rPr>
              <w:t>100,00</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bottom"/>
          </w:tcPr>
          <w:p w14:paraId="4DB0DC8F" w14:textId="77777777" w:rsidR="000711E6" w:rsidRPr="00E47AA9" w:rsidRDefault="000711E6" w:rsidP="00845A54">
            <w:pPr>
              <w:spacing w:after="0" w:line="240" w:lineRule="auto"/>
              <w:jc w:val="right"/>
              <w:rPr>
                <w:rFonts w:ascii="Times New Roman" w:eastAsia="Calibri" w:hAnsi="Times New Roman" w:cs="Times New Roman"/>
                <w:b/>
                <w:bCs/>
                <w:sz w:val="20"/>
                <w:szCs w:val="20"/>
              </w:rPr>
            </w:pPr>
            <w:r w:rsidRPr="00E47AA9">
              <w:rPr>
                <w:rFonts w:ascii="Times New Roman" w:eastAsia="Calibri" w:hAnsi="Times New Roman" w:cs="Times New Roman"/>
                <w:b/>
                <w:bCs/>
                <w:sz w:val="20"/>
                <w:szCs w:val="20"/>
              </w:rPr>
              <w:t>216,93</w:t>
            </w:r>
          </w:p>
        </w:tc>
      </w:tr>
      <w:tr w:rsidR="00E47AA9" w:rsidRPr="00E47AA9" w14:paraId="2781DF4F" w14:textId="77777777" w:rsidTr="00845A54">
        <w:trPr>
          <w:trHeight w:val="20"/>
        </w:trPr>
        <w:tc>
          <w:tcPr>
            <w:tcW w:w="2728" w:type="dxa"/>
            <w:gridSpan w:val="3"/>
            <w:tcBorders>
              <w:top w:val="single" w:sz="4" w:space="0" w:color="auto"/>
              <w:left w:val="single" w:sz="4" w:space="0" w:color="auto"/>
              <w:bottom w:val="single" w:sz="4" w:space="0" w:color="auto"/>
              <w:right w:val="single" w:sz="4" w:space="0" w:color="auto"/>
            </w:tcBorders>
            <w:shd w:val="clear" w:color="auto" w:fill="auto"/>
            <w:vAlign w:val="bottom"/>
          </w:tcPr>
          <w:p w14:paraId="419D1323" w14:textId="77777777" w:rsidR="000711E6" w:rsidRPr="00E47AA9" w:rsidRDefault="000711E6" w:rsidP="00845A54">
            <w:pPr>
              <w:spacing w:after="0" w:line="240" w:lineRule="auto"/>
              <w:rPr>
                <w:rFonts w:ascii="Times New Roman" w:eastAsia="Times New Roman" w:hAnsi="Times New Roman" w:cs="Times New Roman"/>
                <w:bCs/>
                <w:sz w:val="20"/>
                <w:szCs w:val="20"/>
                <w:lang w:eastAsia="ru-RU"/>
              </w:rPr>
            </w:pPr>
            <w:r w:rsidRPr="00E47AA9">
              <w:rPr>
                <w:rFonts w:ascii="Times New Roman" w:hAnsi="Times New Roman" w:cs="Times New Roman"/>
                <w:sz w:val="20"/>
                <w:szCs w:val="20"/>
              </w:rPr>
              <w:t>Министерство транспорта и дорожного хозяйства Приморского края</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41F3EC4C"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754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45BCFD7F"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110,00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7E55BB76"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77,91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3A05A543"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70,83</w:t>
            </w:r>
          </w:p>
        </w:tc>
        <w:tc>
          <w:tcPr>
            <w:tcW w:w="977" w:type="dxa"/>
            <w:tcBorders>
              <w:top w:val="single" w:sz="4" w:space="0" w:color="auto"/>
              <w:left w:val="single" w:sz="4" w:space="0" w:color="auto"/>
              <w:bottom w:val="single" w:sz="4" w:space="0" w:color="auto"/>
              <w:right w:val="single" w:sz="4" w:space="0" w:color="auto"/>
            </w:tcBorders>
            <w:shd w:val="clear" w:color="auto" w:fill="auto"/>
            <w:vAlign w:val="bottom"/>
          </w:tcPr>
          <w:p w14:paraId="05A1DDE0"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3,08</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bottom"/>
          </w:tcPr>
          <w:p w14:paraId="2DC98862"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32,09</w:t>
            </w:r>
          </w:p>
        </w:tc>
      </w:tr>
      <w:tr w:rsidR="00E47AA9" w:rsidRPr="00E47AA9" w14:paraId="01F2B96C" w14:textId="77777777" w:rsidTr="00845A54">
        <w:trPr>
          <w:trHeight w:val="20"/>
        </w:trPr>
        <w:tc>
          <w:tcPr>
            <w:tcW w:w="2728" w:type="dxa"/>
            <w:gridSpan w:val="3"/>
            <w:tcBorders>
              <w:top w:val="single" w:sz="4" w:space="0" w:color="auto"/>
              <w:left w:val="single" w:sz="4" w:space="0" w:color="auto"/>
              <w:bottom w:val="single" w:sz="4" w:space="0" w:color="auto"/>
              <w:right w:val="single" w:sz="4" w:space="0" w:color="auto"/>
            </w:tcBorders>
            <w:shd w:val="clear" w:color="auto" w:fill="auto"/>
            <w:vAlign w:val="bottom"/>
          </w:tcPr>
          <w:p w14:paraId="3C60AD05" w14:textId="77777777" w:rsidR="000711E6" w:rsidRPr="00E47AA9" w:rsidRDefault="000711E6" w:rsidP="00845A54">
            <w:pPr>
              <w:spacing w:after="0" w:line="240" w:lineRule="auto"/>
              <w:rPr>
                <w:rFonts w:ascii="Times New Roman" w:eastAsia="Times New Roman" w:hAnsi="Times New Roman" w:cs="Times New Roman"/>
                <w:bCs/>
                <w:sz w:val="20"/>
                <w:szCs w:val="20"/>
                <w:lang w:eastAsia="ru-RU"/>
              </w:rPr>
            </w:pPr>
            <w:r w:rsidRPr="00E47AA9">
              <w:rPr>
                <w:rFonts w:ascii="Times New Roman" w:hAnsi="Times New Roman" w:cs="Times New Roman"/>
                <w:sz w:val="20"/>
                <w:szCs w:val="20"/>
              </w:rPr>
              <w:t>Министерство жилищно-коммунального хозяйства Приморского края</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63DA720E"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768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4E5669BD"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1 074,71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64234BA7"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1 017,57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391A3743"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94,68</w:t>
            </w:r>
          </w:p>
        </w:tc>
        <w:tc>
          <w:tcPr>
            <w:tcW w:w="977" w:type="dxa"/>
            <w:tcBorders>
              <w:top w:val="single" w:sz="4" w:space="0" w:color="auto"/>
              <w:left w:val="single" w:sz="4" w:space="0" w:color="auto"/>
              <w:bottom w:val="single" w:sz="4" w:space="0" w:color="auto"/>
              <w:right w:val="single" w:sz="4" w:space="0" w:color="auto"/>
            </w:tcBorders>
            <w:shd w:val="clear" w:color="auto" w:fill="auto"/>
            <w:vAlign w:val="bottom"/>
          </w:tcPr>
          <w:p w14:paraId="3DC6C6E7"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40,21</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bottom"/>
          </w:tcPr>
          <w:p w14:paraId="0DC9634A"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57,14</w:t>
            </w:r>
          </w:p>
        </w:tc>
      </w:tr>
      <w:tr w:rsidR="00E47AA9" w:rsidRPr="00E47AA9" w14:paraId="1AA6CC3C" w14:textId="77777777" w:rsidTr="00845A54">
        <w:trPr>
          <w:trHeight w:val="20"/>
        </w:trPr>
        <w:tc>
          <w:tcPr>
            <w:tcW w:w="2728" w:type="dxa"/>
            <w:gridSpan w:val="3"/>
            <w:tcBorders>
              <w:top w:val="single" w:sz="4" w:space="0" w:color="auto"/>
              <w:left w:val="single" w:sz="4" w:space="0" w:color="auto"/>
              <w:bottom w:val="single" w:sz="4" w:space="0" w:color="auto"/>
              <w:right w:val="single" w:sz="4" w:space="0" w:color="auto"/>
            </w:tcBorders>
            <w:shd w:val="clear" w:color="auto" w:fill="auto"/>
            <w:vAlign w:val="bottom"/>
          </w:tcPr>
          <w:p w14:paraId="57C005CD" w14:textId="77777777" w:rsidR="000711E6" w:rsidRPr="00E47AA9" w:rsidRDefault="000711E6" w:rsidP="00845A54">
            <w:pPr>
              <w:spacing w:after="0" w:line="240" w:lineRule="auto"/>
              <w:rPr>
                <w:rFonts w:ascii="Times New Roman" w:eastAsia="Times New Roman" w:hAnsi="Times New Roman" w:cs="Times New Roman"/>
                <w:bCs/>
                <w:sz w:val="20"/>
                <w:szCs w:val="20"/>
                <w:lang w:eastAsia="ru-RU"/>
              </w:rPr>
            </w:pPr>
            <w:r w:rsidRPr="00E47AA9">
              <w:rPr>
                <w:rFonts w:ascii="Times New Roman" w:hAnsi="Times New Roman" w:cs="Times New Roman"/>
                <w:sz w:val="20"/>
                <w:szCs w:val="20"/>
              </w:rPr>
              <w:t>Министерство строительства Приморского края</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7CAB71B2"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775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5835C3E8"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212,60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1A97A11"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193,42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7DBCAF65"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90,98</w:t>
            </w:r>
          </w:p>
        </w:tc>
        <w:tc>
          <w:tcPr>
            <w:tcW w:w="977" w:type="dxa"/>
            <w:tcBorders>
              <w:top w:val="single" w:sz="4" w:space="0" w:color="auto"/>
              <w:left w:val="single" w:sz="4" w:space="0" w:color="auto"/>
              <w:bottom w:val="single" w:sz="4" w:space="0" w:color="auto"/>
              <w:right w:val="single" w:sz="4" w:space="0" w:color="auto"/>
            </w:tcBorders>
            <w:shd w:val="clear" w:color="auto" w:fill="auto"/>
            <w:vAlign w:val="bottom"/>
          </w:tcPr>
          <w:p w14:paraId="4AA1B1FF"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7,64</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bottom"/>
          </w:tcPr>
          <w:p w14:paraId="38366AAA"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19,17</w:t>
            </w:r>
          </w:p>
        </w:tc>
      </w:tr>
      <w:tr w:rsidR="00E47AA9" w:rsidRPr="00E47AA9" w14:paraId="5FA5D449" w14:textId="77777777" w:rsidTr="00845A54">
        <w:trPr>
          <w:trHeight w:val="20"/>
        </w:trPr>
        <w:tc>
          <w:tcPr>
            <w:tcW w:w="2728" w:type="dxa"/>
            <w:gridSpan w:val="3"/>
            <w:tcBorders>
              <w:top w:val="single" w:sz="4" w:space="0" w:color="auto"/>
              <w:left w:val="single" w:sz="4" w:space="0" w:color="auto"/>
              <w:bottom w:val="single" w:sz="4" w:space="0" w:color="auto"/>
              <w:right w:val="single" w:sz="4" w:space="0" w:color="auto"/>
            </w:tcBorders>
            <w:shd w:val="clear" w:color="auto" w:fill="auto"/>
            <w:vAlign w:val="bottom"/>
          </w:tcPr>
          <w:p w14:paraId="0BF5D06C" w14:textId="77777777" w:rsidR="000711E6" w:rsidRPr="00E47AA9" w:rsidRDefault="000711E6" w:rsidP="00845A54">
            <w:pPr>
              <w:spacing w:after="0" w:line="240" w:lineRule="auto"/>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 xml:space="preserve">Министерство </w:t>
            </w:r>
            <w:bookmarkStart w:id="22" w:name="_Hlk195001223"/>
            <w:r w:rsidRPr="00E47AA9">
              <w:rPr>
                <w:rFonts w:ascii="Times New Roman" w:hAnsi="Times New Roman" w:cs="Times New Roman"/>
                <w:sz w:val="20"/>
                <w:szCs w:val="20"/>
              </w:rPr>
              <w:t>лесного хозяйства, охраны окружающей среды, животного мира и природных ресурсов Приморского края</w:t>
            </w:r>
            <w:bookmarkEnd w:id="22"/>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704982AB"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807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4F26C63E"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303,86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1D901690"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289,24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3BBE4437"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95,19</w:t>
            </w:r>
          </w:p>
        </w:tc>
        <w:tc>
          <w:tcPr>
            <w:tcW w:w="977" w:type="dxa"/>
            <w:tcBorders>
              <w:top w:val="single" w:sz="4" w:space="0" w:color="auto"/>
              <w:left w:val="single" w:sz="4" w:space="0" w:color="auto"/>
              <w:bottom w:val="single" w:sz="4" w:space="0" w:color="auto"/>
              <w:right w:val="single" w:sz="4" w:space="0" w:color="auto"/>
            </w:tcBorders>
            <w:shd w:val="clear" w:color="auto" w:fill="auto"/>
            <w:vAlign w:val="bottom"/>
          </w:tcPr>
          <w:p w14:paraId="0D4BCAC6"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11,43</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bottom"/>
          </w:tcPr>
          <w:p w14:paraId="2FAECAC6"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14,61</w:t>
            </w:r>
          </w:p>
        </w:tc>
      </w:tr>
      <w:tr w:rsidR="00E47AA9" w:rsidRPr="00E47AA9" w14:paraId="09799ECB" w14:textId="77777777" w:rsidTr="00845A54">
        <w:trPr>
          <w:trHeight w:val="20"/>
        </w:trPr>
        <w:tc>
          <w:tcPr>
            <w:tcW w:w="2728" w:type="dxa"/>
            <w:gridSpan w:val="3"/>
            <w:tcBorders>
              <w:top w:val="single" w:sz="4" w:space="0" w:color="auto"/>
              <w:left w:val="single" w:sz="4" w:space="0" w:color="auto"/>
              <w:bottom w:val="single" w:sz="4" w:space="0" w:color="auto"/>
              <w:right w:val="single" w:sz="4" w:space="0" w:color="auto"/>
            </w:tcBorders>
            <w:shd w:val="clear" w:color="auto" w:fill="auto"/>
            <w:vAlign w:val="bottom"/>
          </w:tcPr>
          <w:p w14:paraId="77CDE3DC" w14:textId="77777777" w:rsidR="000711E6" w:rsidRPr="00E47AA9" w:rsidRDefault="000711E6" w:rsidP="00845A54">
            <w:pPr>
              <w:spacing w:after="0" w:line="240" w:lineRule="auto"/>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 xml:space="preserve">Агентство </w:t>
            </w:r>
            <w:bookmarkStart w:id="23" w:name="_Hlk195005962"/>
            <w:r w:rsidRPr="00E47AA9">
              <w:rPr>
                <w:rFonts w:ascii="Times New Roman" w:hAnsi="Times New Roman" w:cs="Times New Roman"/>
                <w:sz w:val="20"/>
                <w:szCs w:val="20"/>
              </w:rPr>
              <w:t>по гидротехническим сооружениям, мелиорации и гидрологии Приморского края</w:t>
            </w:r>
            <w:bookmarkEnd w:id="23"/>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30AB6BFA"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812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3B5A35CE"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1 046,36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ECEED77"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952,45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3378A89A"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91,02</w:t>
            </w:r>
          </w:p>
        </w:tc>
        <w:tc>
          <w:tcPr>
            <w:tcW w:w="977" w:type="dxa"/>
            <w:tcBorders>
              <w:top w:val="single" w:sz="4" w:space="0" w:color="auto"/>
              <w:left w:val="single" w:sz="4" w:space="0" w:color="auto"/>
              <w:bottom w:val="single" w:sz="4" w:space="0" w:color="auto"/>
              <w:right w:val="single" w:sz="4" w:space="0" w:color="auto"/>
            </w:tcBorders>
            <w:shd w:val="clear" w:color="auto" w:fill="auto"/>
            <w:vAlign w:val="bottom"/>
          </w:tcPr>
          <w:p w14:paraId="36E8E287"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37,64</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bottom"/>
          </w:tcPr>
          <w:p w14:paraId="1F4732EE"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93,91</w:t>
            </w:r>
          </w:p>
        </w:tc>
      </w:tr>
    </w:tbl>
    <w:p w14:paraId="19CD8C6B"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14:paraId="7D90A0F6"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Исполнение ГП за 2024 год в разрезе структурных элементов и включенных в их состав региональных проектов представлено в таблице.</w:t>
      </w:r>
    </w:p>
    <w:p w14:paraId="307BF122"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tbl>
      <w:tblPr>
        <w:tblW w:w="9162" w:type="dxa"/>
        <w:tblInd w:w="-39" w:type="dxa"/>
        <w:tblLook w:val="04A0" w:firstRow="1" w:lastRow="0" w:firstColumn="1" w:lastColumn="0" w:noHBand="0" w:noVBand="1"/>
      </w:tblPr>
      <w:tblGrid>
        <w:gridCol w:w="3867"/>
        <w:gridCol w:w="1417"/>
        <w:gridCol w:w="1418"/>
        <w:gridCol w:w="911"/>
        <w:gridCol w:w="1549"/>
      </w:tblGrid>
      <w:tr w:rsidR="00E47AA9" w:rsidRPr="00E47AA9" w14:paraId="4DED41F0" w14:textId="77777777" w:rsidTr="00845A54">
        <w:trPr>
          <w:trHeight w:val="20"/>
          <w:tblHeader/>
        </w:trPr>
        <w:tc>
          <w:tcPr>
            <w:tcW w:w="3867" w:type="dxa"/>
            <w:tcBorders>
              <w:bottom w:val="single" w:sz="4" w:space="0" w:color="auto"/>
            </w:tcBorders>
            <w:shd w:val="clear" w:color="000000" w:fill="FFFFFF"/>
            <w:vAlign w:val="center"/>
          </w:tcPr>
          <w:p w14:paraId="1DDE7142"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p>
        </w:tc>
        <w:tc>
          <w:tcPr>
            <w:tcW w:w="1417" w:type="dxa"/>
            <w:tcBorders>
              <w:bottom w:val="single" w:sz="4" w:space="0" w:color="auto"/>
            </w:tcBorders>
            <w:shd w:val="clear" w:color="000000" w:fill="FFFFFF"/>
            <w:vAlign w:val="center"/>
          </w:tcPr>
          <w:p w14:paraId="79ABA486"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p>
        </w:tc>
        <w:tc>
          <w:tcPr>
            <w:tcW w:w="1418" w:type="dxa"/>
            <w:tcBorders>
              <w:bottom w:val="single" w:sz="4" w:space="0" w:color="auto"/>
            </w:tcBorders>
            <w:shd w:val="clear" w:color="000000" w:fill="FFFFFF"/>
            <w:vAlign w:val="center"/>
          </w:tcPr>
          <w:p w14:paraId="48D3A7AF"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p>
        </w:tc>
        <w:tc>
          <w:tcPr>
            <w:tcW w:w="2460" w:type="dxa"/>
            <w:gridSpan w:val="2"/>
            <w:tcBorders>
              <w:bottom w:val="single" w:sz="4" w:space="0" w:color="auto"/>
            </w:tcBorders>
            <w:shd w:val="clear" w:color="000000" w:fill="FFFFFF"/>
            <w:vAlign w:val="center"/>
          </w:tcPr>
          <w:p w14:paraId="7AD4B9EA" w14:textId="77777777" w:rsidR="000711E6" w:rsidRPr="00E47AA9" w:rsidRDefault="000711E6"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3FB7ABC1" w14:textId="77777777" w:rsidTr="00845A54">
        <w:trPr>
          <w:trHeight w:val="20"/>
          <w:tblHeader/>
        </w:trPr>
        <w:tc>
          <w:tcPr>
            <w:tcW w:w="386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2077ED0"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Наименование </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14:paraId="1498B740"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w:t>
            </w:r>
          </w:p>
          <w:p w14:paraId="41BAC2E1"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 2024 год</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14:paraId="34D30728"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w:t>
            </w:r>
          </w:p>
          <w:p w14:paraId="1EC66612"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за 2024 год</w:t>
            </w:r>
          </w:p>
        </w:tc>
        <w:tc>
          <w:tcPr>
            <w:tcW w:w="911" w:type="dxa"/>
            <w:tcBorders>
              <w:top w:val="single" w:sz="4" w:space="0" w:color="auto"/>
              <w:left w:val="nil"/>
              <w:bottom w:val="single" w:sz="4" w:space="0" w:color="auto"/>
              <w:right w:val="single" w:sz="4" w:space="0" w:color="auto"/>
            </w:tcBorders>
            <w:shd w:val="clear" w:color="000000" w:fill="FFFFFF"/>
            <w:vAlign w:val="center"/>
          </w:tcPr>
          <w:p w14:paraId="3C468087"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w:t>
            </w:r>
          </w:p>
        </w:tc>
        <w:tc>
          <w:tcPr>
            <w:tcW w:w="1549" w:type="dxa"/>
            <w:tcBorders>
              <w:top w:val="single" w:sz="4" w:space="0" w:color="auto"/>
              <w:left w:val="nil"/>
              <w:bottom w:val="single" w:sz="4" w:space="0" w:color="auto"/>
              <w:right w:val="single" w:sz="4" w:space="0" w:color="auto"/>
            </w:tcBorders>
            <w:shd w:val="clear" w:color="000000" w:fill="FFFFFF"/>
            <w:vAlign w:val="center"/>
            <w:hideMark/>
          </w:tcPr>
          <w:p w14:paraId="77BD9986"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r>
      <w:tr w:rsidR="00E47AA9" w:rsidRPr="00E47AA9" w14:paraId="3AAEFA2C" w14:textId="77777777" w:rsidTr="00845A54">
        <w:trPr>
          <w:trHeight w:val="20"/>
        </w:trPr>
        <w:tc>
          <w:tcPr>
            <w:tcW w:w="3867" w:type="dxa"/>
            <w:tcBorders>
              <w:top w:val="single" w:sz="4" w:space="0" w:color="auto"/>
              <w:left w:val="single" w:sz="4" w:space="0" w:color="auto"/>
              <w:bottom w:val="single" w:sz="4" w:space="0" w:color="auto"/>
              <w:right w:val="single" w:sz="4" w:space="0" w:color="auto"/>
            </w:tcBorders>
            <w:shd w:val="clear" w:color="000000" w:fill="FFFFFF"/>
            <w:vAlign w:val="bottom"/>
          </w:tcPr>
          <w:p w14:paraId="0444F18B" w14:textId="77777777" w:rsidR="000711E6" w:rsidRPr="00E47AA9" w:rsidRDefault="000711E6" w:rsidP="00845A54">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Расходы по ГП всего,</w:t>
            </w:r>
          </w:p>
          <w:p w14:paraId="63F32095" w14:textId="77777777" w:rsidR="000711E6" w:rsidRPr="00E47AA9" w:rsidRDefault="000711E6" w:rsidP="007C678E">
            <w:pPr>
              <w:spacing w:after="0" w:line="240" w:lineRule="auto"/>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в том числе</w:t>
            </w:r>
          </w:p>
        </w:tc>
        <w:tc>
          <w:tcPr>
            <w:tcW w:w="1417" w:type="dxa"/>
            <w:tcBorders>
              <w:top w:val="single" w:sz="8" w:space="0" w:color="auto"/>
              <w:left w:val="single" w:sz="8" w:space="0" w:color="auto"/>
              <w:bottom w:val="single" w:sz="8" w:space="0" w:color="000000"/>
              <w:right w:val="single" w:sz="8" w:space="0" w:color="auto"/>
            </w:tcBorders>
            <w:shd w:val="clear" w:color="auto" w:fill="auto"/>
            <w:vAlign w:val="bottom"/>
          </w:tcPr>
          <w:p w14:paraId="0135F216" w14:textId="77777777" w:rsidR="000711E6" w:rsidRPr="00E47AA9" w:rsidRDefault="000711E6" w:rsidP="00845A54">
            <w:pPr>
              <w:spacing w:after="0" w:line="240" w:lineRule="auto"/>
              <w:jc w:val="right"/>
              <w:rPr>
                <w:rFonts w:ascii="Times New Roman" w:eastAsia="Calibri" w:hAnsi="Times New Roman" w:cs="Times New Roman"/>
                <w:b/>
                <w:bCs/>
                <w:sz w:val="20"/>
                <w:szCs w:val="20"/>
              </w:rPr>
            </w:pPr>
            <w:r w:rsidRPr="00E47AA9">
              <w:rPr>
                <w:rFonts w:ascii="Times New Roman" w:hAnsi="Times New Roman" w:cs="Times New Roman"/>
                <w:b/>
                <w:bCs/>
                <w:sz w:val="20"/>
                <w:szCs w:val="20"/>
              </w:rPr>
              <w:t>2 747,53</w:t>
            </w:r>
          </w:p>
        </w:tc>
        <w:tc>
          <w:tcPr>
            <w:tcW w:w="1418" w:type="dxa"/>
            <w:tcBorders>
              <w:top w:val="single" w:sz="8" w:space="0" w:color="auto"/>
              <w:left w:val="single" w:sz="8" w:space="0" w:color="auto"/>
              <w:bottom w:val="single" w:sz="8" w:space="0" w:color="000000"/>
              <w:right w:val="single" w:sz="8" w:space="0" w:color="auto"/>
            </w:tcBorders>
            <w:shd w:val="clear" w:color="auto" w:fill="auto"/>
            <w:vAlign w:val="bottom"/>
          </w:tcPr>
          <w:p w14:paraId="0D94F66F" w14:textId="77777777" w:rsidR="000711E6" w:rsidRPr="00E47AA9" w:rsidRDefault="000711E6" w:rsidP="00845A54">
            <w:pPr>
              <w:spacing w:after="0" w:line="240" w:lineRule="auto"/>
              <w:jc w:val="right"/>
              <w:rPr>
                <w:rFonts w:ascii="Times New Roman" w:eastAsia="Calibri" w:hAnsi="Times New Roman" w:cs="Times New Roman"/>
                <w:b/>
                <w:bCs/>
                <w:sz w:val="20"/>
                <w:szCs w:val="20"/>
              </w:rPr>
            </w:pPr>
            <w:r w:rsidRPr="00E47AA9">
              <w:rPr>
                <w:rFonts w:ascii="Times New Roman" w:hAnsi="Times New Roman" w:cs="Times New Roman"/>
                <w:b/>
                <w:bCs/>
                <w:sz w:val="20"/>
                <w:szCs w:val="20"/>
              </w:rPr>
              <w:t>2 530,60</w:t>
            </w:r>
          </w:p>
        </w:tc>
        <w:tc>
          <w:tcPr>
            <w:tcW w:w="911" w:type="dxa"/>
            <w:tcBorders>
              <w:top w:val="single" w:sz="8" w:space="0" w:color="auto"/>
              <w:left w:val="single" w:sz="8" w:space="0" w:color="auto"/>
              <w:bottom w:val="single" w:sz="8" w:space="0" w:color="000000"/>
              <w:right w:val="single" w:sz="8" w:space="0" w:color="auto"/>
            </w:tcBorders>
            <w:shd w:val="clear" w:color="auto" w:fill="auto"/>
            <w:vAlign w:val="bottom"/>
          </w:tcPr>
          <w:p w14:paraId="26BEBBE5" w14:textId="77777777" w:rsidR="000711E6" w:rsidRPr="00E47AA9" w:rsidRDefault="000711E6" w:rsidP="00845A54">
            <w:pPr>
              <w:spacing w:after="0" w:line="240" w:lineRule="auto"/>
              <w:jc w:val="right"/>
              <w:rPr>
                <w:rFonts w:ascii="Times New Roman" w:eastAsia="Calibri" w:hAnsi="Times New Roman" w:cs="Times New Roman"/>
                <w:b/>
                <w:bCs/>
                <w:sz w:val="20"/>
                <w:szCs w:val="20"/>
              </w:rPr>
            </w:pPr>
            <w:r w:rsidRPr="00E47AA9">
              <w:rPr>
                <w:rFonts w:ascii="Times New Roman" w:eastAsia="Calibri" w:hAnsi="Times New Roman" w:cs="Times New Roman"/>
                <w:b/>
                <w:bCs/>
                <w:sz w:val="20"/>
                <w:szCs w:val="20"/>
              </w:rPr>
              <w:t>92,10</w:t>
            </w:r>
          </w:p>
        </w:tc>
        <w:tc>
          <w:tcPr>
            <w:tcW w:w="1549" w:type="dxa"/>
            <w:tcBorders>
              <w:top w:val="single" w:sz="8" w:space="0" w:color="auto"/>
              <w:left w:val="single" w:sz="8" w:space="0" w:color="auto"/>
              <w:bottom w:val="single" w:sz="8" w:space="0" w:color="000000"/>
              <w:right w:val="single" w:sz="8" w:space="0" w:color="auto"/>
            </w:tcBorders>
            <w:shd w:val="clear" w:color="auto" w:fill="auto"/>
            <w:vAlign w:val="bottom"/>
          </w:tcPr>
          <w:p w14:paraId="7E3B0EAD" w14:textId="77777777" w:rsidR="000711E6" w:rsidRPr="00E47AA9" w:rsidRDefault="000711E6" w:rsidP="00845A54">
            <w:pPr>
              <w:spacing w:after="0" w:line="240" w:lineRule="auto"/>
              <w:jc w:val="right"/>
              <w:rPr>
                <w:rFonts w:ascii="Times New Roman" w:eastAsia="Calibri" w:hAnsi="Times New Roman" w:cs="Times New Roman"/>
                <w:b/>
                <w:bCs/>
                <w:sz w:val="20"/>
                <w:szCs w:val="20"/>
              </w:rPr>
            </w:pPr>
            <w:r w:rsidRPr="00E47AA9">
              <w:rPr>
                <w:rFonts w:ascii="Times New Roman" w:eastAsia="Calibri" w:hAnsi="Times New Roman" w:cs="Times New Roman"/>
                <w:b/>
                <w:bCs/>
                <w:sz w:val="20"/>
                <w:szCs w:val="20"/>
              </w:rPr>
              <w:t>216,93</w:t>
            </w:r>
          </w:p>
        </w:tc>
      </w:tr>
      <w:tr w:rsidR="00E47AA9" w:rsidRPr="00E47AA9" w14:paraId="7EA45691" w14:textId="77777777" w:rsidTr="00845A54">
        <w:trPr>
          <w:trHeight w:val="20"/>
        </w:trPr>
        <w:tc>
          <w:tcPr>
            <w:tcW w:w="3867" w:type="dxa"/>
            <w:tcBorders>
              <w:top w:val="nil"/>
              <w:left w:val="single" w:sz="4" w:space="0" w:color="auto"/>
              <w:bottom w:val="single" w:sz="4" w:space="0" w:color="auto"/>
              <w:right w:val="single" w:sz="4" w:space="0" w:color="auto"/>
            </w:tcBorders>
            <w:shd w:val="clear" w:color="000000" w:fill="FFFFFF"/>
            <w:vAlign w:val="bottom"/>
          </w:tcPr>
          <w:p w14:paraId="65C03AD4" w14:textId="77777777" w:rsidR="000711E6" w:rsidRPr="00E47AA9" w:rsidRDefault="000711E6" w:rsidP="00845A54">
            <w:pPr>
              <w:spacing w:after="0" w:line="240" w:lineRule="auto"/>
              <w:rPr>
                <w:rFonts w:ascii="Times New Roman" w:eastAsia="Calibri" w:hAnsi="Times New Roman" w:cs="Times New Roman"/>
                <w:b/>
                <w:i/>
                <w:iCs/>
                <w:sz w:val="20"/>
                <w:szCs w:val="20"/>
              </w:rPr>
            </w:pPr>
            <w:r w:rsidRPr="00E47AA9">
              <w:rPr>
                <w:rFonts w:ascii="Times New Roman" w:eastAsia="Calibri" w:hAnsi="Times New Roman" w:cs="Times New Roman"/>
                <w:b/>
                <w:bCs/>
                <w:sz w:val="20"/>
                <w:szCs w:val="20"/>
              </w:rPr>
              <w:t>проектные мероприятия</w:t>
            </w:r>
          </w:p>
        </w:tc>
        <w:tc>
          <w:tcPr>
            <w:tcW w:w="1417" w:type="dxa"/>
            <w:tcBorders>
              <w:top w:val="nil"/>
              <w:left w:val="nil"/>
              <w:bottom w:val="single" w:sz="8" w:space="0" w:color="auto"/>
              <w:right w:val="single" w:sz="8" w:space="0" w:color="auto"/>
            </w:tcBorders>
            <w:shd w:val="clear" w:color="auto" w:fill="auto"/>
            <w:vAlign w:val="bottom"/>
          </w:tcPr>
          <w:p w14:paraId="1A9DD6D9"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783,16</w:t>
            </w:r>
          </w:p>
        </w:tc>
        <w:tc>
          <w:tcPr>
            <w:tcW w:w="1418" w:type="dxa"/>
            <w:tcBorders>
              <w:top w:val="nil"/>
              <w:left w:val="nil"/>
              <w:bottom w:val="single" w:sz="8" w:space="0" w:color="auto"/>
              <w:right w:val="single" w:sz="8" w:space="0" w:color="auto"/>
            </w:tcBorders>
            <w:shd w:val="clear" w:color="auto" w:fill="auto"/>
            <w:vAlign w:val="bottom"/>
          </w:tcPr>
          <w:p w14:paraId="3447F1AA"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610,19</w:t>
            </w:r>
          </w:p>
        </w:tc>
        <w:tc>
          <w:tcPr>
            <w:tcW w:w="911" w:type="dxa"/>
            <w:tcBorders>
              <w:top w:val="nil"/>
              <w:left w:val="nil"/>
              <w:bottom w:val="single" w:sz="8" w:space="0" w:color="auto"/>
              <w:right w:val="single" w:sz="8" w:space="0" w:color="auto"/>
            </w:tcBorders>
            <w:shd w:val="clear" w:color="auto" w:fill="auto"/>
            <w:vAlign w:val="bottom"/>
          </w:tcPr>
          <w:p w14:paraId="470ECE64"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77,91</w:t>
            </w:r>
          </w:p>
        </w:tc>
        <w:tc>
          <w:tcPr>
            <w:tcW w:w="1549" w:type="dxa"/>
            <w:tcBorders>
              <w:top w:val="nil"/>
              <w:left w:val="nil"/>
              <w:bottom w:val="single" w:sz="8" w:space="0" w:color="auto"/>
              <w:right w:val="single" w:sz="8" w:space="0" w:color="auto"/>
            </w:tcBorders>
            <w:shd w:val="clear" w:color="auto" w:fill="auto"/>
            <w:vAlign w:val="bottom"/>
          </w:tcPr>
          <w:p w14:paraId="1E109EAF"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172,97</w:t>
            </w:r>
          </w:p>
        </w:tc>
      </w:tr>
      <w:tr w:rsidR="00E47AA9" w:rsidRPr="00E47AA9" w14:paraId="4DC4C14C" w14:textId="77777777" w:rsidTr="00845A54">
        <w:trPr>
          <w:trHeight w:val="20"/>
        </w:trPr>
        <w:tc>
          <w:tcPr>
            <w:tcW w:w="3867" w:type="dxa"/>
            <w:tcBorders>
              <w:top w:val="nil"/>
              <w:left w:val="single" w:sz="4" w:space="0" w:color="auto"/>
              <w:bottom w:val="single" w:sz="4" w:space="0" w:color="auto"/>
              <w:right w:val="single" w:sz="4" w:space="0" w:color="auto"/>
            </w:tcBorders>
            <w:shd w:val="clear" w:color="000000" w:fill="FFFFFF"/>
            <w:vAlign w:val="bottom"/>
          </w:tcPr>
          <w:p w14:paraId="019A0552" w14:textId="77777777" w:rsidR="000711E6" w:rsidRPr="00E47AA9" w:rsidRDefault="000711E6" w:rsidP="00845A54">
            <w:pPr>
              <w:spacing w:after="0" w:line="240" w:lineRule="auto"/>
              <w:rPr>
                <w:rFonts w:ascii="Times New Roman" w:eastAsia="Calibri" w:hAnsi="Times New Roman" w:cs="Times New Roman"/>
                <w:b/>
                <w:i/>
                <w:iCs/>
                <w:sz w:val="20"/>
                <w:szCs w:val="20"/>
              </w:rPr>
            </w:pPr>
            <w:r w:rsidRPr="00E47AA9">
              <w:rPr>
                <w:rFonts w:ascii="Times New Roman" w:eastAsia="Calibri" w:hAnsi="Times New Roman" w:cs="Times New Roman"/>
                <w:b/>
                <w:i/>
                <w:iCs/>
                <w:sz w:val="20"/>
                <w:szCs w:val="20"/>
              </w:rPr>
              <w:t>РП, входящие в состав НП "Экология"</w:t>
            </w:r>
          </w:p>
        </w:tc>
        <w:tc>
          <w:tcPr>
            <w:tcW w:w="1417" w:type="dxa"/>
            <w:tcBorders>
              <w:top w:val="nil"/>
              <w:left w:val="nil"/>
              <w:bottom w:val="single" w:sz="8" w:space="0" w:color="auto"/>
              <w:right w:val="single" w:sz="8" w:space="0" w:color="auto"/>
            </w:tcBorders>
            <w:shd w:val="clear" w:color="auto" w:fill="auto"/>
            <w:vAlign w:val="bottom"/>
          </w:tcPr>
          <w:p w14:paraId="0CCACC05" w14:textId="77777777" w:rsidR="000711E6" w:rsidRPr="00E47AA9" w:rsidRDefault="000711E6" w:rsidP="00845A54">
            <w:pPr>
              <w:spacing w:after="0" w:line="240" w:lineRule="auto"/>
              <w:jc w:val="right"/>
              <w:rPr>
                <w:rFonts w:ascii="Times New Roman" w:eastAsia="Calibri" w:hAnsi="Times New Roman" w:cs="Times New Roman"/>
                <w:b/>
                <w:i/>
                <w:sz w:val="20"/>
                <w:szCs w:val="20"/>
              </w:rPr>
            </w:pPr>
            <w:r w:rsidRPr="00E47AA9">
              <w:rPr>
                <w:rFonts w:ascii="Times New Roman" w:hAnsi="Times New Roman" w:cs="Times New Roman"/>
                <w:sz w:val="20"/>
                <w:szCs w:val="20"/>
              </w:rPr>
              <w:t>280,13</w:t>
            </w:r>
          </w:p>
        </w:tc>
        <w:tc>
          <w:tcPr>
            <w:tcW w:w="1418" w:type="dxa"/>
            <w:tcBorders>
              <w:top w:val="nil"/>
              <w:left w:val="nil"/>
              <w:bottom w:val="single" w:sz="8" w:space="0" w:color="auto"/>
              <w:right w:val="single" w:sz="8" w:space="0" w:color="auto"/>
            </w:tcBorders>
            <w:shd w:val="clear" w:color="auto" w:fill="auto"/>
            <w:vAlign w:val="bottom"/>
          </w:tcPr>
          <w:p w14:paraId="5B019C41" w14:textId="77777777" w:rsidR="000711E6" w:rsidRPr="00E47AA9" w:rsidRDefault="000711E6" w:rsidP="00845A54">
            <w:pPr>
              <w:spacing w:after="0" w:line="240" w:lineRule="auto"/>
              <w:jc w:val="right"/>
              <w:rPr>
                <w:rFonts w:ascii="Times New Roman" w:eastAsia="Calibri" w:hAnsi="Times New Roman" w:cs="Times New Roman"/>
                <w:b/>
                <w:i/>
                <w:sz w:val="20"/>
                <w:szCs w:val="20"/>
              </w:rPr>
            </w:pPr>
            <w:r w:rsidRPr="00E47AA9">
              <w:rPr>
                <w:rFonts w:ascii="Times New Roman" w:hAnsi="Times New Roman" w:cs="Times New Roman"/>
                <w:sz w:val="20"/>
                <w:szCs w:val="20"/>
              </w:rPr>
              <w:t>232,69</w:t>
            </w:r>
          </w:p>
        </w:tc>
        <w:tc>
          <w:tcPr>
            <w:tcW w:w="911" w:type="dxa"/>
            <w:tcBorders>
              <w:top w:val="nil"/>
              <w:left w:val="nil"/>
              <w:bottom w:val="single" w:sz="8" w:space="0" w:color="auto"/>
              <w:right w:val="single" w:sz="8" w:space="0" w:color="auto"/>
            </w:tcBorders>
            <w:shd w:val="clear" w:color="auto" w:fill="auto"/>
            <w:vAlign w:val="bottom"/>
          </w:tcPr>
          <w:p w14:paraId="67D4570B" w14:textId="77777777" w:rsidR="000711E6" w:rsidRPr="00E47AA9" w:rsidRDefault="000711E6" w:rsidP="00845A54">
            <w:pPr>
              <w:spacing w:after="0" w:line="240" w:lineRule="auto"/>
              <w:jc w:val="right"/>
              <w:rPr>
                <w:rFonts w:ascii="Times New Roman" w:eastAsia="Calibri" w:hAnsi="Times New Roman" w:cs="Times New Roman"/>
                <w:b/>
                <w:i/>
                <w:sz w:val="20"/>
                <w:szCs w:val="20"/>
              </w:rPr>
            </w:pPr>
            <w:r w:rsidRPr="00E47AA9">
              <w:rPr>
                <w:rFonts w:ascii="Times New Roman" w:hAnsi="Times New Roman" w:cs="Times New Roman"/>
                <w:sz w:val="20"/>
                <w:szCs w:val="20"/>
              </w:rPr>
              <w:t>83,07</w:t>
            </w:r>
          </w:p>
        </w:tc>
        <w:tc>
          <w:tcPr>
            <w:tcW w:w="1549" w:type="dxa"/>
            <w:tcBorders>
              <w:top w:val="nil"/>
              <w:left w:val="nil"/>
              <w:bottom w:val="single" w:sz="8" w:space="0" w:color="auto"/>
              <w:right w:val="single" w:sz="8" w:space="0" w:color="auto"/>
            </w:tcBorders>
            <w:shd w:val="clear" w:color="auto" w:fill="auto"/>
            <w:vAlign w:val="bottom"/>
          </w:tcPr>
          <w:p w14:paraId="581C3908" w14:textId="77777777" w:rsidR="000711E6" w:rsidRPr="00E47AA9" w:rsidRDefault="000711E6" w:rsidP="00845A54">
            <w:pPr>
              <w:spacing w:after="0" w:line="240" w:lineRule="auto"/>
              <w:jc w:val="right"/>
              <w:rPr>
                <w:rFonts w:ascii="Times New Roman" w:eastAsia="Calibri" w:hAnsi="Times New Roman" w:cs="Times New Roman"/>
                <w:b/>
                <w:i/>
                <w:sz w:val="20"/>
                <w:szCs w:val="20"/>
              </w:rPr>
            </w:pPr>
            <w:r w:rsidRPr="00E47AA9">
              <w:rPr>
                <w:rFonts w:ascii="Times New Roman" w:hAnsi="Times New Roman" w:cs="Times New Roman"/>
                <w:sz w:val="20"/>
                <w:szCs w:val="20"/>
              </w:rPr>
              <w:t>47,44</w:t>
            </w:r>
          </w:p>
        </w:tc>
      </w:tr>
      <w:tr w:rsidR="00E47AA9" w:rsidRPr="00E47AA9" w14:paraId="1B33A2F9" w14:textId="77777777" w:rsidTr="00845A54">
        <w:trPr>
          <w:trHeight w:val="20"/>
        </w:trPr>
        <w:tc>
          <w:tcPr>
            <w:tcW w:w="3867" w:type="dxa"/>
            <w:tcBorders>
              <w:top w:val="nil"/>
              <w:left w:val="single" w:sz="4" w:space="0" w:color="auto"/>
              <w:bottom w:val="single" w:sz="4" w:space="0" w:color="auto"/>
              <w:right w:val="single" w:sz="4" w:space="0" w:color="auto"/>
            </w:tcBorders>
            <w:shd w:val="clear" w:color="000000" w:fill="FFFFFF"/>
            <w:vAlign w:val="bottom"/>
          </w:tcPr>
          <w:p w14:paraId="10384ED6" w14:textId="77777777" w:rsidR="000711E6" w:rsidRPr="00E47AA9" w:rsidRDefault="000711E6" w:rsidP="00845A54">
            <w:pPr>
              <w:spacing w:after="0" w:line="240" w:lineRule="auto"/>
              <w:rPr>
                <w:rFonts w:ascii="Times New Roman" w:eastAsia="Calibri" w:hAnsi="Times New Roman" w:cs="Times New Roman"/>
                <w:sz w:val="20"/>
                <w:szCs w:val="20"/>
              </w:rPr>
            </w:pPr>
            <w:r w:rsidRPr="00E47AA9">
              <w:rPr>
                <w:rFonts w:ascii="Times New Roman" w:eastAsia="Calibri" w:hAnsi="Times New Roman" w:cs="Times New Roman"/>
                <w:sz w:val="20"/>
                <w:szCs w:val="20"/>
              </w:rPr>
              <w:t>РП "Чистая страна"</w:t>
            </w:r>
          </w:p>
        </w:tc>
        <w:tc>
          <w:tcPr>
            <w:tcW w:w="1417" w:type="dxa"/>
            <w:tcBorders>
              <w:top w:val="nil"/>
              <w:left w:val="nil"/>
              <w:bottom w:val="single" w:sz="8" w:space="0" w:color="auto"/>
              <w:right w:val="single" w:sz="8" w:space="0" w:color="auto"/>
            </w:tcBorders>
            <w:shd w:val="clear" w:color="auto" w:fill="auto"/>
            <w:vAlign w:val="bottom"/>
          </w:tcPr>
          <w:p w14:paraId="5B35337E"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280,13</w:t>
            </w:r>
          </w:p>
        </w:tc>
        <w:tc>
          <w:tcPr>
            <w:tcW w:w="1418" w:type="dxa"/>
            <w:tcBorders>
              <w:top w:val="nil"/>
              <w:left w:val="nil"/>
              <w:bottom w:val="single" w:sz="8" w:space="0" w:color="auto"/>
              <w:right w:val="single" w:sz="8" w:space="0" w:color="auto"/>
            </w:tcBorders>
            <w:shd w:val="clear" w:color="auto" w:fill="auto"/>
            <w:vAlign w:val="bottom"/>
          </w:tcPr>
          <w:p w14:paraId="23055B1E"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232,69</w:t>
            </w:r>
          </w:p>
        </w:tc>
        <w:tc>
          <w:tcPr>
            <w:tcW w:w="911" w:type="dxa"/>
            <w:tcBorders>
              <w:top w:val="nil"/>
              <w:left w:val="nil"/>
              <w:bottom w:val="single" w:sz="8" w:space="0" w:color="auto"/>
              <w:right w:val="single" w:sz="8" w:space="0" w:color="auto"/>
            </w:tcBorders>
            <w:shd w:val="clear" w:color="auto" w:fill="auto"/>
            <w:vAlign w:val="bottom"/>
          </w:tcPr>
          <w:p w14:paraId="1F85486B"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83,07</w:t>
            </w:r>
          </w:p>
        </w:tc>
        <w:tc>
          <w:tcPr>
            <w:tcW w:w="1549" w:type="dxa"/>
            <w:tcBorders>
              <w:top w:val="nil"/>
              <w:left w:val="nil"/>
              <w:bottom w:val="single" w:sz="8" w:space="0" w:color="auto"/>
              <w:right w:val="single" w:sz="8" w:space="0" w:color="auto"/>
            </w:tcBorders>
            <w:shd w:val="clear" w:color="auto" w:fill="auto"/>
            <w:vAlign w:val="bottom"/>
          </w:tcPr>
          <w:p w14:paraId="57380564"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47,44</w:t>
            </w:r>
          </w:p>
        </w:tc>
      </w:tr>
      <w:tr w:rsidR="00E47AA9" w:rsidRPr="00E47AA9" w14:paraId="7C7E42CB" w14:textId="77777777" w:rsidTr="00845A54">
        <w:trPr>
          <w:trHeight w:val="20"/>
        </w:trPr>
        <w:tc>
          <w:tcPr>
            <w:tcW w:w="3867" w:type="dxa"/>
            <w:tcBorders>
              <w:top w:val="nil"/>
              <w:left w:val="single" w:sz="4" w:space="0" w:color="auto"/>
              <w:bottom w:val="single" w:sz="4" w:space="0" w:color="auto"/>
              <w:right w:val="single" w:sz="4" w:space="0" w:color="auto"/>
            </w:tcBorders>
            <w:shd w:val="clear" w:color="000000" w:fill="FFFFFF"/>
            <w:vAlign w:val="bottom"/>
          </w:tcPr>
          <w:p w14:paraId="26FFF589" w14:textId="77777777" w:rsidR="000711E6" w:rsidRPr="00E47AA9" w:rsidRDefault="000711E6" w:rsidP="00845A54">
            <w:pPr>
              <w:spacing w:after="0" w:line="240" w:lineRule="auto"/>
              <w:rPr>
                <w:rFonts w:ascii="Times New Roman" w:eastAsia="Calibri" w:hAnsi="Times New Roman" w:cs="Times New Roman"/>
                <w:b/>
                <w:iCs/>
                <w:sz w:val="20"/>
                <w:szCs w:val="20"/>
              </w:rPr>
            </w:pPr>
            <w:r w:rsidRPr="00E47AA9">
              <w:rPr>
                <w:rFonts w:ascii="Times New Roman" w:eastAsia="Calibri" w:hAnsi="Times New Roman" w:cs="Times New Roman"/>
                <w:b/>
                <w:iCs/>
                <w:sz w:val="20"/>
                <w:szCs w:val="20"/>
              </w:rPr>
              <w:t>РП, не входящие в состав НП</w:t>
            </w:r>
          </w:p>
        </w:tc>
        <w:tc>
          <w:tcPr>
            <w:tcW w:w="1417" w:type="dxa"/>
            <w:tcBorders>
              <w:top w:val="nil"/>
              <w:left w:val="nil"/>
              <w:bottom w:val="single" w:sz="8" w:space="0" w:color="auto"/>
              <w:right w:val="single" w:sz="8" w:space="0" w:color="auto"/>
            </w:tcBorders>
            <w:shd w:val="clear" w:color="auto" w:fill="auto"/>
            <w:vAlign w:val="bottom"/>
          </w:tcPr>
          <w:p w14:paraId="447B62C2" w14:textId="77777777" w:rsidR="000711E6" w:rsidRPr="00E47AA9" w:rsidRDefault="000711E6" w:rsidP="00845A54">
            <w:pPr>
              <w:spacing w:after="0" w:line="240" w:lineRule="auto"/>
              <w:jc w:val="right"/>
              <w:rPr>
                <w:rFonts w:ascii="Times New Roman" w:eastAsia="Calibri" w:hAnsi="Times New Roman" w:cs="Times New Roman"/>
                <w:b/>
                <w:sz w:val="20"/>
                <w:szCs w:val="20"/>
              </w:rPr>
            </w:pPr>
            <w:r w:rsidRPr="00E47AA9">
              <w:rPr>
                <w:rFonts w:ascii="Times New Roman" w:hAnsi="Times New Roman" w:cs="Times New Roman"/>
                <w:sz w:val="20"/>
                <w:szCs w:val="20"/>
              </w:rPr>
              <w:t>503,03</w:t>
            </w:r>
          </w:p>
        </w:tc>
        <w:tc>
          <w:tcPr>
            <w:tcW w:w="1418" w:type="dxa"/>
            <w:tcBorders>
              <w:top w:val="nil"/>
              <w:left w:val="nil"/>
              <w:bottom w:val="single" w:sz="8" w:space="0" w:color="auto"/>
              <w:right w:val="single" w:sz="8" w:space="0" w:color="auto"/>
            </w:tcBorders>
            <w:shd w:val="clear" w:color="auto" w:fill="auto"/>
            <w:vAlign w:val="bottom"/>
          </w:tcPr>
          <w:p w14:paraId="4C888C16" w14:textId="77777777" w:rsidR="000711E6" w:rsidRPr="00E47AA9" w:rsidRDefault="000711E6" w:rsidP="00845A54">
            <w:pPr>
              <w:spacing w:after="0" w:line="240" w:lineRule="auto"/>
              <w:jc w:val="right"/>
              <w:rPr>
                <w:rFonts w:ascii="Times New Roman" w:eastAsia="Calibri" w:hAnsi="Times New Roman" w:cs="Times New Roman"/>
                <w:b/>
                <w:sz w:val="20"/>
                <w:szCs w:val="20"/>
              </w:rPr>
            </w:pPr>
            <w:r w:rsidRPr="00E47AA9">
              <w:rPr>
                <w:rFonts w:ascii="Times New Roman" w:hAnsi="Times New Roman" w:cs="Times New Roman"/>
                <w:sz w:val="20"/>
                <w:szCs w:val="20"/>
              </w:rPr>
              <w:t>377,50</w:t>
            </w:r>
          </w:p>
        </w:tc>
        <w:tc>
          <w:tcPr>
            <w:tcW w:w="911" w:type="dxa"/>
            <w:tcBorders>
              <w:top w:val="nil"/>
              <w:left w:val="nil"/>
              <w:bottom w:val="single" w:sz="8" w:space="0" w:color="auto"/>
              <w:right w:val="single" w:sz="8" w:space="0" w:color="auto"/>
            </w:tcBorders>
            <w:shd w:val="clear" w:color="auto" w:fill="auto"/>
            <w:vAlign w:val="bottom"/>
          </w:tcPr>
          <w:p w14:paraId="2D72F924" w14:textId="77777777" w:rsidR="000711E6" w:rsidRPr="00E47AA9" w:rsidRDefault="000711E6" w:rsidP="00845A54">
            <w:pPr>
              <w:spacing w:after="0" w:line="240" w:lineRule="auto"/>
              <w:jc w:val="right"/>
              <w:rPr>
                <w:rFonts w:ascii="Times New Roman" w:eastAsia="Calibri" w:hAnsi="Times New Roman" w:cs="Times New Roman"/>
                <w:b/>
                <w:sz w:val="20"/>
                <w:szCs w:val="20"/>
              </w:rPr>
            </w:pPr>
            <w:r w:rsidRPr="00E47AA9">
              <w:rPr>
                <w:rFonts w:ascii="Times New Roman" w:hAnsi="Times New Roman" w:cs="Times New Roman"/>
                <w:sz w:val="20"/>
                <w:szCs w:val="20"/>
              </w:rPr>
              <w:t>75,05</w:t>
            </w:r>
          </w:p>
        </w:tc>
        <w:tc>
          <w:tcPr>
            <w:tcW w:w="1549" w:type="dxa"/>
            <w:tcBorders>
              <w:top w:val="nil"/>
              <w:left w:val="nil"/>
              <w:bottom w:val="single" w:sz="8" w:space="0" w:color="auto"/>
              <w:right w:val="single" w:sz="8" w:space="0" w:color="auto"/>
            </w:tcBorders>
            <w:shd w:val="clear" w:color="auto" w:fill="auto"/>
            <w:vAlign w:val="bottom"/>
          </w:tcPr>
          <w:p w14:paraId="2ECCA90E" w14:textId="77777777" w:rsidR="000711E6" w:rsidRPr="00E47AA9" w:rsidRDefault="000711E6" w:rsidP="00845A54">
            <w:pPr>
              <w:spacing w:after="0" w:line="240" w:lineRule="auto"/>
              <w:jc w:val="right"/>
              <w:rPr>
                <w:rFonts w:ascii="Times New Roman" w:eastAsia="Calibri" w:hAnsi="Times New Roman" w:cs="Times New Roman"/>
                <w:b/>
                <w:sz w:val="20"/>
                <w:szCs w:val="20"/>
              </w:rPr>
            </w:pPr>
            <w:r w:rsidRPr="00E47AA9">
              <w:rPr>
                <w:rFonts w:ascii="Times New Roman" w:hAnsi="Times New Roman" w:cs="Times New Roman"/>
                <w:sz w:val="20"/>
                <w:szCs w:val="20"/>
              </w:rPr>
              <w:t>125,53</w:t>
            </w:r>
          </w:p>
        </w:tc>
      </w:tr>
      <w:tr w:rsidR="00E47AA9" w:rsidRPr="00E47AA9" w14:paraId="70E262C7" w14:textId="77777777" w:rsidTr="00845A54">
        <w:trPr>
          <w:trHeight w:val="20"/>
        </w:trPr>
        <w:tc>
          <w:tcPr>
            <w:tcW w:w="3867" w:type="dxa"/>
            <w:tcBorders>
              <w:top w:val="nil"/>
              <w:left w:val="single" w:sz="4" w:space="0" w:color="auto"/>
              <w:bottom w:val="single" w:sz="4" w:space="0" w:color="auto"/>
              <w:right w:val="single" w:sz="4" w:space="0" w:color="auto"/>
            </w:tcBorders>
            <w:shd w:val="clear" w:color="000000" w:fill="FFFFFF"/>
            <w:vAlign w:val="bottom"/>
          </w:tcPr>
          <w:p w14:paraId="12D5553E" w14:textId="77777777" w:rsidR="000711E6" w:rsidRPr="00E47AA9" w:rsidRDefault="000711E6" w:rsidP="00845A54">
            <w:pPr>
              <w:spacing w:after="0" w:line="240" w:lineRule="auto"/>
              <w:rPr>
                <w:rFonts w:ascii="Times New Roman" w:eastAsia="Calibri" w:hAnsi="Times New Roman" w:cs="Times New Roman"/>
                <w:bCs/>
                <w:iCs/>
                <w:sz w:val="20"/>
                <w:szCs w:val="20"/>
              </w:rPr>
            </w:pPr>
            <w:r w:rsidRPr="00E47AA9">
              <w:rPr>
                <w:rFonts w:ascii="Times New Roman" w:eastAsia="Calibri" w:hAnsi="Times New Roman" w:cs="Times New Roman"/>
                <w:bCs/>
                <w:iCs/>
                <w:sz w:val="20"/>
                <w:szCs w:val="20"/>
              </w:rPr>
              <w:t>РП "Генеральная уборка (Приморский край)"</w:t>
            </w:r>
          </w:p>
        </w:tc>
        <w:tc>
          <w:tcPr>
            <w:tcW w:w="1417" w:type="dxa"/>
            <w:tcBorders>
              <w:top w:val="nil"/>
              <w:left w:val="nil"/>
              <w:bottom w:val="single" w:sz="4" w:space="0" w:color="auto"/>
              <w:right w:val="single" w:sz="8" w:space="0" w:color="auto"/>
            </w:tcBorders>
            <w:shd w:val="clear" w:color="auto" w:fill="auto"/>
            <w:vAlign w:val="bottom"/>
          </w:tcPr>
          <w:p w14:paraId="1D33E9CB"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110,00</w:t>
            </w:r>
          </w:p>
        </w:tc>
        <w:tc>
          <w:tcPr>
            <w:tcW w:w="1418" w:type="dxa"/>
            <w:tcBorders>
              <w:top w:val="nil"/>
              <w:left w:val="nil"/>
              <w:bottom w:val="single" w:sz="4" w:space="0" w:color="auto"/>
              <w:right w:val="single" w:sz="8" w:space="0" w:color="auto"/>
            </w:tcBorders>
            <w:shd w:val="clear" w:color="auto" w:fill="auto"/>
            <w:vAlign w:val="bottom"/>
          </w:tcPr>
          <w:p w14:paraId="6B9CC20C"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77,91</w:t>
            </w:r>
          </w:p>
        </w:tc>
        <w:tc>
          <w:tcPr>
            <w:tcW w:w="911" w:type="dxa"/>
            <w:tcBorders>
              <w:top w:val="nil"/>
              <w:left w:val="nil"/>
              <w:bottom w:val="single" w:sz="8" w:space="0" w:color="auto"/>
              <w:right w:val="single" w:sz="8" w:space="0" w:color="auto"/>
            </w:tcBorders>
            <w:shd w:val="clear" w:color="auto" w:fill="auto"/>
            <w:vAlign w:val="bottom"/>
          </w:tcPr>
          <w:p w14:paraId="77CD3420"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70,83</w:t>
            </w:r>
          </w:p>
        </w:tc>
        <w:tc>
          <w:tcPr>
            <w:tcW w:w="1549" w:type="dxa"/>
            <w:tcBorders>
              <w:top w:val="nil"/>
              <w:left w:val="nil"/>
              <w:bottom w:val="single" w:sz="8" w:space="0" w:color="auto"/>
              <w:right w:val="single" w:sz="8" w:space="0" w:color="auto"/>
            </w:tcBorders>
            <w:shd w:val="clear" w:color="auto" w:fill="auto"/>
            <w:vAlign w:val="bottom"/>
          </w:tcPr>
          <w:p w14:paraId="1655B3E0"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32,09</w:t>
            </w:r>
          </w:p>
        </w:tc>
      </w:tr>
      <w:tr w:rsidR="00E47AA9" w:rsidRPr="00E47AA9" w14:paraId="4E9D3FCC" w14:textId="77777777" w:rsidTr="00845A54">
        <w:trPr>
          <w:trHeight w:val="20"/>
        </w:trPr>
        <w:tc>
          <w:tcPr>
            <w:tcW w:w="3867" w:type="dxa"/>
            <w:tcBorders>
              <w:top w:val="nil"/>
              <w:left w:val="single" w:sz="4" w:space="0" w:color="auto"/>
              <w:bottom w:val="single" w:sz="4" w:space="0" w:color="auto"/>
              <w:right w:val="single" w:sz="4" w:space="0" w:color="auto"/>
            </w:tcBorders>
            <w:shd w:val="clear" w:color="000000" w:fill="FFFFFF"/>
            <w:vAlign w:val="bottom"/>
          </w:tcPr>
          <w:p w14:paraId="37F4544B" w14:textId="77777777" w:rsidR="000711E6" w:rsidRPr="00E47AA9" w:rsidRDefault="000711E6" w:rsidP="00845A54">
            <w:pPr>
              <w:spacing w:after="0" w:line="240" w:lineRule="auto"/>
              <w:rPr>
                <w:rFonts w:ascii="Times New Roman" w:eastAsia="Calibri" w:hAnsi="Times New Roman" w:cs="Times New Roman"/>
                <w:sz w:val="20"/>
                <w:szCs w:val="20"/>
              </w:rPr>
            </w:pPr>
            <w:r w:rsidRPr="00E47AA9">
              <w:rPr>
                <w:rFonts w:ascii="Times New Roman" w:eastAsia="Calibri" w:hAnsi="Times New Roman" w:cs="Times New Roman"/>
                <w:sz w:val="20"/>
                <w:szCs w:val="20"/>
              </w:rPr>
              <w:t>РП "Защита от наводнений и иных негативных воздействий вод и обеспечения безопасности гидротехнических сооружений (Приморский край)"</w:t>
            </w:r>
          </w:p>
        </w:tc>
        <w:tc>
          <w:tcPr>
            <w:tcW w:w="1417" w:type="dxa"/>
            <w:tcBorders>
              <w:top w:val="single" w:sz="4" w:space="0" w:color="auto"/>
              <w:left w:val="nil"/>
              <w:bottom w:val="single" w:sz="4" w:space="0" w:color="auto"/>
              <w:right w:val="single" w:sz="4" w:space="0" w:color="auto"/>
            </w:tcBorders>
            <w:shd w:val="clear" w:color="auto" w:fill="auto"/>
            <w:vAlign w:val="bottom"/>
          </w:tcPr>
          <w:p w14:paraId="33529F95"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393,03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14:paraId="03C0E4E9"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299,59</w:t>
            </w:r>
          </w:p>
        </w:tc>
        <w:tc>
          <w:tcPr>
            <w:tcW w:w="911" w:type="dxa"/>
            <w:tcBorders>
              <w:top w:val="nil"/>
              <w:left w:val="nil"/>
              <w:bottom w:val="single" w:sz="8" w:space="0" w:color="auto"/>
              <w:right w:val="single" w:sz="8" w:space="0" w:color="auto"/>
            </w:tcBorders>
            <w:shd w:val="clear" w:color="auto" w:fill="auto"/>
            <w:vAlign w:val="bottom"/>
          </w:tcPr>
          <w:p w14:paraId="1A1A6097"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76,23</w:t>
            </w:r>
          </w:p>
        </w:tc>
        <w:tc>
          <w:tcPr>
            <w:tcW w:w="1549" w:type="dxa"/>
            <w:tcBorders>
              <w:top w:val="nil"/>
              <w:left w:val="nil"/>
              <w:bottom w:val="single" w:sz="8" w:space="0" w:color="auto"/>
              <w:right w:val="single" w:sz="8" w:space="0" w:color="auto"/>
            </w:tcBorders>
            <w:shd w:val="clear" w:color="auto" w:fill="auto"/>
            <w:vAlign w:val="bottom"/>
          </w:tcPr>
          <w:p w14:paraId="00F83F33"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93,44</w:t>
            </w:r>
          </w:p>
        </w:tc>
      </w:tr>
      <w:tr w:rsidR="00E47AA9" w:rsidRPr="00E47AA9" w14:paraId="3009A5F5" w14:textId="77777777" w:rsidTr="00845A54">
        <w:trPr>
          <w:trHeight w:val="20"/>
        </w:trPr>
        <w:tc>
          <w:tcPr>
            <w:tcW w:w="3867" w:type="dxa"/>
            <w:tcBorders>
              <w:top w:val="nil"/>
              <w:left w:val="single" w:sz="4" w:space="0" w:color="auto"/>
              <w:bottom w:val="single" w:sz="4" w:space="0" w:color="auto"/>
              <w:right w:val="single" w:sz="4" w:space="0" w:color="auto"/>
            </w:tcBorders>
            <w:shd w:val="clear" w:color="000000" w:fill="FFFFFF"/>
            <w:vAlign w:val="bottom"/>
          </w:tcPr>
          <w:p w14:paraId="01A55EC3" w14:textId="77777777" w:rsidR="000711E6" w:rsidRPr="00E47AA9" w:rsidRDefault="000711E6" w:rsidP="00845A54">
            <w:pPr>
              <w:spacing w:after="0" w:line="240" w:lineRule="auto"/>
              <w:rPr>
                <w:rFonts w:ascii="Times New Roman" w:eastAsia="Calibri" w:hAnsi="Times New Roman" w:cs="Times New Roman"/>
                <w:b/>
                <w:bCs/>
                <w:sz w:val="20"/>
                <w:szCs w:val="20"/>
              </w:rPr>
            </w:pPr>
            <w:r w:rsidRPr="00E47AA9">
              <w:rPr>
                <w:rFonts w:ascii="Times New Roman" w:eastAsia="Calibri" w:hAnsi="Times New Roman" w:cs="Times New Roman"/>
                <w:b/>
                <w:bCs/>
                <w:sz w:val="20"/>
                <w:szCs w:val="20"/>
              </w:rPr>
              <w:t>комплексы процессных мероприятий</w:t>
            </w:r>
          </w:p>
        </w:tc>
        <w:tc>
          <w:tcPr>
            <w:tcW w:w="1417" w:type="dxa"/>
            <w:tcBorders>
              <w:top w:val="single" w:sz="4" w:space="0" w:color="auto"/>
              <w:left w:val="nil"/>
              <w:bottom w:val="single" w:sz="8" w:space="0" w:color="auto"/>
              <w:right w:val="single" w:sz="8" w:space="0" w:color="auto"/>
            </w:tcBorders>
            <w:shd w:val="clear" w:color="auto" w:fill="auto"/>
            <w:vAlign w:val="bottom"/>
          </w:tcPr>
          <w:p w14:paraId="40312220"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1 964,37</w:t>
            </w:r>
          </w:p>
        </w:tc>
        <w:tc>
          <w:tcPr>
            <w:tcW w:w="1418" w:type="dxa"/>
            <w:tcBorders>
              <w:top w:val="single" w:sz="4" w:space="0" w:color="auto"/>
              <w:left w:val="nil"/>
              <w:bottom w:val="single" w:sz="8" w:space="0" w:color="auto"/>
              <w:right w:val="single" w:sz="8" w:space="0" w:color="auto"/>
            </w:tcBorders>
            <w:shd w:val="clear" w:color="auto" w:fill="auto"/>
            <w:vAlign w:val="bottom"/>
          </w:tcPr>
          <w:p w14:paraId="37F703D0"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1 920,41</w:t>
            </w:r>
          </w:p>
        </w:tc>
        <w:tc>
          <w:tcPr>
            <w:tcW w:w="911" w:type="dxa"/>
            <w:tcBorders>
              <w:top w:val="nil"/>
              <w:left w:val="nil"/>
              <w:bottom w:val="single" w:sz="8" w:space="0" w:color="auto"/>
              <w:right w:val="single" w:sz="8" w:space="0" w:color="auto"/>
            </w:tcBorders>
            <w:shd w:val="clear" w:color="auto" w:fill="auto"/>
            <w:vAlign w:val="bottom"/>
          </w:tcPr>
          <w:p w14:paraId="1A5A0DDE"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97,76</w:t>
            </w:r>
          </w:p>
        </w:tc>
        <w:tc>
          <w:tcPr>
            <w:tcW w:w="1549" w:type="dxa"/>
            <w:tcBorders>
              <w:top w:val="nil"/>
              <w:left w:val="nil"/>
              <w:bottom w:val="single" w:sz="8" w:space="0" w:color="auto"/>
              <w:right w:val="single" w:sz="8" w:space="0" w:color="auto"/>
            </w:tcBorders>
            <w:shd w:val="clear" w:color="auto" w:fill="auto"/>
            <w:vAlign w:val="bottom"/>
          </w:tcPr>
          <w:p w14:paraId="0BD2C62F" w14:textId="77777777" w:rsidR="000711E6" w:rsidRPr="00E47AA9" w:rsidRDefault="000711E6" w:rsidP="00845A54">
            <w:pPr>
              <w:spacing w:after="0" w:line="240" w:lineRule="auto"/>
              <w:jc w:val="right"/>
              <w:rPr>
                <w:rFonts w:ascii="Times New Roman" w:eastAsia="Calibri" w:hAnsi="Times New Roman" w:cs="Times New Roman"/>
                <w:sz w:val="20"/>
                <w:szCs w:val="20"/>
              </w:rPr>
            </w:pPr>
            <w:r w:rsidRPr="00E47AA9">
              <w:rPr>
                <w:rFonts w:ascii="Times New Roman" w:hAnsi="Times New Roman" w:cs="Times New Roman"/>
                <w:sz w:val="20"/>
                <w:szCs w:val="20"/>
              </w:rPr>
              <w:t>43,96</w:t>
            </w:r>
          </w:p>
        </w:tc>
      </w:tr>
    </w:tbl>
    <w:p w14:paraId="7D307A46"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p>
    <w:p w14:paraId="3736E5E5" w14:textId="7D230912" w:rsidR="000E34AB" w:rsidRPr="00E47AA9" w:rsidRDefault="000E34AB"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Согласно Сводному годовому докладу:</w:t>
      </w:r>
    </w:p>
    <w:p w14:paraId="20A1E035" w14:textId="13529613" w:rsidR="000E34AB" w:rsidRPr="00E47AA9" w:rsidRDefault="00B2655A" w:rsidP="000E34AB">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w:t>
      </w:r>
      <w:r w:rsidR="000E34AB" w:rsidRPr="00E47AA9">
        <w:rPr>
          <w:rFonts w:ascii="Times New Roman" w:eastAsia="Times New Roman" w:hAnsi="Times New Roman" w:cs="Times New Roman"/>
          <w:sz w:val="28"/>
          <w:szCs w:val="28"/>
          <w:lang w:eastAsia="ru-RU"/>
        </w:rPr>
        <w:t>з 38 мероприятий государственной программы, запланированных</w:t>
      </w:r>
      <w:r w:rsidRPr="00E47AA9">
        <w:rPr>
          <w:rFonts w:ascii="Times New Roman" w:eastAsia="Times New Roman" w:hAnsi="Times New Roman" w:cs="Times New Roman"/>
          <w:sz w:val="28"/>
          <w:szCs w:val="28"/>
          <w:lang w:eastAsia="ru-RU"/>
        </w:rPr>
        <w:t xml:space="preserve"> </w:t>
      </w:r>
      <w:r w:rsidR="000E34AB" w:rsidRPr="00E47AA9">
        <w:rPr>
          <w:rFonts w:ascii="Times New Roman" w:eastAsia="Times New Roman" w:hAnsi="Times New Roman" w:cs="Times New Roman"/>
          <w:sz w:val="28"/>
          <w:szCs w:val="28"/>
          <w:lang w:eastAsia="ru-RU"/>
        </w:rPr>
        <w:t xml:space="preserve">к выполнению в 2024 году, выполнены в полном объеме 20 мероприятий, </w:t>
      </w:r>
      <w:r w:rsidRPr="00E47AA9">
        <w:rPr>
          <w:rFonts w:ascii="Times New Roman" w:eastAsia="Times New Roman" w:hAnsi="Times New Roman" w:cs="Times New Roman"/>
          <w:sz w:val="28"/>
          <w:szCs w:val="28"/>
          <w:lang w:eastAsia="ru-RU"/>
        </w:rPr>
        <w:br/>
      </w:r>
      <w:r w:rsidR="000E34AB" w:rsidRPr="00E47AA9">
        <w:rPr>
          <w:rFonts w:ascii="Times New Roman" w:eastAsia="Times New Roman" w:hAnsi="Times New Roman" w:cs="Times New Roman"/>
          <w:sz w:val="28"/>
          <w:szCs w:val="28"/>
          <w:lang w:eastAsia="ru-RU"/>
        </w:rPr>
        <w:t>7 мероприятий выполнены не в полном объеме, 7 мероприятий не выполнены, 4 мероприятия исключены из плана реализации;</w:t>
      </w:r>
    </w:p>
    <w:p w14:paraId="052120EF" w14:textId="6254146B" w:rsidR="000E34AB" w:rsidRPr="00E47AA9" w:rsidRDefault="000E34AB" w:rsidP="000E34AB">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из 27 показателей государственной программы 15 достигли планового значения, 8 показателей достигнуты не в полном объеме, 4 показателя </w:t>
      </w:r>
      <w:r w:rsidR="00B2655A" w:rsidRPr="00E47AA9">
        <w:rPr>
          <w:rFonts w:ascii="Times New Roman" w:eastAsia="Times New Roman" w:hAnsi="Times New Roman" w:cs="Times New Roman"/>
          <w:sz w:val="28"/>
          <w:szCs w:val="28"/>
          <w:lang w:eastAsia="ru-RU"/>
        </w:rPr>
        <w:br/>
      </w:r>
      <w:r w:rsidRPr="00E47AA9">
        <w:rPr>
          <w:rFonts w:ascii="Times New Roman" w:eastAsia="Times New Roman" w:hAnsi="Times New Roman" w:cs="Times New Roman"/>
          <w:sz w:val="28"/>
          <w:szCs w:val="28"/>
          <w:lang w:eastAsia="ru-RU"/>
        </w:rPr>
        <w:t>не достигнуты;</w:t>
      </w:r>
    </w:p>
    <w:p w14:paraId="0C7F1DCD" w14:textId="28F10DF4" w:rsidR="000E34AB" w:rsidRPr="00E47AA9" w:rsidRDefault="000E34AB" w:rsidP="000E34AB">
      <w:pPr>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sz w:val="28"/>
          <w:szCs w:val="28"/>
          <w:lang w:eastAsia="ru-RU"/>
        </w:rPr>
        <w:t>эффективность реализации государственной программы составила 76,2</w:t>
      </w:r>
      <w:r w:rsidR="00613EC5"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(ниже среднего уровня).</w:t>
      </w:r>
    </w:p>
    <w:p w14:paraId="47CFBA34"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Подпрограмма "Обращение с отходами в Приморском крае"</w:t>
      </w:r>
    </w:p>
    <w:p w14:paraId="07273097" w14:textId="1FB6A25A" w:rsidR="000711E6" w:rsidRPr="00E47AA9" w:rsidRDefault="000711E6" w:rsidP="000711E6">
      <w:pPr>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sz w:val="28"/>
          <w:szCs w:val="28"/>
          <w:u w:val="single"/>
        </w:rPr>
        <w:t xml:space="preserve">Министерством </w:t>
      </w:r>
      <w:bookmarkStart w:id="24" w:name="_Hlk195001892"/>
      <w:r w:rsidRPr="00E47AA9">
        <w:rPr>
          <w:rFonts w:ascii="Times New Roman" w:eastAsia="Calibri" w:hAnsi="Times New Roman" w:cs="Times New Roman"/>
          <w:sz w:val="28"/>
          <w:szCs w:val="28"/>
          <w:u w:val="single"/>
        </w:rPr>
        <w:t>лесного хозяйства, охраны окружающей среды, животного мира и природных ресурсов Приморского края</w:t>
      </w:r>
      <w:r w:rsidRPr="00E47AA9">
        <w:rPr>
          <w:rFonts w:ascii="Times New Roman" w:eastAsia="Calibri" w:hAnsi="Times New Roman" w:cs="Times New Roman"/>
          <w:sz w:val="28"/>
          <w:szCs w:val="28"/>
        </w:rPr>
        <w:t xml:space="preserve"> </w:t>
      </w:r>
      <w:bookmarkEnd w:id="24"/>
      <w:r w:rsidR="00100D02" w:rsidRPr="00E47AA9">
        <w:rPr>
          <w:rFonts w:ascii="Times New Roman" w:eastAsia="Calibri" w:hAnsi="Times New Roman" w:cs="Times New Roman"/>
          <w:sz w:val="28"/>
          <w:szCs w:val="28"/>
        </w:rPr>
        <w:t xml:space="preserve">РП </w:t>
      </w:r>
      <w:r w:rsidRPr="00E47AA9">
        <w:rPr>
          <w:rFonts w:ascii="Times New Roman" w:eastAsia="Calibri" w:hAnsi="Times New Roman" w:cs="Times New Roman"/>
          <w:i/>
          <w:sz w:val="28"/>
          <w:szCs w:val="28"/>
        </w:rPr>
        <w:t xml:space="preserve">"Чистая страна", входящий в состав </w:t>
      </w:r>
      <w:r w:rsidR="00100D02" w:rsidRPr="00E47AA9">
        <w:rPr>
          <w:rFonts w:ascii="Times New Roman" w:eastAsia="Calibri" w:hAnsi="Times New Roman" w:cs="Times New Roman"/>
          <w:i/>
          <w:sz w:val="28"/>
          <w:szCs w:val="28"/>
        </w:rPr>
        <w:t xml:space="preserve">НП </w:t>
      </w:r>
      <w:r w:rsidRPr="00E47AA9">
        <w:rPr>
          <w:rFonts w:ascii="Times New Roman" w:eastAsia="Calibri" w:hAnsi="Times New Roman" w:cs="Times New Roman"/>
          <w:i/>
          <w:sz w:val="28"/>
          <w:szCs w:val="28"/>
        </w:rPr>
        <w:t>"Экология",</w:t>
      </w:r>
      <w:r w:rsidRPr="00E47AA9">
        <w:rPr>
          <w:rFonts w:ascii="Times New Roman" w:eastAsia="Calibri" w:hAnsi="Times New Roman" w:cs="Times New Roman"/>
          <w:sz w:val="28"/>
          <w:szCs w:val="28"/>
        </w:rPr>
        <w:t xml:space="preserve"> реализован на сумму 232,69 млн рублей, или 83,07 % от плана 280,13 млн рублей (подробнее изложено в</w:t>
      </w:r>
      <w:r w:rsidR="00613EC5"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 xml:space="preserve">приложении 3 к заключению).  </w:t>
      </w:r>
    </w:p>
    <w:p w14:paraId="057FC037"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u w:val="single"/>
          <w:lang w:eastAsia="ru-RU"/>
        </w:rPr>
        <w:t>Министерством транспорта и дорожного хозяйства Приморского края</w:t>
      </w:r>
      <w:r w:rsidRPr="00E47AA9">
        <w:rPr>
          <w:rFonts w:ascii="Times New Roman" w:eastAsia="Times New Roman" w:hAnsi="Times New Roman" w:cs="Times New Roman"/>
          <w:sz w:val="28"/>
          <w:szCs w:val="28"/>
          <w:lang w:eastAsia="ru-RU"/>
        </w:rPr>
        <w:t xml:space="preserve"> в рамках подпрограммы реализуется </w:t>
      </w:r>
      <w:r w:rsidRPr="00E47AA9">
        <w:rPr>
          <w:rFonts w:ascii="Times New Roman" w:eastAsia="Times New Roman" w:hAnsi="Times New Roman" w:cs="Times New Roman"/>
          <w:i/>
          <w:sz w:val="28"/>
          <w:szCs w:val="28"/>
          <w:lang w:eastAsia="ru-RU"/>
        </w:rPr>
        <w:t>региональный проект "Генеральная уборка (Приморский край)", не входящий в состав национальных проектов</w:t>
      </w:r>
      <w:r w:rsidRPr="00E47AA9">
        <w:rPr>
          <w:rFonts w:ascii="Times New Roman" w:eastAsia="Times New Roman" w:hAnsi="Times New Roman" w:cs="Times New Roman"/>
          <w:sz w:val="28"/>
          <w:szCs w:val="28"/>
          <w:lang w:eastAsia="ru-RU"/>
        </w:rPr>
        <w:t xml:space="preserve">. В 2024 году на мероприятия проекта направлено 77,91 млн рублей (70,83 % от плановых назначений 110,00 млн рублей). </w:t>
      </w:r>
    </w:p>
    <w:p w14:paraId="10FDA9AB" w14:textId="2D32ED0C" w:rsidR="000711E6" w:rsidRPr="00E47AA9" w:rsidRDefault="000711E6" w:rsidP="000711E6">
      <w:pPr>
        <w:spacing w:after="0" w:line="240" w:lineRule="auto"/>
        <w:ind w:firstLine="708"/>
        <w:jc w:val="both"/>
        <w:rPr>
          <w:rFonts w:ascii="Times New Roman" w:eastAsia="Calibri" w:hAnsi="Times New Roman" w:cs="Times New Roman"/>
          <w:sz w:val="28"/>
          <w:szCs w:val="28"/>
        </w:rPr>
      </w:pPr>
      <w:r w:rsidRPr="00E47AA9">
        <w:rPr>
          <w:rFonts w:ascii="Times New Roman" w:eastAsia="Times New Roman" w:hAnsi="Times New Roman" w:cs="Times New Roman"/>
          <w:sz w:val="28"/>
          <w:szCs w:val="28"/>
          <w:lang w:eastAsia="ru-RU"/>
        </w:rPr>
        <w:t xml:space="preserve">Все расходы произведены на основании предъявленных актов выполненных работ по </w:t>
      </w:r>
      <w:r w:rsidRPr="00E47AA9">
        <w:rPr>
          <w:rFonts w:ascii="Times New Roman" w:eastAsia="Calibri" w:hAnsi="Times New Roman" w:cs="Times New Roman"/>
          <w:sz w:val="28"/>
          <w:szCs w:val="28"/>
        </w:rPr>
        <w:t>мероприятиям по удалению (обследованию, подъему, утилизации) затонувших судов на территории Приморского края (план</w:t>
      </w:r>
      <w:r w:rsidR="00576C74"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 xml:space="preserve"> 95,89 млн рублей). Подняты и утилизированы 8 объектов, проведена рекультивация земельных участков. Кроме того, в рамках </w:t>
      </w:r>
      <w:r w:rsidRPr="00E47AA9">
        <w:rPr>
          <w:rFonts w:ascii="Times New Roman" w:eastAsia="Times New Roman" w:hAnsi="Times New Roman" w:cs="Times New Roman"/>
          <w:sz w:val="28"/>
          <w:szCs w:val="28"/>
          <w:shd w:val="clear" w:color="auto" w:fill="FFFFFF"/>
          <w:lang w:eastAsia="ru-RU"/>
        </w:rPr>
        <w:t>предпринимательской инициативы поднято 3 объекта.</w:t>
      </w:r>
    </w:p>
    <w:p w14:paraId="6E62B4A0" w14:textId="007F2D10" w:rsidR="000711E6" w:rsidRPr="00E47AA9" w:rsidRDefault="000711E6" w:rsidP="000711E6">
      <w:pPr>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Расходы на удаление имущества, затонувшего во внутренних морских водах, в территориальном море и исключительной экономической зоне Российской Федерации (план </w:t>
      </w:r>
      <w:r w:rsidR="00576C74"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14,11 млн рублей) в отчетном году не производились. Для участия в отборе субъекты Российской Федерации представляют заявку на участие в отборе до 1 апреля и 1 ноября текущего финансового года. Окончание работ по подъему и утилизации затонувшего имущества предусмотрены до 15.11.2024, что не позволило подать заявку.</w:t>
      </w:r>
    </w:p>
    <w:p w14:paraId="5BB83E1B" w14:textId="346EFAD4"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u w:val="single"/>
          <w:lang w:eastAsia="ru-RU"/>
        </w:rPr>
        <w:t>Министерством жилищно-коммунального хозяйства Приморского края</w:t>
      </w:r>
      <w:r w:rsidRPr="00E47AA9">
        <w:rPr>
          <w:rFonts w:ascii="Times New Roman" w:eastAsia="Times New Roman" w:hAnsi="Times New Roman" w:cs="Times New Roman"/>
          <w:sz w:val="28"/>
          <w:szCs w:val="28"/>
          <w:lang w:eastAsia="ru-RU"/>
        </w:rPr>
        <w:t xml:space="preserve"> </w:t>
      </w:r>
      <w:r w:rsidR="00100D02" w:rsidRPr="00E47AA9">
        <w:rPr>
          <w:rFonts w:ascii="Times New Roman" w:eastAsia="Times New Roman" w:hAnsi="Times New Roman" w:cs="Times New Roman"/>
          <w:i/>
          <w:iCs/>
          <w:sz w:val="28"/>
          <w:szCs w:val="28"/>
          <w:lang w:eastAsia="ru-RU"/>
        </w:rPr>
        <w:t xml:space="preserve">КПМ </w:t>
      </w:r>
      <w:r w:rsidRPr="00E47AA9">
        <w:rPr>
          <w:rFonts w:ascii="Times New Roman" w:eastAsia="Times New Roman" w:hAnsi="Times New Roman" w:cs="Times New Roman"/>
          <w:i/>
          <w:sz w:val="28"/>
          <w:szCs w:val="28"/>
          <w:lang w:eastAsia="ru-RU"/>
        </w:rPr>
        <w:t>"Обращение с отходами в Приморском крае"</w:t>
      </w:r>
      <w:r w:rsidRPr="00E47AA9">
        <w:rPr>
          <w:rFonts w:ascii="Times New Roman" w:eastAsia="Times New Roman" w:hAnsi="Times New Roman" w:cs="Times New Roman"/>
          <w:sz w:val="28"/>
          <w:szCs w:val="28"/>
          <w:lang w:eastAsia="ru-RU"/>
        </w:rPr>
        <w:t xml:space="preserve"> реализован на сумму 783,26 млн рублей, или 98,91 % от плана 791,86 млн рублей.</w:t>
      </w:r>
    </w:p>
    <w:p w14:paraId="463385DF"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Министерством в полном объеме КГУП "Приморский экологический оператор" предоставлены субсидии:</w:t>
      </w:r>
    </w:p>
    <w:p w14:paraId="41A3A3B6"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связи с оказанием услуг по обращению с твердыми коммунальными отходами на территории Приморского края – 489,08 млн рублей; </w:t>
      </w:r>
    </w:p>
    <w:p w14:paraId="3DCC65F1"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компенсацию выпадающих доходов, возникающих в результате установления льготного тарифа на услугу регионального оператора по обращению с твердыми коммунальными отходами – 294,01 млн рублей.</w:t>
      </w:r>
    </w:p>
    <w:p w14:paraId="656FACCF"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В 2024 году не осуществлены расходы, планируемые на:</w:t>
      </w:r>
    </w:p>
    <w:p w14:paraId="08456E60"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корректировку территориальной схемы обращения с отходами в Приморском крае, в том числе с твердыми коммунальными отходами (8,00 млн рублей) в связи с длительностью устранения замечаний контролирующих органов к территориальной схеме обращения с отходами;</w:t>
      </w:r>
    </w:p>
    <w:p w14:paraId="6AA7FEF0"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подготовку документации для перевода земель из лесного фонда в целях строительства объектов захоронения твердых коммунальных отходов (0,60 млн рублей).</w:t>
      </w:r>
      <w:r w:rsidRPr="00E47AA9">
        <w:t xml:space="preserve"> </w:t>
      </w:r>
      <w:r w:rsidRPr="00E47AA9">
        <w:rPr>
          <w:rFonts w:ascii="Times New Roman" w:eastAsia="Times New Roman" w:hAnsi="Times New Roman" w:cs="Times New Roman"/>
          <w:sz w:val="28"/>
          <w:szCs w:val="28"/>
          <w:lang w:eastAsia="ru-RU"/>
        </w:rPr>
        <w:t>Планируемые к переводу из лесного фонда земельные участки исключены из рассмотрения как несоответствующие критериям строительства объектов захоронения твердых коммунальных отходов.</w:t>
      </w:r>
    </w:p>
    <w:p w14:paraId="49EC2184" w14:textId="77777777" w:rsidR="000711E6" w:rsidRPr="00E47AA9" w:rsidRDefault="000711E6" w:rsidP="000711E6">
      <w:pPr>
        <w:spacing w:after="0" w:line="240" w:lineRule="auto"/>
        <w:ind w:firstLine="708"/>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Подпрограмма "Развитие водохозяйственного комплекса Приморского края"</w:t>
      </w:r>
    </w:p>
    <w:p w14:paraId="02CEA71D" w14:textId="77777777" w:rsidR="000711E6" w:rsidRPr="00E47AA9" w:rsidRDefault="000711E6" w:rsidP="000711E6">
      <w:pPr>
        <w:spacing w:after="0" w:line="240" w:lineRule="auto"/>
        <w:ind w:firstLine="708"/>
        <w:jc w:val="both"/>
        <w:rPr>
          <w:rFonts w:ascii="Times New Roman" w:eastAsia="Times New Roman" w:hAnsi="Times New Roman" w:cs="Times New Roman"/>
          <w:b/>
          <w:i/>
          <w:sz w:val="28"/>
          <w:szCs w:val="28"/>
          <w:lang w:eastAsia="ru-RU"/>
        </w:rPr>
      </w:pPr>
      <w:r w:rsidRPr="00E47AA9">
        <w:rPr>
          <w:rFonts w:ascii="Times New Roman" w:eastAsia="Times New Roman" w:hAnsi="Times New Roman" w:cs="Times New Roman"/>
          <w:bCs/>
          <w:i/>
          <w:sz w:val="28"/>
          <w:szCs w:val="28"/>
          <w:lang w:eastAsia="ru-RU"/>
        </w:rPr>
        <w:t>Региональный проект "Защита от наводнений и иных негативных воздействий вод и обеспечение безопасности гидротехнических сооружений (Приморский край)", не входящий в состав национальных проектов,</w:t>
      </w:r>
      <w:r w:rsidRPr="00E47AA9">
        <w:rPr>
          <w:rFonts w:ascii="Times New Roman" w:eastAsia="Times New Roman" w:hAnsi="Times New Roman" w:cs="Times New Roman"/>
          <w:b/>
          <w:i/>
          <w:sz w:val="28"/>
          <w:szCs w:val="28"/>
          <w:lang w:eastAsia="ru-RU"/>
        </w:rPr>
        <w:t xml:space="preserve"> </w:t>
      </w:r>
      <w:r w:rsidRPr="00E47AA9">
        <w:rPr>
          <w:rFonts w:ascii="Times New Roman" w:eastAsia="Times New Roman" w:hAnsi="Times New Roman" w:cs="Times New Roman"/>
          <w:bCs/>
          <w:iCs/>
          <w:sz w:val="28"/>
          <w:szCs w:val="28"/>
          <w:lang w:eastAsia="ru-RU"/>
        </w:rPr>
        <w:t>исполнен в сумме 299,59 млн рублей, или 76,23 % от плана 393,03 млн рублей, в том числе:</w:t>
      </w:r>
    </w:p>
    <w:p w14:paraId="4CEDB510"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u w:val="single"/>
          <w:lang w:eastAsia="ru-RU"/>
        </w:rPr>
        <w:t>министерством строительства Приморского края</w:t>
      </w:r>
      <w:r w:rsidRPr="00E47AA9">
        <w:rPr>
          <w:rFonts w:ascii="Times New Roman" w:eastAsia="Times New Roman" w:hAnsi="Times New Roman" w:cs="Times New Roman"/>
          <w:sz w:val="28"/>
          <w:szCs w:val="28"/>
          <w:lang w:eastAsia="ru-RU"/>
        </w:rPr>
        <w:t xml:space="preserve"> </w:t>
      </w:r>
      <w:r w:rsidR="00C016DE"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193,42 млн рублей, или 90,98 % от плана 212,60 млн рублей, в том числе направлено на защиту от наводнений: </w:t>
      </w:r>
    </w:p>
    <w:p w14:paraId="56480320" w14:textId="6F2FA8DA" w:rsidR="000711E6" w:rsidRPr="00E47AA9" w:rsidRDefault="000711E6" w:rsidP="000711E6">
      <w:pPr>
        <w:spacing w:after="0" w:line="240" w:lineRule="auto"/>
        <w:ind w:firstLine="708"/>
        <w:jc w:val="both"/>
        <w:rPr>
          <w:rFonts w:ascii="Times New Roman" w:hAnsi="Times New Roman"/>
          <w:sz w:val="28"/>
          <w:szCs w:val="28"/>
          <w:shd w:val="clear" w:color="auto" w:fill="FFFFFF"/>
        </w:rPr>
      </w:pPr>
      <w:r w:rsidRPr="00E47AA9">
        <w:rPr>
          <w:rFonts w:ascii="Times New Roman" w:eastAsia="Times New Roman" w:hAnsi="Times New Roman" w:cs="Times New Roman"/>
          <w:sz w:val="28"/>
          <w:szCs w:val="28"/>
          <w:lang w:eastAsia="ru-RU"/>
        </w:rPr>
        <w:t xml:space="preserve">сел Рощино и </w:t>
      </w:r>
      <w:proofErr w:type="spellStart"/>
      <w:r w:rsidRPr="00E47AA9">
        <w:rPr>
          <w:rFonts w:ascii="Times New Roman" w:eastAsia="Times New Roman" w:hAnsi="Times New Roman" w:cs="Times New Roman"/>
          <w:sz w:val="28"/>
          <w:szCs w:val="28"/>
          <w:lang w:eastAsia="ru-RU"/>
        </w:rPr>
        <w:t>Вострецово</w:t>
      </w:r>
      <w:proofErr w:type="spellEnd"/>
      <w:r w:rsidRPr="00E47AA9">
        <w:rPr>
          <w:rFonts w:ascii="Times New Roman" w:eastAsia="Times New Roman" w:hAnsi="Times New Roman" w:cs="Times New Roman"/>
          <w:sz w:val="28"/>
          <w:szCs w:val="28"/>
          <w:lang w:eastAsia="ru-RU"/>
        </w:rPr>
        <w:t xml:space="preserve"> Красноармейского муниципального </w:t>
      </w:r>
      <w:r w:rsidR="00407315" w:rsidRPr="00E47AA9">
        <w:rPr>
          <w:rFonts w:ascii="Times New Roman" w:eastAsia="Times New Roman" w:hAnsi="Times New Roman" w:cs="Times New Roman"/>
          <w:sz w:val="28"/>
          <w:szCs w:val="28"/>
          <w:lang w:eastAsia="ru-RU"/>
        </w:rPr>
        <w:t>округа</w:t>
      </w:r>
      <w:r w:rsidRPr="00E47AA9">
        <w:rPr>
          <w:rFonts w:ascii="Times New Roman" w:eastAsia="Times New Roman" w:hAnsi="Times New Roman" w:cs="Times New Roman"/>
          <w:sz w:val="28"/>
          <w:szCs w:val="28"/>
          <w:lang w:eastAsia="ru-RU"/>
        </w:rPr>
        <w:t xml:space="preserve"> – 9,65 млн рублей, или 43,16 % от плана 22,36 млн рублей. </w:t>
      </w:r>
      <w:r w:rsidRPr="00E47AA9">
        <w:rPr>
          <w:rFonts w:ascii="Times New Roman" w:hAnsi="Times New Roman"/>
          <w:sz w:val="28"/>
          <w:szCs w:val="28"/>
          <w:shd w:val="clear" w:color="auto" w:fill="FFFFFF"/>
        </w:rPr>
        <w:t xml:space="preserve">Государственный контракт на производство работ заключен 28.03.2022 с единственным поставщиком </w:t>
      </w:r>
      <w:r w:rsidR="00C016DE" w:rsidRPr="00E47AA9">
        <w:rPr>
          <w:rFonts w:ascii="Times New Roman" w:hAnsi="Times New Roman"/>
          <w:sz w:val="28"/>
          <w:szCs w:val="28"/>
          <w:shd w:val="clear" w:color="auto" w:fill="FFFFFF"/>
        </w:rPr>
        <w:t>–</w:t>
      </w:r>
      <w:r w:rsidRPr="00E47AA9">
        <w:rPr>
          <w:rFonts w:ascii="Times New Roman" w:hAnsi="Times New Roman"/>
          <w:sz w:val="28"/>
          <w:szCs w:val="28"/>
          <w:shd w:val="clear" w:color="auto" w:fill="FFFFFF"/>
        </w:rPr>
        <w:t xml:space="preserve"> ООО "</w:t>
      </w:r>
      <w:proofErr w:type="spellStart"/>
      <w:r w:rsidRPr="00E47AA9">
        <w:rPr>
          <w:rFonts w:ascii="Times New Roman" w:hAnsi="Times New Roman"/>
          <w:sz w:val="28"/>
          <w:szCs w:val="28"/>
          <w:shd w:val="clear" w:color="auto" w:fill="FFFFFF"/>
        </w:rPr>
        <w:t>ТехПромАтлант</w:t>
      </w:r>
      <w:proofErr w:type="spellEnd"/>
      <w:r w:rsidRPr="00E47AA9">
        <w:rPr>
          <w:rFonts w:ascii="Times New Roman" w:hAnsi="Times New Roman"/>
          <w:sz w:val="28"/>
          <w:szCs w:val="28"/>
          <w:shd w:val="clear" w:color="auto" w:fill="FFFFFF"/>
        </w:rPr>
        <w:t>", срок выполнения работ по которому 31.07.2024. В связи с необходимостью корректировки проекта, проектно-сметная документация направлена на экспертизу. Получено положительное заключение на корректировку проекта 07.12.2023. Несмотря на то, что министерством транспорта и дорожного хозяйства Приморского края 20.03.2024 согласована техническая документация по устройству временного объезда моста через ключ Золотой с целью продолжения производства работ, подрядчик к работе не приступил. 09.08.2024 с ООО "</w:t>
      </w:r>
      <w:proofErr w:type="spellStart"/>
      <w:r w:rsidRPr="00E47AA9">
        <w:rPr>
          <w:rFonts w:ascii="Times New Roman" w:hAnsi="Times New Roman"/>
          <w:sz w:val="28"/>
          <w:szCs w:val="28"/>
          <w:shd w:val="clear" w:color="auto" w:fill="FFFFFF"/>
        </w:rPr>
        <w:t>ТехПромАтлант</w:t>
      </w:r>
      <w:proofErr w:type="spellEnd"/>
      <w:r w:rsidRPr="00E47AA9">
        <w:rPr>
          <w:rFonts w:ascii="Times New Roman" w:hAnsi="Times New Roman"/>
          <w:sz w:val="28"/>
          <w:szCs w:val="28"/>
          <w:shd w:val="clear" w:color="auto" w:fill="FFFFFF"/>
        </w:rPr>
        <w:t>" подписано дополнительное соглашение к государственному контракту, предусматривающее продление работ до 30.11.2024 и удорожание стоимости работ до 603,98 млн рублей. Работы на объекте не проводились. В связи с этим Заказчиком 29.10.2024 расторгнут в одностороннем порядке государственный контракт с ООО "</w:t>
      </w:r>
      <w:proofErr w:type="spellStart"/>
      <w:r w:rsidRPr="00E47AA9">
        <w:rPr>
          <w:rFonts w:ascii="Times New Roman" w:hAnsi="Times New Roman"/>
          <w:sz w:val="28"/>
          <w:szCs w:val="28"/>
          <w:shd w:val="clear" w:color="auto" w:fill="FFFFFF"/>
        </w:rPr>
        <w:t>ТехПромАтлант</w:t>
      </w:r>
      <w:proofErr w:type="spellEnd"/>
      <w:r w:rsidRPr="00E47AA9">
        <w:rPr>
          <w:rFonts w:ascii="Times New Roman" w:hAnsi="Times New Roman"/>
          <w:sz w:val="28"/>
          <w:szCs w:val="28"/>
          <w:shd w:val="clear" w:color="auto" w:fill="FFFFFF"/>
        </w:rPr>
        <w:t>". В соответствии с решением Арбитражного суда Приморского края от 19.02.2025 расторжение контракта признано недействительным. Подрядчик готов начать работу, о чем 17.04.2025 был уведомлен Заказчик. Вместе с тем ООО "</w:t>
      </w:r>
      <w:proofErr w:type="spellStart"/>
      <w:r w:rsidRPr="00E47AA9">
        <w:rPr>
          <w:rFonts w:ascii="Times New Roman" w:hAnsi="Times New Roman"/>
          <w:sz w:val="28"/>
          <w:szCs w:val="28"/>
          <w:shd w:val="clear" w:color="auto" w:fill="FFFFFF"/>
        </w:rPr>
        <w:t>ТехПромАтлант</w:t>
      </w:r>
      <w:proofErr w:type="spellEnd"/>
      <w:r w:rsidRPr="00E47AA9">
        <w:rPr>
          <w:rFonts w:ascii="Times New Roman" w:hAnsi="Times New Roman"/>
          <w:sz w:val="28"/>
          <w:szCs w:val="28"/>
          <w:shd w:val="clear" w:color="auto" w:fill="FFFFFF"/>
        </w:rPr>
        <w:t xml:space="preserve">" 14.02.2025 исключен из реестра саморегулирующих организаций, что дало право Заказчику принять решение от 21.04.2025 об одностороннем отказе по исполнению контракта. Техническая готовность объекта на 01.01.2025 </w:t>
      </w:r>
      <w:r w:rsidR="00C016DE" w:rsidRPr="00E47AA9">
        <w:rPr>
          <w:rFonts w:ascii="Times New Roman" w:hAnsi="Times New Roman"/>
          <w:sz w:val="28"/>
          <w:szCs w:val="28"/>
          <w:shd w:val="clear" w:color="auto" w:fill="FFFFFF"/>
        </w:rPr>
        <w:t>–</w:t>
      </w:r>
      <w:r w:rsidRPr="00E47AA9">
        <w:rPr>
          <w:rFonts w:ascii="Times New Roman" w:hAnsi="Times New Roman"/>
          <w:sz w:val="28"/>
          <w:szCs w:val="28"/>
          <w:shd w:val="clear" w:color="auto" w:fill="FFFFFF"/>
        </w:rPr>
        <w:t xml:space="preserve"> 29,1%;  </w:t>
      </w:r>
    </w:p>
    <w:p w14:paraId="23ACCB14" w14:textId="234162B2"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 xml:space="preserve">Лесозаводского городского округа – 183,77 млн рублей, или 96,60 % от плана 190,23 млн рублей. Заключен государственный контракт от 28.03.2022 с единственным поставщиком </w:t>
      </w:r>
      <w:r w:rsidR="00C016DE"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ООО "</w:t>
      </w:r>
      <w:proofErr w:type="spellStart"/>
      <w:r w:rsidRPr="00E47AA9">
        <w:rPr>
          <w:rFonts w:ascii="Times New Roman" w:eastAsia="Times New Roman" w:hAnsi="Times New Roman" w:cs="Times New Roman"/>
          <w:sz w:val="28"/>
          <w:szCs w:val="28"/>
          <w:lang w:eastAsia="ru-RU"/>
        </w:rPr>
        <w:t>СпецДорСтрой</w:t>
      </w:r>
      <w:proofErr w:type="spellEnd"/>
      <w:r w:rsidRPr="00E47AA9">
        <w:rPr>
          <w:rFonts w:ascii="Times New Roman" w:eastAsia="Times New Roman" w:hAnsi="Times New Roman" w:cs="Times New Roman"/>
          <w:sz w:val="28"/>
          <w:szCs w:val="28"/>
          <w:lang w:eastAsia="ru-RU"/>
        </w:rPr>
        <w:t xml:space="preserve">", срок выполнения работ по контракту – 30.04.2024. Положительное заключение на корректировку проекта дано 18.01.2024, с увеличением стоимости объекта.   Дополнительным соглашением срок действия контракта продлен до 30.06.2025. Техническая готовность на 01.01.2025 – 32,5 %. Не решены вопросы по получению разрешения на производство работ от РЖД на участке ПК0 – ПК2. Их решение возможно только после оформления министерством имущественных и земельных отношений Приморского края субаренды земельного участка в полосе землеотвода РЖД. Согласно </w:t>
      </w:r>
      <w:proofErr w:type="gramStart"/>
      <w:r w:rsidRPr="00E47AA9">
        <w:rPr>
          <w:rFonts w:ascii="Times New Roman" w:eastAsia="Times New Roman" w:hAnsi="Times New Roman" w:cs="Times New Roman"/>
          <w:sz w:val="28"/>
          <w:szCs w:val="28"/>
          <w:lang w:eastAsia="ru-RU"/>
        </w:rPr>
        <w:t>информации</w:t>
      </w:r>
      <w:r w:rsidR="00221386"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агентства</w:t>
      </w:r>
      <w:proofErr w:type="gramEnd"/>
      <w:r w:rsidRPr="00E47AA9">
        <w:rPr>
          <w:rFonts w:ascii="Times New Roman" w:eastAsia="Times New Roman" w:hAnsi="Times New Roman" w:cs="Times New Roman"/>
          <w:sz w:val="28"/>
          <w:szCs w:val="28"/>
          <w:lang w:eastAsia="ru-RU"/>
        </w:rPr>
        <w:t xml:space="preserve"> завершить строительство объекта и ввести его в эксплуатацию планируется в 3 квартале 2025 года;</w:t>
      </w:r>
    </w:p>
    <w:p w14:paraId="36F779AF"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bookmarkStart w:id="25" w:name="_Hlk195004991"/>
      <w:r w:rsidRPr="00E47AA9">
        <w:rPr>
          <w:rFonts w:ascii="Times New Roman" w:eastAsia="Times New Roman" w:hAnsi="Times New Roman" w:cs="Times New Roman"/>
          <w:sz w:val="28"/>
          <w:szCs w:val="28"/>
          <w:u w:val="single"/>
          <w:lang w:eastAsia="ru-RU"/>
        </w:rPr>
        <w:t xml:space="preserve">агентством </w:t>
      </w:r>
      <w:bookmarkEnd w:id="25"/>
      <w:r w:rsidRPr="00E47AA9">
        <w:rPr>
          <w:rFonts w:ascii="Times New Roman" w:eastAsia="Times New Roman" w:hAnsi="Times New Roman" w:cs="Times New Roman"/>
          <w:sz w:val="28"/>
          <w:szCs w:val="28"/>
          <w:u w:val="single"/>
          <w:lang w:eastAsia="ru-RU"/>
        </w:rPr>
        <w:t>по гидротехническим сооружениям, мелиорации и гидрологии Приморского края</w:t>
      </w:r>
      <w:r w:rsidRPr="00E47AA9">
        <w:rPr>
          <w:rFonts w:ascii="Times New Roman" w:eastAsia="Times New Roman" w:hAnsi="Times New Roman" w:cs="Times New Roman"/>
          <w:sz w:val="28"/>
          <w:szCs w:val="28"/>
          <w:lang w:eastAsia="ru-RU"/>
        </w:rPr>
        <w:t xml:space="preserve"> </w:t>
      </w:r>
      <w:r w:rsidR="00C016DE"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106,16 млн рублей, или 58,84 % от плана 180,43 млн рублей, в том числе:</w:t>
      </w:r>
    </w:p>
    <w:p w14:paraId="4F0409FC" w14:textId="3F34E37E"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строительство защитной дамбы </w:t>
      </w:r>
      <w:proofErr w:type="spellStart"/>
      <w:r w:rsidRPr="00E47AA9">
        <w:rPr>
          <w:rFonts w:ascii="Times New Roman" w:eastAsia="Times New Roman" w:hAnsi="Times New Roman" w:cs="Times New Roman"/>
          <w:sz w:val="28"/>
          <w:szCs w:val="28"/>
          <w:lang w:eastAsia="ru-RU"/>
        </w:rPr>
        <w:t>кп</w:t>
      </w:r>
      <w:proofErr w:type="spellEnd"/>
      <w:r w:rsidRPr="00E47AA9">
        <w:rPr>
          <w:rFonts w:ascii="Times New Roman" w:eastAsia="Times New Roman" w:hAnsi="Times New Roman" w:cs="Times New Roman"/>
          <w:sz w:val="28"/>
          <w:szCs w:val="28"/>
          <w:lang w:eastAsia="ru-RU"/>
        </w:rPr>
        <w:t xml:space="preserve"> Горные Ключи польдер № 2 – 37,76 млн рублей, или 73,49 % от плана 51,38 млн рублей. Средства предоставлены в пределах суммы, необходимой для оплаты денежных обязательств по расходам получателей средств местного бюджета. Остаток </w:t>
      </w:r>
      <w:r w:rsidR="00C818C3" w:rsidRPr="00E47AA9">
        <w:rPr>
          <w:rFonts w:ascii="Times New Roman" w:eastAsia="Times New Roman" w:hAnsi="Times New Roman" w:cs="Times New Roman"/>
          <w:sz w:val="28"/>
          <w:szCs w:val="28"/>
          <w:lang w:eastAsia="ru-RU"/>
        </w:rPr>
        <w:t>неисполненных бюджетных ассигнований обусловлен</w:t>
      </w:r>
      <w:r w:rsidRPr="00E47AA9">
        <w:rPr>
          <w:rFonts w:ascii="Times New Roman" w:eastAsia="Times New Roman" w:hAnsi="Times New Roman" w:cs="Times New Roman"/>
          <w:sz w:val="28"/>
          <w:szCs w:val="28"/>
          <w:lang w:eastAsia="ru-RU"/>
        </w:rPr>
        <w:t xml:space="preserve"> задержкой поставки насосного оборудования и обводнения участка производства работ, что привело к несвоевременному выполнению работ. Техническая готовность объекта 99 %;</w:t>
      </w:r>
    </w:p>
    <w:p w14:paraId="68FFF976"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8"/>
          <w:szCs w:val="28"/>
          <w:lang w:eastAsia="ru-RU"/>
        </w:rPr>
        <w:t>инженерная защита от затопления микрорайона "Семь ветров" в районе ул. Раздольная в г. Уссурийске – 67,74 млн рублей, или 57,26 % от плана 118,30 млн рублей. Работы на объекте завершены, объект введен в эксплуатацию;</w:t>
      </w:r>
    </w:p>
    <w:p w14:paraId="3F1219CE"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мероприятия по обследованию водных объектов – 0,57 млн рублей, или 16,40 % от плана 3,4 млн рублей. Неисполненный остаток в основном (2,31 млн рублей) сложился по контрактам с ООО "Компания "Мегаполис", так как исполнителем услуг несвоевременно предоставлены положительные заключения экспертизы сметной стоимости по государственным контрактам на определение видов, объемов и стоимости проведения работ по восстановлению пропускной способности водных объектов р. Малиновка в границах населенных пунктов с. Зимники, с. </w:t>
      </w:r>
      <w:proofErr w:type="spellStart"/>
      <w:r w:rsidRPr="00E47AA9">
        <w:rPr>
          <w:rFonts w:ascii="Times New Roman" w:eastAsia="Times New Roman" w:hAnsi="Times New Roman" w:cs="Times New Roman"/>
          <w:sz w:val="28"/>
          <w:szCs w:val="28"/>
          <w:lang w:eastAsia="ru-RU"/>
        </w:rPr>
        <w:t>Веденка</w:t>
      </w:r>
      <w:proofErr w:type="spellEnd"/>
      <w:r w:rsidRPr="00E47AA9">
        <w:rPr>
          <w:rFonts w:ascii="Times New Roman" w:eastAsia="Times New Roman" w:hAnsi="Times New Roman" w:cs="Times New Roman"/>
          <w:sz w:val="28"/>
          <w:szCs w:val="28"/>
          <w:lang w:eastAsia="ru-RU"/>
        </w:rPr>
        <w:t>, р. Ореховка в районе с.</w:t>
      </w:r>
      <w:r w:rsidR="00C016DE" w:rsidRPr="00E47AA9">
        <w:rPr>
          <w:rFonts w:ascii="Times New Roman" w:eastAsia="Times New Roman" w:hAnsi="Times New Roman" w:cs="Times New Roman"/>
          <w:sz w:val="28"/>
          <w:szCs w:val="28"/>
          <w:lang w:eastAsia="ru-RU"/>
        </w:rPr>
        <w:t> </w:t>
      </w:r>
      <w:proofErr w:type="spellStart"/>
      <w:r w:rsidRPr="00E47AA9">
        <w:rPr>
          <w:rFonts w:ascii="Times New Roman" w:eastAsia="Times New Roman" w:hAnsi="Times New Roman" w:cs="Times New Roman"/>
          <w:sz w:val="28"/>
          <w:szCs w:val="28"/>
          <w:lang w:eastAsia="ru-RU"/>
        </w:rPr>
        <w:t>Боголюбовка</w:t>
      </w:r>
      <w:proofErr w:type="spellEnd"/>
      <w:r w:rsidRPr="00E47AA9">
        <w:rPr>
          <w:rFonts w:ascii="Times New Roman" w:eastAsia="Times New Roman" w:hAnsi="Times New Roman" w:cs="Times New Roman"/>
          <w:sz w:val="28"/>
          <w:szCs w:val="28"/>
          <w:lang w:eastAsia="ru-RU"/>
        </w:rPr>
        <w:t xml:space="preserve">, а также р. Большая Уссурка, р. Белая Дальнереченского муниципального района; </w:t>
      </w:r>
    </w:p>
    <w:p w14:paraId="3474C9EE"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8"/>
          <w:szCs w:val="28"/>
          <w:lang w:eastAsia="ru-RU"/>
        </w:rPr>
        <w:t>отдельные полномочия в области водных отношений – 0,10 млн рублей, или 1,31 % от плана 7,28 млн рублей. Контракт на выполнение работ по объекту "Расчистка, спрямление, дноуглубление русла р. </w:t>
      </w:r>
      <w:proofErr w:type="spellStart"/>
      <w:r w:rsidRPr="00E47AA9">
        <w:rPr>
          <w:rFonts w:ascii="Times New Roman" w:eastAsia="Times New Roman" w:hAnsi="Times New Roman" w:cs="Times New Roman"/>
          <w:sz w:val="28"/>
          <w:szCs w:val="28"/>
          <w:lang w:eastAsia="ru-RU"/>
        </w:rPr>
        <w:t>Раковка</w:t>
      </w:r>
      <w:proofErr w:type="spellEnd"/>
      <w:r w:rsidRPr="00E47AA9">
        <w:rPr>
          <w:rFonts w:ascii="Times New Roman" w:eastAsia="Times New Roman" w:hAnsi="Times New Roman" w:cs="Times New Roman"/>
          <w:sz w:val="28"/>
          <w:szCs w:val="28"/>
          <w:lang w:eastAsia="ru-RU"/>
        </w:rPr>
        <w:t xml:space="preserve"> в </w:t>
      </w:r>
      <w:r w:rsidRPr="00E47AA9">
        <w:rPr>
          <w:rFonts w:ascii="Times New Roman" w:eastAsia="Times New Roman" w:hAnsi="Times New Roman" w:cs="Times New Roman"/>
          <w:sz w:val="28"/>
          <w:szCs w:val="28"/>
          <w:lang w:eastAsia="ru-RU"/>
        </w:rPr>
        <w:br/>
        <w:t xml:space="preserve">г. Уссурийск, </w:t>
      </w:r>
      <w:proofErr w:type="spellStart"/>
      <w:r w:rsidRPr="00E47AA9">
        <w:rPr>
          <w:rFonts w:ascii="Times New Roman" w:eastAsia="Times New Roman" w:hAnsi="Times New Roman" w:cs="Times New Roman"/>
          <w:sz w:val="28"/>
          <w:szCs w:val="28"/>
          <w:lang w:eastAsia="ru-RU"/>
        </w:rPr>
        <w:t>руч</w:t>
      </w:r>
      <w:proofErr w:type="spellEnd"/>
      <w:r w:rsidRPr="00E47AA9">
        <w:rPr>
          <w:rFonts w:ascii="Times New Roman" w:eastAsia="Times New Roman" w:hAnsi="Times New Roman" w:cs="Times New Roman"/>
          <w:sz w:val="28"/>
          <w:szCs w:val="28"/>
          <w:lang w:eastAsia="ru-RU"/>
        </w:rPr>
        <w:t>. Безымянный в с. </w:t>
      </w:r>
      <w:proofErr w:type="spellStart"/>
      <w:r w:rsidRPr="00E47AA9">
        <w:rPr>
          <w:rFonts w:ascii="Times New Roman" w:eastAsia="Times New Roman" w:hAnsi="Times New Roman" w:cs="Times New Roman"/>
          <w:sz w:val="28"/>
          <w:szCs w:val="28"/>
          <w:lang w:eastAsia="ru-RU"/>
        </w:rPr>
        <w:t>Корсаковка</w:t>
      </w:r>
      <w:proofErr w:type="spellEnd"/>
      <w:r w:rsidRPr="00E47AA9">
        <w:rPr>
          <w:rFonts w:ascii="Times New Roman" w:eastAsia="Times New Roman" w:hAnsi="Times New Roman" w:cs="Times New Roman"/>
          <w:sz w:val="28"/>
          <w:szCs w:val="28"/>
          <w:lang w:eastAsia="ru-RU"/>
        </w:rPr>
        <w:t xml:space="preserve">, р. Борисовка в с. </w:t>
      </w:r>
      <w:proofErr w:type="spellStart"/>
      <w:r w:rsidRPr="00E47AA9">
        <w:rPr>
          <w:rFonts w:ascii="Times New Roman" w:eastAsia="Times New Roman" w:hAnsi="Times New Roman" w:cs="Times New Roman"/>
          <w:sz w:val="28"/>
          <w:szCs w:val="28"/>
          <w:lang w:eastAsia="ru-RU"/>
        </w:rPr>
        <w:t>Яконовка</w:t>
      </w:r>
      <w:proofErr w:type="spellEnd"/>
      <w:r w:rsidRPr="00E47AA9">
        <w:rPr>
          <w:rFonts w:ascii="Times New Roman" w:eastAsia="Times New Roman" w:hAnsi="Times New Roman" w:cs="Times New Roman"/>
          <w:sz w:val="28"/>
          <w:szCs w:val="28"/>
          <w:lang w:eastAsia="ru-RU"/>
        </w:rPr>
        <w:t xml:space="preserve"> Уссурийского городского округа Приморского края" от 14.11.2023 с ООО "</w:t>
      </w:r>
      <w:proofErr w:type="spellStart"/>
      <w:r w:rsidRPr="00E47AA9">
        <w:rPr>
          <w:rFonts w:ascii="Times New Roman" w:eastAsia="Times New Roman" w:hAnsi="Times New Roman" w:cs="Times New Roman"/>
          <w:sz w:val="28"/>
          <w:szCs w:val="28"/>
          <w:lang w:eastAsia="ru-RU"/>
        </w:rPr>
        <w:t>АмурДорСтрой</w:t>
      </w:r>
      <w:proofErr w:type="spellEnd"/>
      <w:r w:rsidRPr="00E47AA9">
        <w:rPr>
          <w:rFonts w:ascii="Times New Roman" w:eastAsia="Times New Roman" w:hAnsi="Times New Roman" w:cs="Times New Roman"/>
          <w:sz w:val="28"/>
          <w:szCs w:val="28"/>
          <w:lang w:eastAsia="ru-RU"/>
        </w:rPr>
        <w:t xml:space="preserve">" расторгнут в одностороннем порядке со стороны агентства. </w:t>
      </w:r>
      <w:r w:rsidRPr="00E47AA9">
        <w:rPr>
          <w:rFonts w:ascii="Times New Roman" w:eastAsia="Times New Roman" w:hAnsi="Times New Roman" w:cs="Times New Roman"/>
          <w:sz w:val="28"/>
          <w:szCs w:val="28"/>
          <w:lang w:eastAsia="ru-RU"/>
        </w:rPr>
        <w:lastRenderedPageBreak/>
        <w:t>Денежные средства, оплаченные в качестве аванса по 2 этапу контракта, возвращены в бюджет по независимой гарантии, выданной АО "Газпромбанк".</w:t>
      </w:r>
    </w:p>
    <w:p w14:paraId="7F737DFB"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"Развитие водохозяйственного комплекса"</w:t>
      </w:r>
      <w:r w:rsidRPr="00E47AA9">
        <w:rPr>
          <w:rFonts w:ascii="Times New Roman" w:eastAsia="Times New Roman" w:hAnsi="Times New Roman" w:cs="Times New Roman"/>
          <w:sz w:val="28"/>
          <w:szCs w:val="28"/>
          <w:lang w:eastAsia="ru-RU"/>
        </w:rPr>
        <w:t xml:space="preserve"> реализован а</w:t>
      </w:r>
      <w:r w:rsidRPr="00E47AA9">
        <w:rPr>
          <w:rFonts w:ascii="Times New Roman" w:eastAsia="Times New Roman" w:hAnsi="Times New Roman" w:cs="Times New Roman"/>
          <w:sz w:val="28"/>
          <w:szCs w:val="28"/>
          <w:u w:val="single"/>
          <w:lang w:eastAsia="ru-RU"/>
        </w:rPr>
        <w:t xml:space="preserve">гентством по гидротехническим сооружениям, мелиорации и гидрологии Приморского края </w:t>
      </w:r>
      <w:r w:rsidRPr="00E47AA9">
        <w:rPr>
          <w:rFonts w:ascii="Times New Roman" w:eastAsia="Times New Roman" w:hAnsi="Times New Roman" w:cs="Times New Roman"/>
          <w:sz w:val="28"/>
          <w:szCs w:val="28"/>
          <w:lang w:eastAsia="ru-RU"/>
        </w:rPr>
        <w:t>на 221,72 млн рублей, или 93,88 % от плана 236,17 млн рублей, в том числе:</w:t>
      </w:r>
    </w:p>
    <w:p w14:paraId="0CB5142D"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8"/>
          <w:szCs w:val="28"/>
          <w:lang w:eastAsia="ru-RU"/>
        </w:rPr>
        <w:t>мероприятия в области использования и охраны водных объектов (план</w:t>
      </w:r>
      <w:r w:rsidR="00C016DE"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52,13 млн рублей, исполнено 44,52 млн рублей, или 85,39 %). В рамках реализации мероприятия заключены 4 соглашения:</w:t>
      </w:r>
    </w:p>
    <w:p w14:paraId="19D3BDEB" w14:textId="77777777" w:rsidR="000711E6" w:rsidRPr="00E47AA9" w:rsidRDefault="000711E6" w:rsidP="000711E6">
      <w:pPr>
        <w:spacing w:after="0" w:line="240" w:lineRule="auto"/>
        <w:ind w:firstLine="709"/>
        <w:jc w:val="both"/>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8"/>
          <w:szCs w:val="28"/>
          <w:lang w:eastAsia="ru-RU"/>
        </w:rPr>
        <w:t>1</w:t>
      </w:r>
      <w:r w:rsidR="00C016DE"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с администрацией Партизанского ГО на предоставление субсидии в целях софинансирования мероприятия "Реконструкци</w:t>
      </w:r>
      <w:r w:rsidR="00C016DE" w:rsidRPr="00E47AA9">
        <w:rPr>
          <w:rFonts w:ascii="Times New Roman" w:eastAsia="Times New Roman" w:hAnsi="Times New Roman" w:cs="Times New Roman"/>
          <w:sz w:val="28"/>
          <w:szCs w:val="28"/>
          <w:lang w:eastAsia="ru-RU"/>
        </w:rPr>
        <w:t>я гидротехнического сооружения –</w:t>
      </w:r>
      <w:r w:rsidRPr="00E47AA9">
        <w:rPr>
          <w:rFonts w:ascii="Times New Roman" w:eastAsia="Times New Roman" w:hAnsi="Times New Roman" w:cs="Times New Roman"/>
          <w:sz w:val="28"/>
          <w:szCs w:val="28"/>
          <w:lang w:eastAsia="ru-RU"/>
        </w:rPr>
        <w:t xml:space="preserve"> защитной дамбы по левому берегу реки </w:t>
      </w:r>
      <w:proofErr w:type="spellStart"/>
      <w:r w:rsidRPr="00E47AA9">
        <w:rPr>
          <w:rFonts w:ascii="Times New Roman" w:eastAsia="Times New Roman" w:hAnsi="Times New Roman" w:cs="Times New Roman"/>
          <w:sz w:val="28"/>
          <w:szCs w:val="28"/>
          <w:lang w:eastAsia="ru-RU"/>
        </w:rPr>
        <w:t>Постышевка</w:t>
      </w:r>
      <w:proofErr w:type="spellEnd"/>
      <w:r w:rsidRPr="00E47AA9">
        <w:rPr>
          <w:rFonts w:ascii="Times New Roman" w:eastAsia="Times New Roman" w:hAnsi="Times New Roman" w:cs="Times New Roman"/>
          <w:sz w:val="28"/>
          <w:szCs w:val="28"/>
          <w:lang w:eastAsia="ru-RU"/>
        </w:rPr>
        <w:t xml:space="preserve"> в городе </w:t>
      </w:r>
      <w:proofErr w:type="spellStart"/>
      <w:r w:rsidRPr="00E47AA9">
        <w:rPr>
          <w:rFonts w:ascii="Times New Roman" w:eastAsia="Times New Roman" w:hAnsi="Times New Roman" w:cs="Times New Roman"/>
          <w:sz w:val="28"/>
          <w:szCs w:val="28"/>
          <w:lang w:eastAsia="ru-RU"/>
        </w:rPr>
        <w:t>Партизанске</w:t>
      </w:r>
      <w:proofErr w:type="spellEnd"/>
      <w:r w:rsidRPr="00E47AA9">
        <w:rPr>
          <w:rFonts w:ascii="Times New Roman" w:eastAsia="Times New Roman" w:hAnsi="Times New Roman" w:cs="Times New Roman"/>
          <w:sz w:val="28"/>
          <w:szCs w:val="28"/>
          <w:lang w:eastAsia="ru-RU"/>
        </w:rPr>
        <w:t>". Администрацией Партизанского ГО заключен долгосрочный муниципальный контракт с ООО "</w:t>
      </w:r>
      <w:proofErr w:type="spellStart"/>
      <w:r w:rsidRPr="00E47AA9">
        <w:rPr>
          <w:rFonts w:ascii="Times New Roman" w:eastAsia="Times New Roman" w:hAnsi="Times New Roman" w:cs="Times New Roman"/>
          <w:sz w:val="28"/>
          <w:szCs w:val="28"/>
          <w:lang w:eastAsia="ru-RU"/>
        </w:rPr>
        <w:t>СпецДорСтрой</w:t>
      </w:r>
      <w:proofErr w:type="spellEnd"/>
      <w:r w:rsidRPr="00E47AA9">
        <w:rPr>
          <w:rFonts w:ascii="Times New Roman" w:eastAsia="Times New Roman" w:hAnsi="Times New Roman" w:cs="Times New Roman"/>
          <w:sz w:val="28"/>
          <w:szCs w:val="28"/>
          <w:lang w:eastAsia="ru-RU"/>
        </w:rPr>
        <w:t>" на 2022</w:t>
      </w:r>
      <w:r w:rsidR="00C016DE" w:rsidRPr="00E47AA9">
        <w:rPr>
          <w:rFonts w:ascii="Times New Roman" w:eastAsia="Times New Roman" w:hAnsi="Times New Roman" w:cs="Times New Roman"/>
          <w:sz w:val="28"/>
          <w:szCs w:val="28"/>
          <w:lang w:eastAsia="ru-RU"/>
        </w:rPr>
        <w:t> – </w:t>
      </w:r>
      <w:r w:rsidRPr="00E47AA9">
        <w:rPr>
          <w:rFonts w:ascii="Times New Roman" w:eastAsia="Times New Roman" w:hAnsi="Times New Roman" w:cs="Times New Roman"/>
          <w:sz w:val="28"/>
          <w:szCs w:val="28"/>
          <w:lang w:eastAsia="ru-RU"/>
        </w:rPr>
        <w:t xml:space="preserve">2023 годы со сроком исполнения работ по контракту </w:t>
      </w:r>
      <w:r w:rsidR="00C016DE"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30.09.2023. В связи с тем, что работы не приняты в полном объеме в 2023 году из-за выявленных Инспекцией регионального строительного надзора и контроля в области долевого строительства Приморского края нарушений и отсутствием возможности исправления указанных проверкой нарушений при отрицательных температурах, завершение работ перенесено на 2024 год. Требуется внесение корректировок в проектную документацию из-за несоответствия реконструированного объекта капитального строительства проектным решениям. Устранение замечаний технического надзора на контроле администрации Партизанского ГО. </w:t>
      </w:r>
      <w:proofErr w:type="spellStart"/>
      <w:r w:rsidRPr="00E47AA9">
        <w:rPr>
          <w:rFonts w:ascii="Times New Roman" w:eastAsia="Times New Roman" w:hAnsi="Times New Roman" w:cs="Times New Roman"/>
          <w:sz w:val="28"/>
          <w:szCs w:val="28"/>
          <w:lang w:eastAsia="ru-RU"/>
        </w:rPr>
        <w:t>Неосвоение</w:t>
      </w:r>
      <w:proofErr w:type="spellEnd"/>
      <w:r w:rsidRPr="00E47AA9">
        <w:rPr>
          <w:rFonts w:ascii="Times New Roman" w:eastAsia="Times New Roman" w:hAnsi="Times New Roman" w:cs="Times New Roman"/>
          <w:sz w:val="28"/>
          <w:szCs w:val="28"/>
          <w:lang w:eastAsia="ru-RU"/>
        </w:rPr>
        <w:t xml:space="preserve"> предусмотренной в 2024 году субсидии из краевого бюджета составляет 7,62 млн рублей;</w:t>
      </w:r>
    </w:p>
    <w:p w14:paraId="6B29A35B"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2</w:t>
      </w:r>
      <w:r w:rsidR="00C71E76"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с администрацией Дальнереченского муниципального района на предоставление субсидии в целях софинансирования мероприятия "Капитальный ремонт дамбы – обвалование с. </w:t>
      </w:r>
      <w:proofErr w:type="spellStart"/>
      <w:r w:rsidRPr="00E47AA9">
        <w:rPr>
          <w:rFonts w:ascii="Times New Roman" w:eastAsia="Times New Roman" w:hAnsi="Times New Roman" w:cs="Times New Roman"/>
          <w:sz w:val="28"/>
          <w:szCs w:val="28"/>
          <w:lang w:eastAsia="ru-RU"/>
        </w:rPr>
        <w:t>Соловьевка</w:t>
      </w:r>
      <w:proofErr w:type="spellEnd"/>
      <w:r w:rsidRPr="00E47AA9">
        <w:rPr>
          <w:rFonts w:ascii="Times New Roman" w:eastAsia="Times New Roman" w:hAnsi="Times New Roman" w:cs="Times New Roman"/>
          <w:sz w:val="28"/>
          <w:szCs w:val="28"/>
          <w:lang w:eastAsia="ru-RU"/>
        </w:rPr>
        <w:t xml:space="preserve"> Дальнереченского муниципального района Приморского края". Администрацией района заключен муниципальный контракт от 11.03.2024 с ООО "</w:t>
      </w:r>
      <w:proofErr w:type="spellStart"/>
      <w:r w:rsidRPr="00E47AA9">
        <w:rPr>
          <w:rFonts w:ascii="Times New Roman" w:eastAsia="Times New Roman" w:hAnsi="Times New Roman" w:cs="Times New Roman"/>
          <w:sz w:val="28"/>
          <w:szCs w:val="28"/>
          <w:lang w:eastAsia="ru-RU"/>
        </w:rPr>
        <w:t>Владтехника</w:t>
      </w:r>
      <w:proofErr w:type="spellEnd"/>
      <w:r w:rsidRPr="00E47AA9">
        <w:rPr>
          <w:rFonts w:ascii="Times New Roman" w:eastAsia="Times New Roman" w:hAnsi="Times New Roman" w:cs="Times New Roman"/>
          <w:sz w:val="28"/>
          <w:szCs w:val="28"/>
          <w:lang w:eastAsia="ru-RU"/>
        </w:rPr>
        <w:t xml:space="preserve">", срок выполнения работ по контракту </w:t>
      </w:r>
      <w:r w:rsidR="00C71E76"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22.05.2025. Работы по 1 этапу контракта завершены в полном объеме;</w:t>
      </w:r>
    </w:p>
    <w:p w14:paraId="376CC2BC" w14:textId="77777777" w:rsidR="000711E6" w:rsidRPr="00E47AA9" w:rsidRDefault="000711E6" w:rsidP="000711E6">
      <w:pPr>
        <w:spacing w:after="0" w:line="240" w:lineRule="auto"/>
        <w:ind w:firstLine="709"/>
        <w:jc w:val="both"/>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8"/>
          <w:szCs w:val="28"/>
          <w:lang w:eastAsia="ru-RU"/>
        </w:rPr>
        <w:t>3</w:t>
      </w:r>
      <w:r w:rsidR="00C71E76"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с администрацией Красноармейского муниципального округа на предоставление субсидии в целях софинансирования мероприятия "Текущий ремонт дамбы с. Богуславец". Администрацией округа заключен муниципальный контракт 20.03.2024 с ИП Головин Д.С</w:t>
      </w:r>
      <w:r w:rsidR="00C71E76"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срок выполнения работ по контракту </w:t>
      </w:r>
      <w:r w:rsidR="00C71E76"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01.07.2024. Работы завершены и приняты в полном объеме; </w:t>
      </w:r>
    </w:p>
    <w:p w14:paraId="627776B1" w14:textId="77777777" w:rsidR="000711E6" w:rsidRPr="00E47AA9" w:rsidRDefault="000711E6" w:rsidP="000711E6">
      <w:pPr>
        <w:spacing w:after="0" w:line="240" w:lineRule="auto"/>
        <w:ind w:firstLine="709"/>
        <w:jc w:val="both"/>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8"/>
          <w:szCs w:val="28"/>
          <w:lang w:eastAsia="ru-RU"/>
        </w:rPr>
        <w:t>4</w:t>
      </w:r>
      <w:r w:rsidR="00C71E76"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с администрацией </w:t>
      </w:r>
      <w:proofErr w:type="spellStart"/>
      <w:r w:rsidRPr="00E47AA9">
        <w:rPr>
          <w:rFonts w:ascii="Times New Roman" w:eastAsia="Times New Roman" w:hAnsi="Times New Roman" w:cs="Times New Roman"/>
          <w:sz w:val="28"/>
          <w:szCs w:val="28"/>
          <w:lang w:eastAsia="ru-RU"/>
        </w:rPr>
        <w:t>Дальнегорского</w:t>
      </w:r>
      <w:proofErr w:type="spellEnd"/>
      <w:r w:rsidRPr="00E47AA9">
        <w:rPr>
          <w:rFonts w:ascii="Times New Roman" w:eastAsia="Times New Roman" w:hAnsi="Times New Roman" w:cs="Times New Roman"/>
          <w:sz w:val="28"/>
          <w:szCs w:val="28"/>
          <w:lang w:eastAsia="ru-RU"/>
        </w:rPr>
        <w:t xml:space="preserve"> ГО на предоставление субсидии в целях софинансирования мероприятия "Капитальный ремонт объектов сооружение – водохранилище "</w:t>
      </w:r>
      <w:proofErr w:type="spellStart"/>
      <w:r w:rsidRPr="00E47AA9">
        <w:rPr>
          <w:rFonts w:ascii="Times New Roman" w:eastAsia="Times New Roman" w:hAnsi="Times New Roman" w:cs="Times New Roman"/>
          <w:sz w:val="28"/>
          <w:szCs w:val="28"/>
          <w:lang w:eastAsia="ru-RU"/>
        </w:rPr>
        <w:t>Нежда</w:t>
      </w:r>
      <w:r w:rsidR="00CD62C1" w:rsidRPr="00E47AA9">
        <w:rPr>
          <w:rFonts w:ascii="Times New Roman" w:eastAsia="Times New Roman" w:hAnsi="Times New Roman" w:cs="Times New Roman"/>
          <w:sz w:val="28"/>
          <w:szCs w:val="28"/>
          <w:lang w:eastAsia="ru-RU"/>
        </w:rPr>
        <w:t>нка</w:t>
      </w:r>
      <w:proofErr w:type="spellEnd"/>
      <w:r w:rsidR="00CD62C1" w:rsidRPr="00E47AA9">
        <w:rPr>
          <w:rFonts w:ascii="Times New Roman" w:eastAsia="Times New Roman" w:hAnsi="Times New Roman" w:cs="Times New Roman"/>
          <w:sz w:val="28"/>
          <w:szCs w:val="28"/>
          <w:lang w:eastAsia="ru-RU"/>
        </w:rPr>
        <w:t xml:space="preserve">" и </w:t>
      </w:r>
      <w:proofErr w:type="gramStart"/>
      <w:r w:rsidR="00CD62C1" w:rsidRPr="00E47AA9">
        <w:rPr>
          <w:rFonts w:ascii="Times New Roman" w:eastAsia="Times New Roman" w:hAnsi="Times New Roman" w:cs="Times New Roman"/>
          <w:sz w:val="28"/>
          <w:szCs w:val="28"/>
          <w:lang w:eastAsia="ru-RU"/>
        </w:rPr>
        <w:t xml:space="preserve">сооружение </w:t>
      </w:r>
      <w:r w:rsidRPr="00E47AA9">
        <w:rPr>
          <w:rFonts w:ascii="Times New Roman" w:eastAsia="Times New Roman" w:hAnsi="Times New Roman" w:cs="Times New Roman"/>
          <w:sz w:val="28"/>
          <w:szCs w:val="28"/>
          <w:lang w:eastAsia="ru-RU"/>
        </w:rPr>
        <w:t xml:space="preserve"> Водозаборная</w:t>
      </w:r>
      <w:proofErr w:type="gramEnd"/>
      <w:r w:rsidRPr="00E47AA9">
        <w:rPr>
          <w:rFonts w:ascii="Times New Roman" w:eastAsia="Times New Roman" w:hAnsi="Times New Roman" w:cs="Times New Roman"/>
          <w:sz w:val="28"/>
          <w:szCs w:val="28"/>
          <w:lang w:eastAsia="ru-RU"/>
        </w:rPr>
        <w:t xml:space="preserve"> башня в г. Дальнегорске, в том числе разработка проектно-сметной документации". Продолжение выполнения мероприятия 2023 года (муниципальный контракт от 17.08.2023). Завершение работ было запланировано в 2023 году, но в связи </w:t>
      </w:r>
      <w:r w:rsidRPr="00E47AA9">
        <w:rPr>
          <w:rFonts w:ascii="Times New Roman" w:eastAsia="Times New Roman" w:hAnsi="Times New Roman" w:cs="Times New Roman"/>
          <w:sz w:val="28"/>
          <w:szCs w:val="28"/>
          <w:lang w:eastAsia="ru-RU"/>
        </w:rPr>
        <w:lastRenderedPageBreak/>
        <w:t>с направлением разработанной проектно-сметной документации, включая сметную документацию и результаты инженерных изысканий в ФАУ "</w:t>
      </w:r>
      <w:proofErr w:type="spellStart"/>
      <w:r w:rsidRPr="00E47AA9">
        <w:rPr>
          <w:rFonts w:ascii="Times New Roman" w:eastAsia="Times New Roman" w:hAnsi="Times New Roman" w:cs="Times New Roman"/>
          <w:sz w:val="28"/>
          <w:szCs w:val="28"/>
          <w:lang w:eastAsia="ru-RU"/>
        </w:rPr>
        <w:t>Главэкспертиза</w:t>
      </w:r>
      <w:proofErr w:type="spellEnd"/>
      <w:r w:rsidRPr="00E47AA9">
        <w:rPr>
          <w:rFonts w:ascii="Times New Roman" w:eastAsia="Times New Roman" w:hAnsi="Times New Roman" w:cs="Times New Roman"/>
          <w:sz w:val="28"/>
          <w:szCs w:val="28"/>
          <w:lang w:eastAsia="ru-RU"/>
        </w:rPr>
        <w:t xml:space="preserve"> России" для прохождения государственной экспертизы определен срок проведения экспертизы до 31.01.2024. Работы на объекте завершены и приняты в полном объеме; </w:t>
      </w:r>
    </w:p>
    <w:p w14:paraId="1C1160AF" w14:textId="08BC2E4B" w:rsidR="000711E6" w:rsidRPr="00E47AA9" w:rsidRDefault="000711E6" w:rsidP="000711E6">
      <w:pPr>
        <w:spacing w:after="0" w:line="240" w:lineRule="auto"/>
        <w:ind w:firstLine="709"/>
        <w:jc w:val="both"/>
        <w:rPr>
          <w:rFonts w:ascii="Times New Roman" w:eastAsia="Times New Roman" w:hAnsi="Times New Roman" w:cs="Times New Roman"/>
          <w:sz w:val="24"/>
          <w:szCs w:val="24"/>
          <w:lang w:eastAsia="ru-RU"/>
        </w:rPr>
      </w:pPr>
      <w:r w:rsidRPr="00E47AA9">
        <w:rPr>
          <w:rFonts w:ascii="Times New Roman" w:eastAsia="Times New Roman" w:hAnsi="Times New Roman" w:cs="Times New Roman"/>
          <w:sz w:val="28"/>
          <w:szCs w:val="28"/>
          <w:lang w:eastAsia="ru-RU"/>
        </w:rPr>
        <w:t xml:space="preserve">осуществление отдельных полномочий в области водных отношений (план </w:t>
      </w:r>
      <w:r w:rsidR="00576C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38,77 млн рублей, исполнено 37,97 млн рублей, или 97,93 %). Остаток неосвоенных бюджетных средств 0,80 млн рублей сложился по следующим суммам: 0,31 млн рублей </w:t>
      </w:r>
      <w:r w:rsidR="00CD62C1"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экономия по результатам торгов; 0,49 млн рублей</w:t>
      </w:r>
      <w:r w:rsidR="00CD62C1"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xml:space="preserve">– по определению местоположения береговых линий (границ водных объектов), границ </w:t>
      </w:r>
      <w:proofErr w:type="spellStart"/>
      <w:r w:rsidRPr="00E47AA9">
        <w:rPr>
          <w:rFonts w:ascii="Times New Roman" w:eastAsia="Times New Roman" w:hAnsi="Times New Roman" w:cs="Times New Roman"/>
          <w:sz w:val="28"/>
          <w:szCs w:val="28"/>
          <w:lang w:eastAsia="ru-RU"/>
        </w:rPr>
        <w:t>водоохранных</w:t>
      </w:r>
      <w:proofErr w:type="spellEnd"/>
      <w:r w:rsidRPr="00E47AA9">
        <w:rPr>
          <w:rFonts w:ascii="Times New Roman" w:eastAsia="Times New Roman" w:hAnsi="Times New Roman" w:cs="Times New Roman"/>
          <w:sz w:val="28"/>
          <w:szCs w:val="28"/>
          <w:lang w:eastAsia="ru-RU"/>
        </w:rPr>
        <w:t xml:space="preserve"> зон и прибрежных защитных полос реки Большая Уссурка Приморского края. Срок действия контракта от 27.04.2024 с ООО "Компания "Мегаполис" 25.12.2025, исполнени</w:t>
      </w:r>
      <w:r w:rsidR="00CD62C1" w:rsidRPr="00E47AA9">
        <w:rPr>
          <w:rFonts w:ascii="Times New Roman" w:eastAsia="Times New Roman" w:hAnsi="Times New Roman" w:cs="Times New Roman"/>
          <w:sz w:val="28"/>
          <w:szCs w:val="28"/>
          <w:lang w:eastAsia="ru-RU"/>
        </w:rPr>
        <w:t>е 1 этапа –</w:t>
      </w:r>
      <w:r w:rsidRPr="00E47AA9">
        <w:rPr>
          <w:rFonts w:ascii="Times New Roman" w:eastAsia="Times New Roman" w:hAnsi="Times New Roman" w:cs="Times New Roman"/>
          <w:sz w:val="28"/>
          <w:szCs w:val="28"/>
          <w:lang w:eastAsia="ru-RU"/>
        </w:rPr>
        <w:t xml:space="preserve"> 01.12.2024. При приемке исполнительной документации по 1 этапу возникли замечания. В настоящее время агентством проведена претензионная работа в связи с несвоевременной сдачей результата, подрядной организацией устраняются поступившие замечания; </w:t>
      </w:r>
    </w:p>
    <w:p w14:paraId="61B6E121" w14:textId="1AB6D9E3"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организация и осуществление государственного мониторинга водных объектов на территории Приморского края (план</w:t>
      </w:r>
      <w:r w:rsidR="00576C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 5,92 млн рублей). Исполнение отсутствовало в связи с возникшими замечаниями агентства при приемке исполнительной документации по контракту от 19.04.2024 (срок завершения работ 31.12.2024). Агентством проведена претензионная работа в связи с несвоевременной сдачей результата. Подрядной организацией устраняются поступившие замечания;</w:t>
      </w:r>
    </w:p>
    <w:p w14:paraId="3FE79ABC" w14:textId="4CA2427C"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приобретение специализированной техники для проведения работ по обеспечению пропускной способности водных объектов и строительства (реконструкции, текущему и капитальному ремонту) гидротехнических сооружений (план </w:t>
      </w:r>
      <w:r w:rsidR="00576C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139,35 млн рублей, исполнение 139,23 млн рублей, или 99,92 %). Закуплено 39 единиц техники: 26 единиц основной (экскаваторы, бульдозеры, самосвалы и прочее) и 13 единиц вспомогательной (топливозаправщики, тяг</w:t>
      </w:r>
      <w:r w:rsidR="001B5B66" w:rsidRPr="00E47AA9">
        <w:rPr>
          <w:rFonts w:ascii="Times New Roman" w:eastAsia="Times New Roman" w:hAnsi="Times New Roman" w:cs="Times New Roman"/>
          <w:sz w:val="28"/>
          <w:szCs w:val="28"/>
          <w:lang w:eastAsia="ru-RU"/>
        </w:rPr>
        <w:t>а</w:t>
      </w:r>
      <w:r w:rsidRPr="00E47AA9">
        <w:rPr>
          <w:rFonts w:ascii="Times New Roman" w:eastAsia="Times New Roman" w:hAnsi="Times New Roman" w:cs="Times New Roman"/>
          <w:sz w:val="28"/>
          <w:szCs w:val="28"/>
          <w:lang w:eastAsia="ru-RU"/>
        </w:rPr>
        <w:t>чи, вахтовый автобус, манипулятор и прочее).</w:t>
      </w:r>
    </w:p>
    <w:p w14:paraId="3327FFC8" w14:textId="77777777" w:rsidR="000711E6" w:rsidRPr="00E47AA9" w:rsidRDefault="000711E6" w:rsidP="000711E6">
      <w:pPr>
        <w:spacing w:after="0" w:line="240" w:lineRule="auto"/>
        <w:ind w:firstLine="708"/>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Подпрограмма "Биологическое разнообразие Приморского края"</w:t>
      </w:r>
    </w:p>
    <w:p w14:paraId="208C5B33"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2024 году </w:t>
      </w:r>
      <w:r w:rsidRPr="00E47AA9">
        <w:rPr>
          <w:rFonts w:ascii="Times New Roman" w:eastAsia="Times New Roman" w:hAnsi="Times New Roman" w:cs="Times New Roman"/>
          <w:sz w:val="28"/>
          <w:szCs w:val="28"/>
          <w:u w:val="single"/>
          <w:lang w:eastAsia="ru-RU"/>
        </w:rPr>
        <w:t xml:space="preserve">министерством лесного хозяйства, охраны окружающей среды, животного мира и природных ресурсов Приморского края </w:t>
      </w:r>
      <w:r w:rsidRPr="00E47AA9">
        <w:rPr>
          <w:rFonts w:ascii="Times New Roman" w:eastAsia="Times New Roman" w:hAnsi="Times New Roman" w:cs="Times New Roman"/>
          <w:sz w:val="28"/>
          <w:szCs w:val="28"/>
          <w:lang w:eastAsia="ru-RU"/>
        </w:rPr>
        <w:t xml:space="preserve">в рамках подпрограммы реализованы следующие </w:t>
      </w:r>
      <w:r w:rsidRPr="00E47AA9">
        <w:rPr>
          <w:rFonts w:ascii="Times New Roman" w:eastAsia="Times New Roman" w:hAnsi="Times New Roman" w:cs="Times New Roman"/>
          <w:i/>
          <w:sz w:val="28"/>
          <w:szCs w:val="28"/>
          <w:lang w:eastAsia="ru-RU"/>
        </w:rPr>
        <w:t>комплексы процессных мероприятий:</w:t>
      </w:r>
    </w:p>
    <w:p w14:paraId="43936834"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Cs/>
          <w:i/>
          <w:sz w:val="28"/>
          <w:szCs w:val="28"/>
          <w:lang w:eastAsia="ru-RU"/>
        </w:rPr>
        <w:t>КПМ "Мероприятия в области охраны и функционирования особо охраняемых территорий краевого значения, ведения Красной книги"</w:t>
      </w:r>
      <w:r w:rsidRPr="00E47AA9">
        <w:rPr>
          <w:rFonts w:ascii="Times New Roman" w:eastAsia="Times New Roman" w:hAnsi="Times New Roman" w:cs="Times New Roman"/>
          <w:bCs/>
          <w:sz w:val="28"/>
          <w:szCs w:val="28"/>
          <w:lang w:eastAsia="ru-RU"/>
        </w:rPr>
        <w:t xml:space="preserve"> </w:t>
      </w:r>
      <w:r w:rsidRPr="00E47AA9">
        <w:rPr>
          <w:rFonts w:ascii="Times New Roman" w:eastAsia="Times New Roman" w:hAnsi="Times New Roman" w:cs="Times New Roman"/>
          <w:sz w:val="28"/>
          <w:szCs w:val="28"/>
          <w:lang w:eastAsia="ru-RU"/>
        </w:rPr>
        <w:t>– 142,15 млн рублей (92,97 % от плана 152,90 млн рублей), из них в полном объеме плановых назначений 89,73 млн рублей предоставлены субсидии подведомственному КГБУ "Дирекция по охране объектов животного мира и особо охраняемых природных территорий" на выполнение работ по сохранению природных комплексов;</w:t>
      </w:r>
    </w:p>
    <w:p w14:paraId="091160F8"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"Мероприятия в области охраны и использования объектов животного мира, сохранения и использования охотничьих ресурсов"</w:t>
      </w:r>
      <w:r w:rsidRPr="00E47AA9">
        <w:rPr>
          <w:rFonts w:ascii="Times New Roman" w:eastAsia="Times New Roman" w:hAnsi="Times New Roman" w:cs="Times New Roman"/>
          <w:sz w:val="28"/>
          <w:szCs w:val="28"/>
          <w:lang w:eastAsia="ru-RU"/>
        </w:rPr>
        <w:t xml:space="preserve"> – </w:t>
      </w:r>
      <w:r w:rsidRPr="00E47AA9">
        <w:rPr>
          <w:rFonts w:ascii="Times New Roman" w:eastAsia="Times New Roman" w:hAnsi="Times New Roman" w:cs="Times New Roman"/>
          <w:sz w:val="28"/>
          <w:szCs w:val="28"/>
          <w:lang w:eastAsia="ru-RU"/>
        </w:rPr>
        <w:lastRenderedPageBreak/>
        <w:t xml:space="preserve">91,82 млн рублей (97,08 % от плановых назначений 94,58 млн рублей) субсидии подведомственному КГБУ "Дирекция по охране объектов животного мира и особо охраняемых природных территорий" на проведение работ по охране объектов животного мира, выявление нарушений природоохранного законодательства; </w:t>
      </w:r>
    </w:p>
    <w:p w14:paraId="7AC1C7E8" w14:textId="716563C4"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Cs/>
          <w:i/>
          <w:sz w:val="28"/>
          <w:szCs w:val="28"/>
          <w:lang w:eastAsia="ru-RU"/>
        </w:rPr>
        <w:t>КПМ "Мероприятия по осуществлению переданных Российской Федерацией полномочий в области охраны и использования объектов животного мира, сохранения и использования охотничьих ресурсов"</w:t>
      </w:r>
      <w:r w:rsidRPr="00E47AA9">
        <w:rPr>
          <w:rFonts w:ascii="Times New Roman" w:eastAsia="Times New Roman" w:hAnsi="Times New Roman" w:cs="Times New Roman"/>
          <w:bCs/>
          <w:sz w:val="28"/>
          <w:szCs w:val="28"/>
          <w:lang w:eastAsia="ru-RU"/>
        </w:rPr>
        <w:t xml:space="preserve"> –</w:t>
      </w:r>
      <w:r w:rsidRPr="00E47AA9">
        <w:rPr>
          <w:rFonts w:ascii="Times New Roman" w:eastAsia="Times New Roman" w:hAnsi="Times New Roman" w:cs="Times New Roman"/>
          <w:sz w:val="28"/>
          <w:szCs w:val="28"/>
          <w:lang w:eastAsia="ru-RU"/>
        </w:rPr>
        <w:t xml:space="preserve"> 21,94 млн рублей (план </w:t>
      </w:r>
      <w:r w:rsidR="00613EC5"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22,07 млн рублей), из них 20,84 млн рублей за счет федерального бюджета на осуществление переданных полномочий в области охраны и использования охотничьих ресурсов.</w:t>
      </w:r>
    </w:p>
    <w:p w14:paraId="771F09DC" w14:textId="77777777" w:rsidR="000711E6" w:rsidRPr="00E47AA9" w:rsidRDefault="000711E6" w:rsidP="000711E6">
      <w:pPr>
        <w:spacing w:after="0" w:line="240" w:lineRule="auto"/>
        <w:jc w:val="both"/>
        <w:rPr>
          <w:rFonts w:ascii="Times New Roman" w:eastAsia="Times New Roman" w:hAnsi="Times New Roman" w:cs="Times New Roman"/>
          <w:sz w:val="28"/>
          <w:szCs w:val="28"/>
          <w:lang w:eastAsia="ru-RU"/>
        </w:rPr>
      </w:pPr>
    </w:p>
    <w:p w14:paraId="7CCA436A" w14:textId="77777777" w:rsidR="000711E6" w:rsidRPr="00E47AA9" w:rsidRDefault="000711E6" w:rsidP="00FD476E">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noProof/>
          <w:sz w:val="28"/>
          <w:szCs w:val="28"/>
          <w:lang w:eastAsia="ru-RU"/>
        </w:rPr>
        <w:drawing>
          <wp:anchor distT="0" distB="0" distL="114300" distR="114300" simplePos="0" relativeHeight="251683840" behindDoc="0" locked="0" layoutInCell="1" allowOverlap="1" wp14:anchorId="5053BFA7" wp14:editId="37EC4A7A">
            <wp:simplePos x="0" y="0"/>
            <wp:positionH relativeFrom="column">
              <wp:posOffset>-98969</wp:posOffset>
            </wp:positionH>
            <wp:positionV relativeFrom="paragraph">
              <wp:posOffset>118019</wp:posOffset>
            </wp:positionV>
            <wp:extent cx="1475740" cy="1106805"/>
            <wp:effectExtent l="0" t="0" r="0" b="0"/>
            <wp:wrapSquare wrapText="bothSides"/>
            <wp:docPr id="59" name="Рисунок 59" descr="C:\Users\zavzyataya_sv\Desktop\Картинки к исполнению\01d6ba615236b67ca3b4beb4fba2d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avzyataya_sv\Desktop\Картинки к исполнению\01d6ba615236b67ca3b4beb4fba2d128.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475740" cy="11068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47AA9">
        <w:rPr>
          <w:rFonts w:ascii="Times New Roman" w:eastAsia="Times New Roman" w:hAnsi="Times New Roman" w:cs="Times New Roman"/>
          <w:b/>
          <w:sz w:val="28"/>
          <w:szCs w:val="28"/>
          <w:lang w:eastAsia="ru-RU"/>
        </w:rPr>
        <w:t>5.2.9.</w:t>
      </w:r>
      <w:r w:rsidRPr="00E47AA9">
        <w:rPr>
          <w:rFonts w:ascii="Times New Roman" w:eastAsia="Times New Roman" w:hAnsi="Times New Roman" w:cs="Times New Roman"/>
          <w:sz w:val="24"/>
          <w:szCs w:val="24"/>
          <w:lang w:eastAsia="ru-RU"/>
        </w:rPr>
        <w:t> </w:t>
      </w:r>
      <w:r w:rsidRPr="00E47AA9">
        <w:rPr>
          <w:rFonts w:ascii="Times New Roman" w:eastAsia="Times New Roman" w:hAnsi="Times New Roman" w:cs="Times New Roman"/>
          <w:b/>
          <w:sz w:val="28"/>
          <w:szCs w:val="28"/>
          <w:lang w:eastAsia="ru-RU"/>
        </w:rPr>
        <w:t xml:space="preserve">Государственная программа Приморского края "Развитие физической культуры и спорта Приморского края" </w:t>
      </w:r>
    </w:p>
    <w:p w14:paraId="76893B81" w14:textId="54EDD40C" w:rsidR="0091578A" w:rsidRPr="00E47AA9" w:rsidRDefault="0091578A" w:rsidP="0091578A">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rPr>
        <w:t xml:space="preserve">Уточненные бюджетные назначения на 2024 год на реализацию программы составили 6564,12 млн рублей. Исполнено расходов на 94,68 %, или на 6214,92 млн рублей, в том числе за </w:t>
      </w:r>
      <w:r w:rsidRPr="00E47AA9">
        <w:rPr>
          <w:rFonts w:ascii="Times New Roman" w:eastAsia="Times New Roman" w:hAnsi="Times New Roman" w:cs="Times New Roman"/>
          <w:sz w:val="28"/>
          <w:szCs w:val="28"/>
          <w:lang w:eastAsia="ru-RU"/>
        </w:rPr>
        <w:t xml:space="preserve">счет средств федерального бюджета в сумме 1033,53 млн рублей, или 84,72 % (план </w:t>
      </w:r>
      <w:r w:rsidR="00576C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1219,91 млн рублей), краевого бюджета</w:t>
      </w:r>
      <w:r w:rsidRPr="00E47AA9">
        <w:t> </w:t>
      </w:r>
      <w:r w:rsidRPr="00E47AA9">
        <w:rPr>
          <w:rFonts w:ascii="Times New Roman" w:eastAsia="Times New Roman" w:hAnsi="Times New Roman" w:cs="Times New Roman"/>
          <w:sz w:val="28"/>
          <w:szCs w:val="28"/>
          <w:lang w:eastAsia="ru-RU"/>
        </w:rPr>
        <w:t>– 5181,39 млн рублей, или 96,95 % (5344,21 млн рублей).</w:t>
      </w:r>
    </w:p>
    <w:p w14:paraId="09BCC9C4" w14:textId="7C2BE3CD" w:rsidR="0091578A" w:rsidRPr="00E47AA9" w:rsidRDefault="0091578A" w:rsidP="0002076E">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eastAsia="Times New Roman" w:hAnsi="Times New Roman" w:cs="Times New Roman"/>
          <w:sz w:val="28"/>
          <w:szCs w:val="28"/>
        </w:rPr>
        <w:t xml:space="preserve">Исполнение расходов в 2024 году осуществлялось </w:t>
      </w:r>
      <w:r w:rsidRPr="00E47AA9">
        <w:rPr>
          <w:rFonts w:ascii="Times New Roman" w:hAnsi="Times New Roman" w:cs="Times New Roman"/>
          <w:sz w:val="28"/>
          <w:szCs w:val="28"/>
        </w:rPr>
        <w:t xml:space="preserve">ответственным исполнителем </w:t>
      </w:r>
      <w:r w:rsidRPr="00E47AA9">
        <w:rPr>
          <w:rFonts w:ascii="Times New Roman" w:eastAsia="Times New Roman" w:hAnsi="Times New Roman" w:cs="Times New Roman"/>
          <w:sz w:val="28"/>
          <w:szCs w:val="28"/>
        </w:rPr>
        <w:t>ГП</w:t>
      </w:r>
      <w:r w:rsidRPr="00E47AA9">
        <w:rPr>
          <w:rFonts w:ascii="Times New Roman" w:hAnsi="Times New Roman" w:cs="Times New Roman"/>
          <w:sz w:val="28"/>
          <w:szCs w:val="28"/>
        </w:rPr>
        <w:t xml:space="preserve"> </w:t>
      </w:r>
      <w:r w:rsidR="001B5B66" w:rsidRPr="00E47AA9">
        <w:rPr>
          <w:rFonts w:ascii="Times New Roman" w:hAnsi="Times New Roman" w:cs="Times New Roman"/>
          <w:sz w:val="28"/>
          <w:szCs w:val="28"/>
        </w:rPr>
        <w:t>–</w:t>
      </w:r>
      <w:r w:rsidRPr="00E47AA9">
        <w:rPr>
          <w:rFonts w:ascii="Times New Roman" w:hAnsi="Times New Roman" w:cs="Times New Roman"/>
          <w:sz w:val="28"/>
          <w:szCs w:val="28"/>
        </w:rPr>
        <w:t xml:space="preserve"> министерством физической культуры и спорта Приморского края на сумму 5478,97 млн рублей, или 98,71 % (план</w:t>
      </w:r>
      <w:r w:rsidR="00576C74" w:rsidRPr="00E47AA9">
        <w:rPr>
          <w:rFonts w:ascii="Times New Roman" w:hAnsi="Times New Roman" w:cs="Times New Roman"/>
          <w:sz w:val="28"/>
          <w:szCs w:val="28"/>
        </w:rPr>
        <w:t> </w:t>
      </w:r>
      <w:proofErr w:type="gramStart"/>
      <w:r w:rsidR="00576C74"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 5550</w:t>
      </w:r>
      <w:proofErr w:type="gramEnd"/>
      <w:r w:rsidRPr="00E47AA9">
        <w:rPr>
          <w:rFonts w:ascii="Times New Roman" w:hAnsi="Times New Roman" w:cs="Times New Roman"/>
          <w:sz w:val="28"/>
          <w:szCs w:val="28"/>
        </w:rPr>
        <w:t xml:space="preserve">,40 млн рублей), а также соисполнителем </w:t>
      </w:r>
      <w:r w:rsidR="001B5B66" w:rsidRPr="00E47AA9">
        <w:rPr>
          <w:rFonts w:ascii="Times New Roman" w:hAnsi="Times New Roman" w:cs="Times New Roman"/>
          <w:sz w:val="28"/>
          <w:szCs w:val="28"/>
        </w:rPr>
        <w:t>–</w:t>
      </w:r>
      <w:r w:rsidRPr="00E47AA9">
        <w:rPr>
          <w:rFonts w:ascii="Times New Roman" w:hAnsi="Times New Roman" w:cs="Times New Roman"/>
          <w:sz w:val="28"/>
          <w:szCs w:val="28"/>
        </w:rPr>
        <w:t xml:space="preserve"> министерством строительства Приморского края в сумме 735,95 млн рублей, или 72,60 % (1013,72 млн рублей).</w:t>
      </w:r>
      <w:r w:rsidR="0002076E" w:rsidRPr="00E47AA9">
        <w:rPr>
          <w:rFonts w:ascii="Times New Roman" w:hAnsi="Times New Roman" w:cs="Times New Roman"/>
          <w:sz w:val="28"/>
          <w:szCs w:val="28"/>
        </w:rPr>
        <w:t xml:space="preserve"> </w:t>
      </w:r>
    </w:p>
    <w:p w14:paraId="01F378C5" w14:textId="71B4BD61" w:rsidR="0091578A" w:rsidRPr="00E47AA9" w:rsidRDefault="0091578A" w:rsidP="0091578A">
      <w:pPr>
        <w:spacing w:after="0" w:line="240" w:lineRule="auto"/>
        <w:ind w:firstLine="709"/>
        <w:jc w:val="both"/>
        <w:outlineLvl w:val="4"/>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Структура ГП на 2024 год сформирована в разрезе следующих элементов. </w:t>
      </w:r>
    </w:p>
    <w:tbl>
      <w:tblPr>
        <w:tblW w:w="9356" w:type="dxa"/>
        <w:tblLayout w:type="fixed"/>
        <w:tblLook w:val="04A0" w:firstRow="1" w:lastRow="0" w:firstColumn="1" w:lastColumn="0" w:noHBand="0" w:noVBand="1"/>
      </w:tblPr>
      <w:tblGrid>
        <w:gridCol w:w="3119"/>
        <w:gridCol w:w="1417"/>
        <w:gridCol w:w="1278"/>
        <w:gridCol w:w="1134"/>
        <w:gridCol w:w="989"/>
        <w:gridCol w:w="1419"/>
      </w:tblGrid>
      <w:tr w:rsidR="00E47AA9" w:rsidRPr="00E47AA9" w14:paraId="6C29981C" w14:textId="77777777" w:rsidTr="0018766B">
        <w:trPr>
          <w:trHeight w:val="90"/>
        </w:trPr>
        <w:tc>
          <w:tcPr>
            <w:tcW w:w="3119" w:type="dxa"/>
            <w:tcBorders>
              <w:bottom w:val="single" w:sz="4" w:space="0" w:color="auto"/>
            </w:tcBorders>
            <w:shd w:val="clear" w:color="000000" w:fill="FFFFFF"/>
            <w:vAlign w:val="center"/>
          </w:tcPr>
          <w:p w14:paraId="32645AC9" w14:textId="77777777" w:rsidR="001B5B66" w:rsidRPr="00E47AA9" w:rsidRDefault="001B5B66" w:rsidP="00FB1AE5">
            <w:pPr>
              <w:spacing w:after="0" w:line="240" w:lineRule="auto"/>
              <w:rPr>
                <w:rFonts w:ascii="Times New Roman" w:eastAsia="Times New Roman" w:hAnsi="Times New Roman" w:cs="Times New Roman"/>
                <w:sz w:val="20"/>
                <w:szCs w:val="20"/>
                <w:lang w:eastAsia="ru-RU"/>
              </w:rPr>
            </w:pPr>
          </w:p>
        </w:tc>
        <w:tc>
          <w:tcPr>
            <w:tcW w:w="1417" w:type="dxa"/>
            <w:tcBorders>
              <w:bottom w:val="single" w:sz="4" w:space="0" w:color="auto"/>
            </w:tcBorders>
            <w:shd w:val="clear" w:color="auto" w:fill="auto"/>
            <w:vAlign w:val="center"/>
          </w:tcPr>
          <w:p w14:paraId="4EFB913C" w14:textId="77777777" w:rsidR="001B5B66" w:rsidRPr="00E47AA9" w:rsidRDefault="001B5B66" w:rsidP="00FB1AE5">
            <w:pPr>
              <w:spacing w:after="0" w:line="240" w:lineRule="auto"/>
              <w:jc w:val="center"/>
              <w:rPr>
                <w:rFonts w:ascii="Times New Roman" w:eastAsia="Times New Roman" w:hAnsi="Times New Roman" w:cs="Times New Roman"/>
                <w:sz w:val="20"/>
                <w:szCs w:val="20"/>
                <w:lang w:eastAsia="ru-RU"/>
              </w:rPr>
            </w:pPr>
          </w:p>
        </w:tc>
        <w:tc>
          <w:tcPr>
            <w:tcW w:w="1278" w:type="dxa"/>
            <w:tcBorders>
              <w:bottom w:val="single" w:sz="4" w:space="0" w:color="auto"/>
            </w:tcBorders>
            <w:shd w:val="clear" w:color="auto" w:fill="auto"/>
            <w:vAlign w:val="center"/>
          </w:tcPr>
          <w:p w14:paraId="23FF77D3" w14:textId="77777777" w:rsidR="001B5B66" w:rsidRPr="00E47AA9" w:rsidRDefault="001B5B66" w:rsidP="00FB1AE5">
            <w:pPr>
              <w:spacing w:after="0" w:line="240" w:lineRule="auto"/>
              <w:jc w:val="center"/>
              <w:rPr>
                <w:rFonts w:ascii="Times New Roman" w:eastAsia="Times New Roman" w:hAnsi="Times New Roman" w:cs="Times New Roman"/>
                <w:sz w:val="20"/>
                <w:szCs w:val="20"/>
                <w:lang w:eastAsia="ru-RU"/>
              </w:rPr>
            </w:pPr>
          </w:p>
        </w:tc>
        <w:tc>
          <w:tcPr>
            <w:tcW w:w="1134" w:type="dxa"/>
            <w:tcBorders>
              <w:bottom w:val="single" w:sz="4" w:space="0" w:color="auto"/>
            </w:tcBorders>
            <w:shd w:val="clear" w:color="auto" w:fill="auto"/>
            <w:vAlign w:val="center"/>
          </w:tcPr>
          <w:p w14:paraId="1AA4A901" w14:textId="77777777" w:rsidR="001B5B66" w:rsidRPr="00E47AA9" w:rsidRDefault="001B5B66" w:rsidP="00FB1AE5">
            <w:pPr>
              <w:spacing w:after="0" w:line="240" w:lineRule="auto"/>
              <w:jc w:val="center"/>
              <w:rPr>
                <w:rFonts w:ascii="Times New Roman" w:eastAsia="Times New Roman" w:hAnsi="Times New Roman" w:cs="Times New Roman"/>
                <w:sz w:val="20"/>
                <w:szCs w:val="20"/>
                <w:lang w:eastAsia="ru-RU"/>
              </w:rPr>
            </w:pPr>
          </w:p>
        </w:tc>
        <w:tc>
          <w:tcPr>
            <w:tcW w:w="2408" w:type="dxa"/>
            <w:gridSpan w:val="2"/>
            <w:tcBorders>
              <w:bottom w:val="single" w:sz="4" w:space="0" w:color="auto"/>
            </w:tcBorders>
            <w:shd w:val="clear" w:color="auto" w:fill="auto"/>
            <w:vAlign w:val="center"/>
          </w:tcPr>
          <w:p w14:paraId="39F44C8D" w14:textId="77777777" w:rsidR="001B5B66" w:rsidRPr="00E47AA9" w:rsidRDefault="001B5B66" w:rsidP="001B5B66">
            <w:pPr>
              <w:spacing w:after="0" w:line="240" w:lineRule="auto"/>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lang w:eastAsia="ru-RU"/>
              </w:rPr>
              <w:t xml:space="preserve">(млн рублей) </w:t>
            </w:r>
          </w:p>
        </w:tc>
      </w:tr>
      <w:tr w:rsidR="00E47AA9" w:rsidRPr="00E47AA9" w14:paraId="554CD6CE" w14:textId="77777777" w:rsidTr="00FB1AE5">
        <w:trPr>
          <w:trHeight w:val="1030"/>
        </w:trPr>
        <w:tc>
          <w:tcPr>
            <w:tcW w:w="311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2BD50AD" w14:textId="77777777" w:rsidR="0091578A" w:rsidRPr="00E47AA9" w:rsidRDefault="0091578A" w:rsidP="00FB1AE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ГП, типа структурного элемента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03CCC2E9" w14:textId="77777777" w:rsidR="0091578A" w:rsidRPr="00E47AA9" w:rsidRDefault="0091578A" w:rsidP="00FB1AE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1278" w:type="dxa"/>
            <w:tcBorders>
              <w:top w:val="single" w:sz="4" w:space="0" w:color="auto"/>
              <w:left w:val="nil"/>
              <w:bottom w:val="single" w:sz="4" w:space="0" w:color="auto"/>
              <w:right w:val="single" w:sz="4" w:space="0" w:color="auto"/>
            </w:tcBorders>
            <w:shd w:val="clear" w:color="auto" w:fill="auto"/>
            <w:vAlign w:val="center"/>
            <w:hideMark/>
          </w:tcPr>
          <w:p w14:paraId="615E11C0" w14:textId="77777777" w:rsidR="0091578A" w:rsidRPr="00E47AA9" w:rsidRDefault="0091578A" w:rsidP="00FB1AE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DBD9EC" w14:textId="77777777" w:rsidR="0091578A" w:rsidRPr="00E47AA9" w:rsidRDefault="0091578A" w:rsidP="00FB1AE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 </w:t>
            </w:r>
          </w:p>
          <w:p w14:paraId="3D443782" w14:textId="77777777" w:rsidR="0091578A" w:rsidRPr="00E47AA9" w:rsidRDefault="0091578A" w:rsidP="00FB1AE5">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испол</w:t>
            </w:r>
            <w:proofErr w:type="spellEnd"/>
            <w:r w:rsidRPr="00E47AA9">
              <w:rPr>
                <w:rFonts w:ascii="Times New Roman" w:eastAsia="Times New Roman" w:hAnsi="Times New Roman" w:cs="Times New Roman"/>
                <w:sz w:val="20"/>
                <w:szCs w:val="20"/>
                <w:lang w:eastAsia="ru-RU"/>
              </w:rPr>
              <w:t>-нения</w:t>
            </w:r>
            <w:proofErr w:type="gramEnd"/>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7D124AF8" w14:textId="77777777" w:rsidR="0091578A" w:rsidRPr="00E47AA9" w:rsidRDefault="0091578A" w:rsidP="00FB1AE5">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удель-ный</w:t>
            </w:r>
            <w:proofErr w:type="spellEnd"/>
            <w:proofErr w:type="gramEnd"/>
            <w:r w:rsidRPr="00E47AA9">
              <w:rPr>
                <w:rFonts w:ascii="Times New Roman" w:eastAsia="Times New Roman" w:hAnsi="Times New Roman" w:cs="Times New Roman"/>
                <w:sz w:val="20"/>
                <w:szCs w:val="20"/>
                <w:lang w:eastAsia="ru-RU"/>
              </w:rPr>
              <w:t xml:space="preserve"> вес, %</w:t>
            </w:r>
          </w:p>
        </w:tc>
        <w:tc>
          <w:tcPr>
            <w:tcW w:w="1419" w:type="dxa"/>
            <w:tcBorders>
              <w:top w:val="single" w:sz="4" w:space="0" w:color="auto"/>
              <w:left w:val="nil"/>
              <w:bottom w:val="single" w:sz="4" w:space="0" w:color="auto"/>
              <w:right w:val="single" w:sz="4" w:space="0" w:color="auto"/>
            </w:tcBorders>
            <w:shd w:val="clear" w:color="auto" w:fill="auto"/>
            <w:vAlign w:val="center"/>
            <w:hideMark/>
          </w:tcPr>
          <w:p w14:paraId="41D2F6A4" w14:textId="77777777" w:rsidR="0091578A" w:rsidRPr="00E47AA9" w:rsidRDefault="0091578A" w:rsidP="00FB1AE5">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бюджетные назначения</w:t>
            </w:r>
          </w:p>
        </w:tc>
      </w:tr>
      <w:tr w:rsidR="00E47AA9" w:rsidRPr="00E47AA9" w14:paraId="4BBAAEF8" w14:textId="77777777" w:rsidTr="00FB1AE5">
        <w:trPr>
          <w:trHeight w:val="300"/>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7FD985E2" w14:textId="77777777" w:rsidR="0091578A" w:rsidRPr="00E47AA9" w:rsidRDefault="0091578A" w:rsidP="00FB1AE5">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Расходы по ГП всего,</w:t>
            </w:r>
          </w:p>
          <w:p w14:paraId="56F22244" w14:textId="77777777" w:rsidR="0091578A" w:rsidRPr="00E47AA9" w:rsidRDefault="0091578A" w:rsidP="001B5B66">
            <w:pPr>
              <w:spacing w:after="0" w:line="240" w:lineRule="auto"/>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iCs/>
                <w:sz w:val="20"/>
                <w:szCs w:val="20"/>
                <w:lang w:eastAsia="ru-RU"/>
              </w:rPr>
              <w:t>в том числе</w:t>
            </w:r>
          </w:p>
        </w:tc>
        <w:tc>
          <w:tcPr>
            <w:tcW w:w="1417" w:type="dxa"/>
            <w:tcBorders>
              <w:top w:val="nil"/>
              <w:left w:val="nil"/>
              <w:bottom w:val="single" w:sz="4" w:space="0" w:color="auto"/>
              <w:right w:val="single" w:sz="4" w:space="0" w:color="auto"/>
            </w:tcBorders>
            <w:shd w:val="clear" w:color="auto" w:fill="auto"/>
            <w:vAlign w:val="center"/>
            <w:hideMark/>
          </w:tcPr>
          <w:p w14:paraId="22196B96"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6 564,12</w:t>
            </w:r>
          </w:p>
        </w:tc>
        <w:tc>
          <w:tcPr>
            <w:tcW w:w="1278" w:type="dxa"/>
            <w:tcBorders>
              <w:top w:val="nil"/>
              <w:left w:val="nil"/>
              <w:bottom w:val="single" w:sz="4" w:space="0" w:color="auto"/>
              <w:right w:val="single" w:sz="4" w:space="0" w:color="auto"/>
            </w:tcBorders>
            <w:shd w:val="clear" w:color="auto" w:fill="auto"/>
            <w:vAlign w:val="center"/>
            <w:hideMark/>
          </w:tcPr>
          <w:p w14:paraId="44412E03"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6 214,92</w:t>
            </w:r>
          </w:p>
        </w:tc>
        <w:tc>
          <w:tcPr>
            <w:tcW w:w="1134" w:type="dxa"/>
            <w:tcBorders>
              <w:top w:val="nil"/>
              <w:left w:val="nil"/>
              <w:bottom w:val="single" w:sz="4" w:space="0" w:color="auto"/>
              <w:right w:val="single" w:sz="4" w:space="0" w:color="auto"/>
            </w:tcBorders>
            <w:shd w:val="clear" w:color="auto" w:fill="auto"/>
            <w:vAlign w:val="center"/>
            <w:hideMark/>
          </w:tcPr>
          <w:p w14:paraId="138EFEBC"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94,68</w:t>
            </w:r>
          </w:p>
        </w:tc>
        <w:tc>
          <w:tcPr>
            <w:tcW w:w="989" w:type="dxa"/>
            <w:tcBorders>
              <w:top w:val="nil"/>
              <w:left w:val="nil"/>
              <w:bottom w:val="single" w:sz="4" w:space="0" w:color="auto"/>
              <w:right w:val="single" w:sz="4" w:space="0" w:color="auto"/>
            </w:tcBorders>
            <w:shd w:val="clear" w:color="auto" w:fill="auto"/>
            <w:vAlign w:val="center"/>
            <w:hideMark/>
          </w:tcPr>
          <w:p w14:paraId="6FCF3D5F"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val="en-US" w:eastAsia="ru-RU"/>
              </w:rPr>
            </w:pPr>
            <w:r w:rsidRPr="00E47AA9">
              <w:rPr>
                <w:rFonts w:ascii="Times New Roman" w:eastAsia="Times New Roman" w:hAnsi="Times New Roman" w:cs="Times New Roman"/>
                <w:b/>
                <w:bCs/>
                <w:sz w:val="20"/>
                <w:szCs w:val="20"/>
                <w:lang w:val="en-US" w:eastAsia="ru-RU"/>
              </w:rPr>
              <w:t>100.00</w:t>
            </w:r>
          </w:p>
        </w:tc>
        <w:tc>
          <w:tcPr>
            <w:tcW w:w="1419" w:type="dxa"/>
            <w:tcBorders>
              <w:top w:val="nil"/>
              <w:left w:val="nil"/>
              <w:bottom w:val="single" w:sz="4" w:space="0" w:color="auto"/>
              <w:right w:val="single" w:sz="4" w:space="0" w:color="auto"/>
            </w:tcBorders>
            <w:shd w:val="clear" w:color="auto" w:fill="auto"/>
            <w:vAlign w:val="center"/>
            <w:hideMark/>
          </w:tcPr>
          <w:p w14:paraId="7C7265DC"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349,20</w:t>
            </w:r>
          </w:p>
        </w:tc>
      </w:tr>
      <w:tr w:rsidR="00E47AA9" w:rsidRPr="00E47AA9" w14:paraId="6103C383" w14:textId="77777777" w:rsidTr="00FB1AE5">
        <w:trPr>
          <w:trHeight w:val="510"/>
        </w:trPr>
        <w:tc>
          <w:tcPr>
            <w:tcW w:w="3119" w:type="dxa"/>
            <w:tcBorders>
              <w:top w:val="nil"/>
              <w:left w:val="single" w:sz="4" w:space="0" w:color="auto"/>
              <w:bottom w:val="single" w:sz="4" w:space="0" w:color="auto"/>
              <w:right w:val="single" w:sz="4" w:space="0" w:color="auto"/>
            </w:tcBorders>
            <w:shd w:val="clear" w:color="000000" w:fill="FFFFFF"/>
            <w:vAlign w:val="center"/>
            <w:hideMark/>
          </w:tcPr>
          <w:p w14:paraId="53D73849" w14:textId="77777777" w:rsidR="0091578A" w:rsidRPr="00E47AA9" w:rsidRDefault="0091578A" w:rsidP="00FB1AE5">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проектные мероприятия, в том числе</w:t>
            </w:r>
          </w:p>
        </w:tc>
        <w:tc>
          <w:tcPr>
            <w:tcW w:w="1417" w:type="dxa"/>
            <w:tcBorders>
              <w:top w:val="nil"/>
              <w:left w:val="nil"/>
              <w:bottom w:val="single" w:sz="4" w:space="0" w:color="auto"/>
              <w:right w:val="single" w:sz="4" w:space="0" w:color="auto"/>
            </w:tcBorders>
            <w:shd w:val="clear" w:color="000000" w:fill="FFFFFF"/>
            <w:vAlign w:val="center"/>
            <w:hideMark/>
          </w:tcPr>
          <w:p w14:paraId="02971A58"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280,08</w:t>
            </w:r>
          </w:p>
        </w:tc>
        <w:tc>
          <w:tcPr>
            <w:tcW w:w="1278" w:type="dxa"/>
            <w:tcBorders>
              <w:top w:val="nil"/>
              <w:left w:val="nil"/>
              <w:bottom w:val="single" w:sz="4" w:space="0" w:color="auto"/>
              <w:right w:val="single" w:sz="4" w:space="0" w:color="auto"/>
            </w:tcBorders>
            <w:shd w:val="clear" w:color="000000" w:fill="FFFFFF"/>
            <w:vAlign w:val="center"/>
            <w:hideMark/>
          </w:tcPr>
          <w:p w14:paraId="79DA62EE"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224,6</w:t>
            </w:r>
          </w:p>
        </w:tc>
        <w:tc>
          <w:tcPr>
            <w:tcW w:w="1134" w:type="dxa"/>
            <w:tcBorders>
              <w:top w:val="nil"/>
              <w:left w:val="nil"/>
              <w:bottom w:val="single" w:sz="4" w:space="0" w:color="auto"/>
              <w:right w:val="single" w:sz="4" w:space="0" w:color="auto"/>
            </w:tcBorders>
            <w:shd w:val="clear" w:color="000000" w:fill="FFFFFF"/>
            <w:vAlign w:val="center"/>
            <w:hideMark/>
          </w:tcPr>
          <w:p w14:paraId="4A1230CF"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80,19</w:t>
            </w:r>
          </w:p>
        </w:tc>
        <w:tc>
          <w:tcPr>
            <w:tcW w:w="989" w:type="dxa"/>
            <w:tcBorders>
              <w:top w:val="nil"/>
              <w:left w:val="nil"/>
              <w:bottom w:val="single" w:sz="4" w:space="0" w:color="auto"/>
              <w:right w:val="single" w:sz="4" w:space="0" w:color="auto"/>
            </w:tcBorders>
            <w:shd w:val="clear" w:color="000000" w:fill="FFFFFF"/>
            <w:vAlign w:val="center"/>
            <w:hideMark/>
          </w:tcPr>
          <w:p w14:paraId="36E758C8"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val="en-US" w:eastAsia="ru-RU"/>
              </w:rPr>
            </w:pPr>
            <w:r w:rsidRPr="00E47AA9">
              <w:rPr>
                <w:rFonts w:ascii="Times New Roman" w:eastAsia="Times New Roman" w:hAnsi="Times New Roman" w:cs="Times New Roman"/>
                <w:b/>
                <w:bCs/>
                <w:sz w:val="20"/>
                <w:szCs w:val="20"/>
                <w:lang w:val="en-US" w:eastAsia="ru-RU"/>
              </w:rPr>
              <w:t>3.61</w:t>
            </w:r>
          </w:p>
        </w:tc>
        <w:tc>
          <w:tcPr>
            <w:tcW w:w="1419" w:type="dxa"/>
            <w:tcBorders>
              <w:top w:val="nil"/>
              <w:left w:val="nil"/>
              <w:bottom w:val="single" w:sz="4" w:space="0" w:color="auto"/>
              <w:right w:val="single" w:sz="4" w:space="0" w:color="auto"/>
            </w:tcBorders>
            <w:shd w:val="clear" w:color="000000" w:fill="FFFFFF"/>
            <w:vAlign w:val="center"/>
            <w:hideMark/>
          </w:tcPr>
          <w:p w14:paraId="6445B37E"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55,48</w:t>
            </w:r>
          </w:p>
        </w:tc>
      </w:tr>
      <w:tr w:rsidR="00E47AA9" w:rsidRPr="00E47AA9" w14:paraId="6F49F2B0" w14:textId="77777777" w:rsidTr="00FB1AE5">
        <w:trPr>
          <w:trHeight w:val="300"/>
        </w:trPr>
        <w:tc>
          <w:tcPr>
            <w:tcW w:w="3119" w:type="dxa"/>
            <w:tcBorders>
              <w:top w:val="nil"/>
              <w:left w:val="single" w:sz="4" w:space="0" w:color="auto"/>
              <w:bottom w:val="single" w:sz="4" w:space="0" w:color="auto"/>
              <w:right w:val="single" w:sz="4" w:space="0" w:color="auto"/>
            </w:tcBorders>
            <w:shd w:val="clear" w:color="000000" w:fill="FFFFFF"/>
            <w:vAlign w:val="center"/>
            <w:hideMark/>
          </w:tcPr>
          <w:p w14:paraId="68705127" w14:textId="77777777" w:rsidR="0091578A" w:rsidRPr="00E47AA9" w:rsidRDefault="0091578A" w:rsidP="00FB1AE5">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 xml:space="preserve">РП, входящие в состав </w:t>
            </w:r>
          </w:p>
          <w:p w14:paraId="37E639D5" w14:textId="77777777" w:rsidR="0091578A" w:rsidRPr="00E47AA9" w:rsidRDefault="0091578A" w:rsidP="00FB1AE5">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НП "Демография"</w:t>
            </w:r>
          </w:p>
        </w:tc>
        <w:tc>
          <w:tcPr>
            <w:tcW w:w="1417" w:type="dxa"/>
            <w:tcBorders>
              <w:top w:val="nil"/>
              <w:left w:val="nil"/>
              <w:bottom w:val="single" w:sz="4" w:space="0" w:color="auto"/>
              <w:right w:val="single" w:sz="4" w:space="0" w:color="auto"/>
            </w:tcBorders>
            <w:shd w:val="clear" w:color="000000" w:fill="FFFFFF"/>
            <w:vAlign w:val="center"/>
            <w:hideMark/>
          </w:tcPr>
          <w:p w14:paraId="1645731A"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213,82</w:t>
            </w:r>
          </w:p>
        </w:tc>
        <w:tc>
          <w:tcPr>
            <w:tcW w:w="1278" w:type="dxa"/>
            <w:tcBorders>
              <w:top w:val="nil"/>
              <w:left w:val="nil"/>
              <w:bottom w:val="single" w:sz="4" w:space="0" w:color="auto"/>
              <w:right w:val="single" w:sz="4" w:space="0" w:color="auto"/>
            </w:tcBorders>
            <w:shd w:val="clear" w:color="000000" w:fill="FFFFFF"/>
            <w:vAlign w:val="center"/>
            <w:hideMark/>
          </w:tcPr>
          <w:p w14:paraId="015D744E"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194,42</w:t>
            </w:r>
          </w:p>
        </w:tc>
        <w:tc>
          <w:tcPr>
            <w:tcW w:w="1134" w:type="dxa"/>
            <w:tcBorders>
              <w:top w:val="nil"/>
              <w:left w:val="nil"/>
              <w:bottom w:val="single" w:sz="4" w:space="0" w:color="auto"/>
              <w:right w:val="single" w:sz="4" w:space="0" w:color="auto"/>
            </w:tcBorders>
            <w:shd w:val="clear" w:color="000000" w:fill="FFFFFF"/>
            <w:vAlign w:val="center"/>
            <w:hideMark/>
          </w:tcPr>
          <w:p w14:paraId="79438F3A"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90,93</w:t>
            </w:r>
          </w:p>
        </w:tc>
        <w:tc>
          <w:tcPr>
            <w:tcW w:w="989" w:type="dxa"/>
            <w:tcBorders>
              <w:top w:val="nil"/>
              <w:left w:val="nil"/>
              <w:bottom w:val="single" w:sz="4" w:space="0" w:color="auto"/>
              <w:right w:val="single" w:sz="4" w:space="0" w:color="auto"/>
            </w:tcBorders>
            <w:shd w:val="clear" w:color="000000" w:fill="FFFFFF"/>
            <w:vAlign w:val="center"/>
            <w:hideMark/>
          </w:tcPr>
          <w:p w14:paraId="2FDA9B6F"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val="en-US" w:eastAsia="ru-RU"/>
              </w:rPr>
            </w:pPr>
            <w:r w:rsidRPr="00E47AA9">
              <w:rPr>
                <w:rFonts w:ascii="Times New Roman" w:eastAsia="Times New Roman" w:hAnsi="Times New Roman" w:cs="Times New Roman"/>
                <w:b/>
                <w:bCs/>
                <w:sz w:val="20"/>
                <w:szCs w:val="20"/>
                <w:lang w:val="en-US" w:eastAsia="ru-RU"/>
              </w:rPr>
              <w:t>3.13</w:t>
            </w:r>
          </w:p>
        </w:tc>
        <w:tc>
          <w:tcPr>
            <w:tcW w:w="1419" w:type="dxa"/>
            <w:tcBorders>
              <w:top w:val="nil"/>
              <w:left w:val="nil"/>
              <w:bottom w:val="single" w:sz="4" w:space="0" w:color="auto"/>
              <w:right w:val="single" w:sz="4" w:space="0" w:color="auto"/>
            </w:tcBorders>
            <w:shd w:val="clear" w:color="000000" w:fill="FFFFFF"/>
            <w:vAlign w:val="center"/>
            <w:hideMark/>
          </w:tcPr>
          <w:p w14:paraId="7089BDF9"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19,40</w:t>
            </w:r>
          </w:p>
        </w:tc>
      </w:tr>
      <w:tr w:rsidR="00E47AA9" w:rsidRPr="00E47AA9" w14:paraId="22EEEEE3" w14:textId="77777777" w:rsidTr="00FB1AE5">
        <w:trPr>
          <w:trHeight w:val="300"/>
        </w:trPr>
        <w:tc>
          <w:tcPr>
            <w:tcW w:w="3119" w:type="dxa"/>
            <w:tcBorders>
              <w:top w:val="nil"/>
              <w:left w:val="single" w:sz="4" w:space="0" w:color="auto"/>
              <w:bottom w:val="single" w:sz="4" w:space="0" w:color="auto"/>
              <w:right w:val="single" w:sz="4" w:space="0" w:color="auto"/>
            </w:tcBorders>
            <w:shd w:val="clear" w:color="auto" w:fill="auto"/>
            <w:hideMark/>
          </w:tcPr>
          <w:p w14:paraId="02F0463F" w14:textId="77777777" w:rsidR="0091578A" w:rsidRPr="00E47AA9" w:rsidRDefault="0091578A" w:rsidP="001B5B66">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РП "Спорт </w:t>
            </w:r>
            <w:r w:rsidR="001B5B66" w:rsidRPr="00E47AA9">
              <w:rPr>
                <w:rFonts w:ascii="Times New Roman" w:eastAsia="Times New Roman" w:hAnsi="Times New Roman" w:cs="Times New Roman"/>
                <w:sz w:val="20"/>
                <w:szCs w:val="20"/>
                <w:lang w:eastAsia="ru-RU"/>
              </w:rPr>
              <w:t>–</w:t>
            </w:r>
            <w:r w:rsidRPr="00E47AA9">
              <w:rPr>
                <w:rFonts w:ascii="Times New Roman" w:eastAsia="Times New Roman" w:hAnsi="Times New Roman" w:cs="Times New Roman"/>
                <w:sz w:val="20"/>
                <w:szCs w:val="20"/>
                <w:lang w:eastAsia="ru-RU"/>
              </w:rPr>
              <w:t xml:space="preserve"> норма жизни"</w:t>
            </w:r>
          </w:p>
        </w:tc>
        <w:tc>
          <w:tcPr>
            <w:tcW w:w="1417" w:type="dxa"/>
            <w:tcBorders>
              <w:top w:val="nil"/>
              <w:left w:val="nil"/>
              <w:bottom w:val="single" w:sz="4" w:space="0" w:color="auto"/>
              <w:right w:val="single" w:sz="4" w:space="0" w:color="auto"/>
            </w:tcBorders>
            <w:shd w:val="clear" w:color="000000" w:fill="FFFFFF"/>
            <w:vAlign w:val="center"/>
            <w:hideMark/>
          </w:tcPr>
          <w:p w14:paraId="56C39F8C" w14:textId="77777777" w:rsidR="0091578A" w:rsidRPr="00E47AA9" w:rsidRDefault="0091578A" w:rsidP="00FB1AE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213,82</w:t>
            </w:r>
          </w:p>
        </w:tc>
        <w:tc>
          <w:tcPr>
            <w:tcW w:w="1278" w:type="dxa"/>
            <w:tcBorders>
              <w:top w:val="nil"/>
              <w:left w:val="nil"/>
              <w:bottom w:val="single" w:sz="4" w:space="0" w:color="auto"/>
              <w:right w:val="single" w:sz="4" w:space="0" w:color="auto"/>
            </w:tcBorders>
            <w:shd w:val="clear" w:color="000000" w:fill="FFFFFF"/>
            <w:vAlign w:val="center"/>
            <w:hideMark/>
          </w:tcPr>
          <w:p w14:paraId="29CCB4B3" w14:textId="77777777" w:rsidR="0091578A" w:rsidRPr="00E47AA9" w:rsidRDefault="0091578A" w:rsidP="00FB1AE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194,42</w:t>
            </w:r>
          </w:p>
        </w:tc>
        <w:tc>
          <w:tcPr>
            <w:tcW w:w="1134" w:type="dxa"/>
            <w:tcBorders>
              <w:top w:val="nil"/>
              <w:left w:val="nil"/>
              <w:bottom w:val="single" w:sz="4" w:space="0" w:color="auto"/>
              <w:right w:val="single" w:sz="4" w:space="0" w:color="auto"/>
            </w:tcBorders>
            <w:shd w:val="clear" w:color="000000" w:fill="FFFFFF"/>
            <w:vAlign w:val="center"/>
            <w:hideMark/>
          </w:tcPr>
          <w:p w14:paraId="2D3D04A8" w14:textId="77777777" w:rsidR="0091578A" w:rsidRPr="00E47AA9" w:rsidRDefault="0091578A" w:rsidP="00FB1AE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90,93</w:t>
            </w:r>
          </w:p>
        </w:tc>
        <w:tc>
          <w:tcPr>
            <w:tcW w:w="989" w:type="dxa"/>
            <w:tcBorders>
              <w:top w:val="nil"/>
              <w:left w:val="nil"/>
              <w:bottom w:val="single" w:sz="4" w:space="0" w:color="auto"/>
              <w:right w:val="single" w:sz="4" w:space="0" w:color="auto"/>
            </w:tcBorders>
            <w:shd w:val="clear" w:color="000000" w:fill="FFFFFF"/>
            <w:vAlign w:val="center"/>
            <w:hideMark/>
          </w:tcPr>
          <w:p w14:paraId="18E85B67" w14:textId="77777777" w:rsidR="0091578A" w:rsidRPr="00E47AA9" w:rsidRDefault="0091578A" w:rsidP="00FB1AE5">
            <w:pPr>
              <w:spacing w:after="0" w:line="240" w:lineRule="auto"/>
              <w:jc w:val="right"/>
              <w:rPr>
                <w:rFonts w:ascii="Times New Roman" w:eastAsia="Times New Roman" w:hAnsi="Times New Roman" w:cs="Times New Roman"/>
                <w:sz w:val="20"/>
                <w:szCs w:val="20"/>
                <w:lang w:val="en-US" w:eastAsia="ru-RU"/>
              </w:rPr>
            </w:pPr>
            <w:r w:rsidRPr="00E47AA9">
              <w:rPr>
                <w:rFonts w:ascii="Times New Roman" w:eastAsia="Times New Roman" w:hAnsi="Times New Roman" w:cs="Times New Roman"/>
                <w:sz w:val="20"/>
                <w:szCs w:val="20"/>
                <w:lang w:val="en-US" w:eastAsia="ru-RU"/>
              </w:rPr>
              <w:t>3.13</w:t>
            </w:r>
          </w:p>
        </w:tc>
        <w:tc>
          <w:tcPr>
            <w:tcW w:w="1419" w:type="dxa"/>
            <w:tcBorders>
              <w:top w:val="nil"/>
              <w:left w:val="nil"/>
              <w:bottom w:val="single" w:sz="4" w:space="0" w:color="auto"/>
              <w:right w:val="single" w:sz="4" w:space="0" w:color="auto"/>
            </w:tcBorders>
            <w:shd w:val="clear" w:color="000000" w:fill="FFFFFF"/>
            <w:vAlign w:val="center"/>
            <w:hideMark/>
          </w:tcPr>
          <w:p w14:paraId="25074501" w14:textId="77777777" w:rsidR="0091578A" w:rsidRPr="00E47AA9" w:rsidRDefault="0091578A" w:rsidP="00FB1AE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19,40</w:t>
            </w:r>
          </w:p>
        </w:tc>
      </w:tr>
      <w:tr w:rsidR="00E47AA9" w:rsidRPr="00E47AA9" w14:paraId="2389800A" w14:textId="77777777" w:rsidTr="00FB1AE5">
        <w:trPr>
          <w:trHeight w:val="300"/>
        </w:trPr>
        <w:tc>
          <w:tcPr>
            <w:tcW w:w="3119" w:type="dxa"/>
            <w:tcBorders>
              <w:top w:val="nil"/>
              <w:left w:val="single" w:sz="4" w:space="0" w:color="auto"/>
              <w:bottom w:val="single" w:sz="4" w:space="0" w:color="auto"/>
              <w:right w:val="single" w:sz="4" w:space="0" w:color="auto"/>
            </w:tcBorders>
            <w:shd w:val="clear" w:color="000000" w:fill="FFFFFF"/>
            <w:vAlign w:val="center"/>
            <w:hideMark/>
          </w:tcPr>
          <w:p w14:paraId="434F44CB" w14:textId="77777777" w:rsidR="0091578A" w:rsidRPr="00E47AA9" w:rsidRDefault="0091578A" w:rsidP="00FB1AE5">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не входящие в состав НП</w:t>
            </w:r>
          </w:p>
        </w:tc>
        <w:tc>
          <w:tcPr>
            <w:tcW w:w="1417" w:type="dxa"/>
            <w:tcBorders>
              <w:top w:val="nil"/>
              <w:left w:val="nil"/>
              <w:bottom w:val="single" w:sz="4" w:space="0" w:color="auto"/>
              <w:right w:val="single" w:sz="4" w:space="0" w:color="auto"/>
            </w:tcBorders>
            <w:shd w:val="clear" w:color="000000" w:fill="FFFFFF"/>
            <w:vAlign w:val="center"/>
            <w:hideMark/>
          </w:tcPr>
          <w:p w14:paraId="530F00C7" w14:textId="77777777" w:rsidR="0091578A" w:rsidRPr="00E47AA9" w:rsidRDefault="0091578A" w:rsidP="00FB1AE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66,26</w:t>
            </w:r>
          </w:p>
        </w:tc>
        <w:tc>
          <w:tcPr>
            <w:tcW w:w="1278" w:type="dxa"/>
            <w:tcBorders>
              <w:top w:val="nil"/>
              <w:left w:val="nil"/>
              <w:bottom w:val="single" w:sz="4" w:space="0" w:color="auto"/>
              <w:right w:val="single" w:sz="4" w:space="0" w:color="auto"/>
            </w:tcBorders>
            <w:shd w:val="clear" w:color="000000" w:fill="FFFFFF"/>
            <w:vAlign w:val="center"/>
            <w:hideMark/>
          </w:tcPr>
          <w:p w14:paraId="019DB4C1" w14:textId="77777777" w:rsidR="0091578A" w:rsidRPr="00E47AA9" w:rsidRDefault="0091578A" w:rsidP="00FB1AE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30,18</w:t>
            </w:r>
          </w:p>
        </w:tc>
        <w:tc>
          <w:tcPr>
            <w:tcW w:w="1134" w:type="dxa"/>
            <w:tcBorders>
              <w:top w:val="nil"/>
              <w:left w:val="nil"/>
              <w:bottom w:val="single" w:sz="4" w:space="0" w:color="auto"/>
              <w:right w:val="single" w:sz="4" w:space="0" w:color="auto"/>
            </w:tcBorders>
            <w:shd w:val="clear" w:color="000000" w:fill="FFFFFF"/>
            <w:vAlign w:val="center"/>
            <w:hideMark/>
          </w:tcPr>
          <w:p w14:paraId="1A2BF727" w14:textId="77777777" w:rsidR="0091578A" w:rsidRPr="00E47AA9" w:rsidRDefault="0091578A" w:rsidP="00FB1AE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45,55</w:t>
            </w:r>
          </w:p>
        </w:tc>
        <w:tc>
          <w:tcPr>
            <w:tcW w:w="989" w:type="dxa"/>
            <w:tcBorders>
              <w:top w:val="nil"/>
              <w:left w:val="nil"/>
              <w:bottom w:val="single" w:sz="4" w:space="0" w:color="auto"/>
              <w:right w:val="single" w:sz="4" w:space="0" w:color="auto"/>
            </w:tcBorders>
            <w:shd w:val="clear" w:color="000000" w:fill="FFFFFF"/>
            <w:vAlign w:val="center"/>
            <w:hideMark/>
          </w:tcPr>
          <w:p w14:paraId="23B55F00" w14:textId="77777777" w:rsidR="0091578A" w:rsidRPr="00E47AA9" w:rsidRDefault="0091578A" w:rsidP="00FB1AE5">
            <w:pPr>
              <w:spacing w:after="0" w:line="240" w:lineRule="auto"/>
              <w:jc w:val="right"/>
              <w:rPr>
                <w:rFonts w:ascii="Times New Roman" w:eastAsia="Times New Roman" w:hAnsi="Times New Roman" w:cs="Times New Roman"/>
                <w:sz w:val="20"/>
                <w:szCs w:val="20"/>
                <w:lang w:val="en-US" w:eastAsia="ru-RU"/>
              </w:rPr>
            </w:pPr>
            <w:r w:rsidRPr="00E47AA9">
              <w:rPr>
                <w:rFonts w:ascii="Times New Roman" w:eastAsia="Times New Roman" w:hAnsi="Times New Roman" w:cs="Times New Roman"/>
                <w:sz w:val="20"/>
                <w:szCs w:val="20"/>
                <w:lang w:val="en-US" w:eastAsia="ru-RU"/>
              </w:rPr>
              <w:t>0.49</w:t>
            </w:r>
          </w:p>
        </w:tc>
        <w:tc>
          <w:tcPr>
            <w:tcW w:w="1419" w:type="dxa"/>
            <w:tcBorders>
              <w:top w:val="nil"/>
              <w:left w:val="nil"/>
              <w:bottom w:val="single" w:sz="4" w:space="0" w:color="auto"/>
              <w:right w:val="single" w:sz="4" w:space="0" w:color="auto"/>
            </w:tcBorders>
            <w:shd w:val="clear" w:color="000000" w:fill="FFFFFF"/>
            <w:vAlign w:val="center"/>
            <w:hideMark/>
          </w:tcPr>
          <w:p w14:paraId="000A3B17" w14:textId="77777777" w:rsidR="0091578A" w:rsidRPr="00E47AA9" w:rsidRDefault="0091578A" w:rsidP="00FB1AE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36,08</w:t>
            </w:r>
          </w:p>
        </w:tc>
      </w:tr>
      <w:tr w:rsidR="00E47AA9" w:rsidRPr="00E47AA9" w14:paraId="22797894" w14:textId="77777777" w:rsidTr="00FB1AE5">
        <w:trPr>
          <w:trHeight w:val="300"/>
        </w:trPr>
        <w:tc>
          <w:tcPr>
            <w:tcW w:w="3119" w:type="dxa"/>
            <w:tcBorders>
              <w:top w:val="nil"/>
              <w:left w:val="single" w:sz="4" w:space="0" w:color="auto"/>
              <w:bottom w:val="single" w:sz="4" w:space="0" w:color="auto"/>
              <w:right w:val="single" w:sz="4" w:space="0" w:color="auto"/>
            </w:tcBorders>
            <w:shd w:val="clear" w:color="auto" w:fill="auto"/>
            <w:hideMark/>
          </w:tcPr>
          <w:p w14:paraId="6D01D4F0" w14:textId="77777777" w:rsidR="0091578A" w:rsidRPr="00E47AA9" w:rsidRDefault="0091578A" w:rsidP="00FB1AE5">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Бизнес-спринт (Я выбираю спорт)</w:t>
            </w:r>
          </w:p>
        </w:tc>
        <w:tc>
          <w:tcPr>
            <w:tcW w:w="1417" w:type="dxa"/>
            <w:tcBorders>
              <w:top w:val="nil"/>
              <w:left w:val="nil"/>
              <w:bottom w:val="single" w:sz="4" w:space="0" w:color="auto"/>
              <w:right w:val="single" w:sz="4" w:space="0" w:color="auto"/>
            </w:tcBorders>
            <w:shd w:val="clear" w:color="000000" w:fill="FFFFFF"/>
            <w:vAlign w:val="center"/>
            <w:hideMark/>
          </w:tcPr>
          <w:p w14:paraId="7A52EE16" w14:textId="77777777" w:rsidR="0091578A" w:rsidRPr="00E47AA9" w:rsidRDefault="0091578A" w:rsidP="00FB1AE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66,26</w:t>
            </w:r>
          </w:p>
        </w:tc>
        <w:tc>
          <w:tcPr>
            <w:tcW w:w="1278" w:type="dxa"/>
            <w:tcBorders>
              <w:top w:val="nil"/>
              <w:left w:val="nil"/>
              <w:bottom w:val="single" w:sz="4" w:space="0" w:color="auto"/>
              <w:right w:val="single" w:sz="4" w:space="0" w:color="auto"/>
            </w:tcBorders>
            <w:shd w:val="clear" w:color="000000" w:fill="FFFFFF"/>
            <w:vAlign w:val="center"/>
            <w:hideMark/>
          </w:tcPr>
          <w:p w14:paraId="5A84C3FE" w14:textId="77777777" w:rsidR="0091578A" w:rsidRPr="00E47AA9" w:rsidRDefault="0091578A" w:rsidP="00FB1AE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30,18</w:t>
            </w:r>
          </w:p>
        </w:tc>
        <w:tc>
          <w:tcPr>
            <w:tcW w:w="1134" w:type="dxa"/>
            <w:tcBorders>
              <w:top w:val="nil"/>
              <w:left w:val="nil"/>
              <w:bottom w:val="single" w:sz="4" w:space="0" w:color="auto"/>
              <w:right w:val="single" w:sz="4" w:space="0" w:color="auto"/>
            </w:tcBorders>
            <w:shd w:val="clear" w:color="000000" w:fill="FFFFFF"/>
            <w:vAlign w:val="center"/>
            <w:hideMark/>
          </w:tcPr>
          <w:p w14:paraId="325FC6CF" w14:textId="77777777" w:rsidR="0091578A" w:rsidRPr="00E47AA9" w:rsidRDefault="0091578A" w:rsidP="00FB1AE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45,55</w:t>
            </w:r>
          </w:p>
        </w:tc>
        <w:tc>
          <w:tcPr>
            <w:tcW w:w="989" w:type="dxa"/>
            <w:tcBorders>
              <w:top w:val="nil"/>
              <w:left w:val="nil"/>
              <w:bottom w:val="single" w:sz="4" w:space="0" w:color="auto"/>
              <w:right w:val="single" w:sz="4" w:space="0" w:color="auto"/>
            </w:tcBorders>
            <w:shd w:val="clear" w:color="000000" w:fill="FFFFFF"/>
            <w:vAlign w:val="center"/>
            <w:hideMark/>
          </w:tcPr>
          <w:p w14:paraId="1F5ABD61" w14:textId="77777777" w:rsidR="0091578A" w:rsidRPr="00E47AA9" w:rsidRDefault="0091578A" w:rsidP="00FB1AE5">
            <w:pPr>
              <w:spacing w:after="0" w:line="240" w:lineRule="auto"/>
              <w:jc w:val="right"/>
              <w:rPr>
                <w:rFonts w:ascii="Times New Roman" w:eastAsia="Times New Roman" w:hAnsi="Times New Roman" w:cs="Times New Roman"/>
                <w:sz w:val="20"/>
                <w:szCs w:val="20"/>
                <w:lang w:val="en-US" w:eastAsia="ru-RU"/>
              </w:rPr>
            </w:pPr>
            <w:r w:rsidRPr="00E47AA9">
              <w:rPr>
                <w:rFonts w:ascii="Times New Roman" w:eastAsia="Times New Roman" w:hAnsi="Times New Roman" w:cs="Times New Roman"/>
                <w:sz w:val="20"/>
                <w:szCs w:val="20"/>
                <w:lang w:val="en-US" w:eastAsia="ru-RU"/>
              </w:rPr>
              <w:t>0.49</w:t>
            </w:r>
          </w:p>
        </w:tc>
        <w:tc>
          <w:tcPr>
            <w:tcW w:w="1419" w:type="dxa"/>
            <w:tcBorders>
              <w:top w:val="nil"/>
              <w:left w:val="nil"/>
              <w:bottom w:val="single" w:sz="4" w:space="0" w:color="auto"/>
              <w:right w:val="single" w:sz="4" w:space="0" w:color="auto"/>
            </w:tcBorders>
            <w:shd w:val="clear" w:color="000000" w:fill="FFFFFF"/>
            <w:vAlign w:val="center"/>
            <w:hideMark/>
          </w:tcPr>
          <w:p w14:paraId="77200555" w14:textId="77777777" w:rsidR="0091578A" w:rsidRPr="00E47AA9" w:rsidRDefault="0091578A" w:rsidP="00FB1AE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36,08</w:t>
            </w:r>
          </w:p>
        </w:tc>
      </w:tr>
      <w:tr w:rsidR="00E47AA9" w:rsidRPr="00E47AA9" w14:paraId="74FAC366" w14:textId="77777777" w:rsidTr="00FB1AE5">
        <w:trPr>
          <w:trHeight w:val="510"/>
        </w:trPr>
        <w:tc>
          <w:tcPr>
            <w:tcW w:w="3119" w:type="dxa"/>
            <w:tcBorders>
              <w:top w:val="nil"/>
              <w:left w:val="single" w:sz="4" w:space="0" w:color="auto"/>
              <w:bottom w:val="single" w:sz="4" w:space="0" w:color="auto"/>
              <w:right w:val="single" w:sz="4" w:space="0" w:color="auto"/>
            </w:tcBorders>
            <w:shd w:val="clear" w:color="000000" w:fill="FFFFFF"/>
            <w:vAlign w:val="center"/>
            <w:hideMark/>
          </w:tcPr>
          <w:p w14:paraId="2913926B" w14:textId="77777777" w:rsidR="0091578A" w:rsidRPr="00E47AA9" w:rsidRDefault="0091578A" w:rsidP="00FB1AE5">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комплексы процессных мероприятий</w:t>
            </w:r>
          </w:p>
        </w:tc>
        <w:tc>
          <w:tcPr>
            <w:tcW w:w="1417" w:type="dxa"/>
            <w:tcBorders>
              <w:top w:val="nil"/>
              <w:left w:val="nil"/>
              <w:bottom w:val="single" w:sz="4" w:space="0" w:color="auto"/>
              <w:right w:val="single" w:sz="4" w:space="0" w:color="auto"/>
            </w:tcBorders>
            <w:shd w:val="clear" w:color="000000" w:fill="FFFFFF"/>
            <w:vAlign w:val="center"/>
            <w:hideMark/>
          </w:tcPr>
          <w:p w14:paraId="6EE4E5BD"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6 284,04</w:t>
            </w:r>
          </w:p>
        </w:tc>
        <w:tc>
          <w:tcPr>
            <w:tcW w:w="1278" w:type="dxa"/>
            <w:tcBorders>
              <w:top w:val="nil"/>
              <w:left w:val="nil"/>
              <w:bottom w:val="single" w:sz="4" w:space="0" w:color="auto"/>
              <w:right w:val="single" w:sz="4" w:space="0" w:color="auto"/>
            </w:tcBorders>
            <w:shd w:val="clear" w:color="000000" w:fill="FFFFFF"/>
            <w:vAlign w:val="center"/>
            <w:hideMark/>
          </w:tcPr>
          <w:p w14:paraId="5E4E7FD1"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5 990,32</w:t>
            </w:r>
          </w:p>
        </w:tc>
        <w:tc>
          <w:tcPr>
            <w:tcW w:w="1134" w:type="dxa"/>
            <w:tcBorders>
              <w:top w:val="nil"/>
              <w:left w:val="nil"/>
              <w:bottom w:val="single" w:sz="4" w:space="0" w:color="auto"/>
              <w:right w:val="single" w:sz="4" w:space="0" w:color="auto"/>
            </w:tcBorders>
            <w:shd w:val="clear" w:color="000000" w:fill="FFFFFF"/>
            <w:vAlign w:val="center"/>
            <w:hideMark/>
          </w:tcPr>
          <w:p w14:paraId="048A4E05"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95,33</w:t>
            </w:r>
          </w:p>
        </w:tc>
        <w:tc>
          <w:tcPr>
            <w:tcW w:w="989" w:type="dxa"/>
            <w:tcBorders>
              <w:top w:val="nil"/>
              <w:left w:val="nil"/>
              <w:bottom w:val="single" w:sz="4" w:space="0" w:color="auto"/>
              <w:right w:val="single" w:sz="4" w:space="0" w:color="auto"/>
            </w:tcBorders>
            <w:shd w:val="clear" w:color="000000" w:fill="FFFFFF"/>
            <w:vAlign w:val="center"/>
            <w:hideMark/>
          </w:tcPr>
          <w:p w14:paraId="48DFC82B"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val="en-US" w:eastAsia="ru-RU"/>
              </w:rPr>
            </w:pPr>
            <w:r w:rsidRPr="00E47AA9">
              <w:rPr>
                <w:rFonts w:ascii="Times New Roman" w:eastAsia="Times New Roman" w:hAnsi="Times New Roman" w:cs="Times New Roman"/>
                <w:b/>
                <w:bCs/>
                <w:sz w:val="20"/>
                <w:szCs w:val="20"/>
                <w:lang w:val="en-US" w:eastAsia="ru-RU"/>
              </w:rPr>
              <w:t>96.39</w:t>
            </w:r>
          </w:p>
        </w:tc>
        <w:tc>
          <w:tcPr>
            <w:tcW w:w="1419" w:type="dxa"/>
            <w:tcBorders>
              <w:top w:val="nil"/>
              <w:left w:val="nil"/>
              <w:bottom w:val="single" w:sz="4" w:space="0" w:color="auto"/>
              <w:right w:val="single" w:sz="4" w:space="0" w:color="auto"/>
            </w:tcBorders>
            <w:shd w:val="clear" w:color="000000" w:fill="FFFFFF"/>
            <w:vAlign w:val="center"/>
            <w:hideMark/>
          </w:tcPr>
          <w:p w14:paraId="4C0EF5DB" w14:textId="77777777" w:rsidR="0091578A" w:rsidRPr="00E47AA9" w:rsidRDefault="0091578A" w:rsidP="00FB1AE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293,72</w:t>
            </w:r>
          </w:p>
        </w:tc>
      </w:tr>
    </w:tbl>
    <w:p w14:paraId="53270F06" w14:textId="77777777" w:rsidR="0091578A" w:rsidRPr="00E47AA9" w:rsidRDefault="0091578A" w:rsidP="0091578A">
      <w:pPr>
        <w:spacing w:after="0" w:line="240" w:lineRule="auto"/>
        <w:ind w:firstLine="709"/>
        <w:jc w:val="both"/>
        <w:rPr>
          <w:rFonts w:ascii="Times New Roman" w:eastAsia="Times New Roman" w:hAnsi="Times New Roman" w:cs="Times New Roman"/>
          <w:b/>
          <w:i/>
          <w:sz w:val="28"/>
          <w:szCs w:val="28"/>
          <w:lang w:eastAsia="ru-RU"/>
        </w:rPr>
      </w:pPr>
    </w:p>
    <w:p w14:paraId="1FB99A0D" w14:textId="2F460526" w:rsidR="00AB51B2" w:rsidRPr="00E47AA9" w:rsidRDefault="00613EC5" w:rsidP="00AB51B2">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По данным</w:t>
      </w:r>
      <w:r w:rsidR="00AB51B2" w:rsidRPr="00E47AA9">
        <w:rPr>
          <w:rFonts w:ascii="Times New Roman" w:hAnsi="Times New Roman" w:cs="Times New Roman"/>
          <w:sz w:val="28"/>
          <w:szCs w:val="28"/>
        </w:rPr>
        <w:t xml:space="preserve"> Сводно</w:t>
      </w:r>
      <w:r w:rsidRPr="00E47AA9">
        <w:rPr>
          <w:rFonts w:ascii="Times New Roman" w:hAnsi="Times New Roman" w:cs="Times New Roman"/>
          <w:sz w:val="28"/>
          <w:szCs w:val="28"/>
        </w:rPr>
        <w:t>го</w:t>
      </w:r>
      <w:r w:rsidR="00AB51B2" w:rsidRPr="00E47AA9">
        <w:rPr>
          <w:rFonts w:ascii="Times New Roman" w:hAnsi="Times New Roman" w:cs="Times New Roman"/>
          <w:sz w:val="28"/>
          <w:szCs w:val="28"/>
        </w:rPr>
        <w:t xml:space="preserve"> годово</w:t>
      </w:r>
      <w:r w:rsidRPr="00E47AA9">
        <w:rPr>
          <w:rFonts w:ascii="Times New Roman" w:hAnsi="Times New Roman" w:cs="Times New Roman"/>
          <w:sz w:val="28"/>
          <w:szCs w:val="28"/>
        </w:rPr>
        <w:t>го</w:t>
      </w:r>
      <w:r w:rsidR="00AB51B2" w:rsidRPr="00E47AA9">
        <w:rPr>
          <w:rFonts w:ascii="Times New Roman" w:hAnsi="Times New Roman" w:cs="Times New Roman"/>
          <w:sz w:val="28"/>
          <w:szCs w:val="28"/>
        </w:rPr>
        <w:t xml:space="preserve"> доклад</w:t>
      </w:r>
      <w:r w:rsidRPr="00E47AA9">
        <w:rPr>
          <w:rFonts w:ascii="Times New Roman" w:hAnsi="Times New Roman" w:cs="Times New Roman"/>
          <w:sz w:val="28"/>
          <w:szCs w:val="28"/>
        </w:rPr>
        <w:t>а</w:t>
      </w:r>
      <w:r w:rsidR="00AB51B2" w:rsidRPr="00E47AA9">
        <w:rPr>
          <w:rFonts w:ascii="Times New Roman" w:hAnsi="Times New Roman" w:cs="Times New Roman"/>
          <w:sz w:val="28"/>
          <w:szCs w:val="28"/>
        </w:rPr>
        <w:t>:</w:t>
      </w:r>
    </w:p>
    <w:p w14:paraId="3240DF54" w14:textId="21BE0C5D" w:rsidR="00AB51B2" w:rsidRPr="00E47AA9" w:rsidRDefault="00AB51B2" w:rsidP="00AB51B2">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lastRenderedPageBreak/>
        <w:t xml:space="preserve">из 63 мероприятий государственной программы, запланированных к выполнению в 2024 году, выполнены в полном объеме 55 мероприятий, </w:t>
      </w:r>
      <w:r w:rsidR="004F4858" w:rsidRPr="00E47AA9">
        <w:rPr>
          <w:rFonts w:ascii="Times New Roman" w:hAnsi="Times New Roman" w:cs="Times New Roman"/>
          <w:sz w:val="28"/>
          <w:szCs w:val="28"/>
        </w:rPr>
        <w:br/>
      </w:r>
      <w:r w:rsidRPr="00E47AA9">
        <w:rPr>
          <w:rFonts w:ascii="Times New Roman" w:hAnsi="Times New Roman" w:cs="Times New Roman"/>
          <w:sz w:val="28"/>
          <w:szCs w:val="28"/>
        </w:rPr>
        <w:t>6 мероприятий выполнены не в полном объеме, 1 мероприятие не выполнено, 1 мероприятие исключено из плана реализации;</w:t>
      </w:r>
    </w:p>
    <w:p w14:paraId="27ED46E1" w14:textId="2A17B2DB" w:rsidR="00AB51B2" w:rsidRPr="00E47AA9" w:rsidRDefault="00AB51B2" w:rsidP="00AB51B2">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из 14 показателей государственной программы 8 достигли планового значения, 6 показателей достигнуты не в полном объеме</w:t>
      </w:r>
      <w:r w:rsidR="004F4858" w:rsidRPr="00E47AA9">
        <w:rPr>
          <w:rFonts w:ascii="Times New Roman" w:hAnsi="Times New Roman" w:cs="Times New Roman"/>
          <w:sz w:val="28"/>
          <w:szCs w:val="28"/>
        </w:rPr>
        <w:t>;</w:t>
      </w:r>
    </w:p>
    <w:p w14:paraId="7BC5E1E7" w14:textId="2C40609E" w:rsidR="00AB51B2" w:rsidRPr="00E47AA9" w:rsidRDefault="00AB51B2" w:rsidP="00AB51B2">
      <w:pPr>
        <w:spacing w:after="0" w:line="240" w:lineRule="auto"/>
        <w:ind w:firstLine="709"/>
        <w:contextualSpacing/>
        <w:jc w:val="both"/>
        <w:rPr>
          <w:rFonts w:ascii="Times New Roman" w:eastAsia="Calibri" w:hAnsi="Times New Roman" w:cs="Times New Roman"/>
          <w:bCs/>
          <w:sz w:val="28"/>
          <w:szCs w:val="28"/>
        </w:rPr>
      </w:pPr>
      <w:r w:rsidRPr="00E47AA9">
        <w:rPr>
          <w:rFonts w:ascii="Times New Roman" w:eastAsia="Calibri" w:hAnsi="Times New Roman" w:cs="Times New Roman"/>
          <w:sz w:val="28"/>
          <w:szCs w:val="28"/>
        </w:rPr>
        <w:t xml:space="preserve">эффективность реализации государственной программы составила </w:t>
      </w:r>
      <w:r w:rsidRPr="00E47AA9">
        <w:rPr>
          <w:rFonts w:ascii="Times New Roman" w:eastAsia="Calibri" w:hAnsi="Times New Roman" w:cs="Times New Roman"/>
          <w:bCs/>
          <w:sz w:val="28"/>
          <w:szCs w:val="28"/>
        </w:rPr>
        <w:t>94,5</w:t>
      </w:r>
      <w:r w:rsidR="00613EC5" w:rsidRPr="00E47AA9">
        <w:rPr>
          <w:rFonts w:ascii="Times New Roman" w:eastAsia="Calibri" w:hAnsi="Times New Roman" w:cs="Times New Roman"/>
          <w:bCs/>
          <w:sz w:val="28"/>
          <w:szCs w:val="28"/>
        </w:rPr>
        <w:t> </w:t>
      </w:r>
      <w:r w:rsidRPr="00E47AA9">
        <w:rPr>
          <w:rFonts w:ascii="Times New Roman" w:eastAsia="Calibri" w:hAnsi="Times New Roman" w:cs="Times New Roman"/>
          <w:sz w:val="28"/>
          <w:szCs w:val="28"/>
        </w:rPr>
        <w:t>% (выше среднего уровня).</w:t>
      </w:r>
    </w:p>
    <w:p w14:paraId="1C783379" w14:textId="77777777" w:rsidR="0091578A" w:rsidRPr="00E47AA9" w:rsidRDefault="0091578A" w:rsidP="0091578A">
      <w:pPr>
        <w:autoSpaceDE w:val="0"/>
        <w:autoSpaceDN w:val="0"/>
        <w:adjustRightInd w:val="0"/>
        <w:spacing w:after="0" w:line="240" w:lineRule="auto"/>
        <w:ind w:firstLine="708"/>
        <w:jc w:val="both"/>
        <w:rPr>
          <w:rFonts w:ascii="Times New Roman" w:hAnsi="Times New Roman" w:cs="Times New Roman"/>
          <w:b/>
          <w:sz w:val="28"/>
          <w:szCs w:val="28"/>
        </w:rPr>
      </w:pPr>
      <w:r w:rsidRPr="00E47AA9">
        <w:rPr>
          <w:rFonts w:ascii="Times New Roman" w:eastAsia="Times New Roman" w:hAnsi="Times New Roman" w:cs="Times New Roman"/>
          <w:b/>
          <w:sz w:val="28"/>
          <w:szCs w:val="28"/>
          <w:lang w:eastAsia="ru-RU"/>
        </w:rPr>
        <w:t>Подпрограмма</w:t>
      </w:r>
      <w:r w:rsidRPr="00E47AA9">
        <w:rPr>
          <w:rFonts w:ascii="Times New Roman" w:eastAsia="Times New Roman" w:hAnsi="Times New Roman" w:cs="Times New Roman"/>
          <w:sz w:val="28"/>
          <w:szCs w:val="28"/>
          <w:lang w:eastAsia="ru-RU"/>
        </w:rPr>
        <w:t xml:space="preserve"> </w:t>
      </w:r>
      <w:r w:rsidRPr="00E47AA9">
        <w:rPr>
          <w:rFonts w:ascii="Times New Roman" w:hAnsi="Times New Roman" w:cs="Times New Roman"/>
          <w:b/>
          <w:sz w:val="28"/>
          <w:szCs w:val="28"/>
        </w:rPr>
        <w:t>"Развитие физической культуры и массового спорта в Приморском крае"</w:t>
      </w:r>
    </w:p>
    <w:p w14:paraId="4A5B57B6" w14:textId="77777777" w:rsidR="0091578A" w:rsidRPr="00E47AA9" w:rsidRDefault="0091578A" w:rsidP="0091578A">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В рамках подпрограммы осуществлялись</w:t>
      </w:r>
      <w:r w:rsidRPr="00E47AA9">
        <w:rPr>
          <w:rFonts w:ascii="Times New Roman" w:eastAsia="Times New Roman" w:hAnsi="Times New Roman" w:cs="Times New Roman"/>
          <w:i/>
          <w:sz w:val="28"/>
          <w:szCs w:val="28"/>
        </w:rPr>
        <w:t xml:space="preserve"> </w:t>
      </w:r>
      <w:r w:rsidRPr="00E47AA9">
        <w:rPr>
          <w:rFonts w:ascii="Times New Roman" w:eastAsia="Times New Roman" w:hAnsi="Times New Roman" w:cs="Times New Roman"/>
          <w:sz w:val="28"/>
          <w:szCs w:val="28"/>
        </w:rPr>
        <w:t>мероприятия:</w:t>
      </w:r>
    </w:p>
    <w:p w14:paraId="2D40C825" w14:textId="457207A1" w:rsidR="0091578A" w:rsidRPr="00E47AA9" w:rsidRDefault="0091578A" w:rsidP="0091578A">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i/>
          <w:sz w:val="28"/>
          <w:szCs w:val="28"/>
        </w:rPr>
        <w:t>РП</w:t>
      </w:r>
      <w:r w:rsidRPr="00E47AA9">
        <w:rPr>
          <w:rFonts w:ascii="Times New Roman" w:eastAsia="Times New Roman" w:hAnsi="Times New Roman" w:cs="Times New Roman"/>
          <w:sz w:val="28"/>
          <w:szCs w:val="28"/>
        </w:rPr>
        <w:t xml:space="preserve"> </w:t>
      </w:r>
      <w:r w:rsidRPr="00E47AA9">
        <w:rPr>
          <w:rFonts w:ascii="Times New Roman" w:hAnsi="Times New Roman" w:cs="Times New Roman"/>
          <w:i/>
          <w:sz w:val="28"/>
          <w:szCs w:val="28"/>
        </w:rPr>
        <w:t>"Создание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 (Спорт – норма жизни</w:t>
      </w:r>
      <w:r w:rsidRPr="00E47AA9">
        <w:rPr>
          <w:rFonts w:ascii="Times New Roman" w:hAnsi="Times New Roman" w:cs="Times New Roman"/>
          <w:sz w:val="28"/>
          <w:szCs w:val="28"/>
        </w:rPr>
        <w:t xml:space="preserve">)", </w:t>
      </w:r>
      <w:r w:rsidRPr="00E47AA9">
        <w:rPr>
          <w:rFonts w:ascii="Times New Roman" w:eastAsia="Times New Roman" w:hAnsi="Times New Roman" w:cs="Times New Roman"/>
          <w:sz w:val="28"/>
          <w:szCs w:val="28"/>
        </w:rPr>
        <w:t>входящего в состав</w:t>
      </w:r>
      <w:r w:rsidRPr="00E47AA9">
        <w:rPr>
          <w:rFonts w:ascii="Times New Roman" w:eastAsia="Times New Roman" w:hAnsi="Times New Roman" w:cs="Times New Roman"/>
          <w:i/>
          <w:sz w:val="28"/>
          <w:szCs w:val="28"/>
        </w:rPr>
        <w:t xml:space="preserve"> </w:t>
      </w:r>
      <w:r w:rsidRPr="00E47AA9">
        <w:rPr>
          <w:rFonts w:ascii="Times New Roman" w:eastAsia="Times New Roman" w:hAnsi="Times New Roman" w:cs="Times New Roman"/>
          <w:i/>
          <w:sz w:val="28"/>
          <w:szCs w:val="28"/>
        </w:rPr>
        <w:br/>
      </w:r>
      <w:r w:rsidRPr="00E47AA9">
        <w:rPr>
          <w:rFonts w:ascii="Times New Roman" w:hAnsi="Times New Roman" w:cs="Times New Roman"/>
          <w:i/>
          <w:sz w:val="28"/>
          <w:szCs w:val="28"/>
        </w:rPr>
        <w:t>НП "Демография"</w:t>
      </w:r>
      <w:r w:rsidRPr="00E47AA9">
        <w:rPr>
          <w:rFonts w:ascii="Times New Roman" w:eastAsia="Times New Roman" w:hAnsi="Times New Roman" w:cs="Times New Roman"/>
          <w:i/>
          <w:sz w:val="28"/>
          <w:szCs w:val="28"/>
        </w:rPr>
        <w:t xml:space="preserve"> </w:t>
      </w:r>
      <w:r w:rsidRPr="00E47AA9">
        <w:rPr>
          <w:rFonts w:ascii="Times New Roman" w:hAnsi="Times New Roman" w:cs="Times New Roman"/>
          <w:sz w:val="28"/>
          <w:szCs w:val="28"/>
        </w:rPr>
        <w:t xml:space="preserve">в сумме 194,42 млн рублей, или 90.93 % (план </w:t>
      </w:r>
      <w:r w:rsidR="00613EC5"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213,82 млн рублей). </w:t>
      </w:r>
    </w:p>
    <w:p w14:paraId="294B03EB" w14:textId="734CBFCC" w:rsidR="0091578A" w:rsidRPr="00E47AA9" w:rsidRDefault="0091578A" w:rsidP="0091578A">
      <w:pPr>
        <w:autoSpaceDE w:val="0"/>
        <w:autoSpaceDN w:val="0"/>
        <w:adjustRightInd w:val="0"/>
        <w:spacing w:after="0" w:line="240" w:lineRule="auto"/>
        <w:ind w:firstLine="708"/>
        <w:jc w:val="both"/>
        <w:rPr>
          <w:rFonts w:ascii="Times New Roman" w:hAnsi="Times New Roman" w:cs="Times New Roman"/>
        </w:rPr>
      </w:pPr>
      <w:r w:rsidRPr="00E47AA9">
        <w:rPr>
          <w:rFonts w:ascii="Times New Roman" w:eastAsia="Times New Roman" w:hAnsi="Times New Roman" w:cs="Times New Roman"/>
          <w:sz w:val="28"/>
          <w:szCs w:val="28"/>
        </w:rPr>
        <w:t xml:space="preserve">По </w:t>
      </w:r>
      <w:r w:rsidRPr="00E47AA9">
        <w:rPr>
          <w:rFonts w:ascii="Times New Roman" w:hAnsi="Times New Roman" w:cs="Times New Roman"/>
          <w:i/>
          <w:sz w:val="28"/>
          <w:szCs w:val="28"/>
        </w:rPr>
        <w:t xml:space="preserve">РП "Бизнес-спринт (Я выбираю спорт)", не </w:t>
      </w:r>
      <w:r w:rsidRPr="00E47AA9">
        <w:rPr>
          <w:rFonts w:ascii="Times New Roman" w:eastAsia="Times New Roman" w:hAnsi="Times New Roman" w:cs="Times New Roman"/>
          <w:i/>
          <w:sz w:val="28"/>
          <w:szCs w:val="28"/>
        </w:rPr>
        <w:t xml:space="preserve">входящему в состав </w:t>
      </w:r>
      <w:r w:rsidRPr="00E47AA9">
        <w:rPr>
          <w:rFonts w:ascii="Times New Roman" w:hAnsi="Times New Roman" w:cs="Times New Roman"/>
          <w:i/>
          <w:sz w:val="28"/>
          <w:szCs w:val="28"/>
        </w:rPr>
        <w:t>НП</w:t>
      </w:r>
      <w:r w:rsidRPr="00E47AA9">
        <w:rPr>
          <w:rFonts w:ascii="Times New Roman" w:hAnsi="Times New Roman" w:cs="Times New Roman"/>
          <w:sz w:val="28"/>
          <w:szCs w:val="28"/>
        </w:rPr>
        <w:t>, исполнение расходов составило 45,55 %, или 30,18 млн рублей (план</w:t>
      </w:r>
      <w:r w:rsidR="00613EC5" w:rsidRPr="00E47AA9">
        <w:rPr>
          <w:rFonts w:ascii="Times New Roman" w:hAnsi="Times New Roman" w:cs="Times New Roman"/>
          <w:sz w:val="28"/>
          <w:szCs w:val="28"/>
        </w:rPr>
        <w:t> –</w:t>
      </w:r>
      <w:r w:rsidRPr="00E47AA9">
        <w:rPr>
          <w:rFonts w:ascii="Times New Roman" w:hAnsi="Times New Roman" w:cs="Times New Roman"/>
          <w:sz w:val="28"/>
          <w:szCs w:val="28"/>
        </w:rPr>
        <w:t xml:space="preserve">66,26 млн рублей). </w:t>
      </w:r>
      <w:r w:rsidRPr="00E47AA9">
        <w:rPr>
          <w:rFonts w:ascii="Times New Roman" w:hAnsi="Times New Roman" w:cs="Times New Roman"/>
          <w:sz w:val="28"/>
          <w:szCs w:val="28"/>
          <w:u w:val="single"/>
        </w:rPr>
        <w:t>Министерством физической культуры и спорта Приморского края</w:t>
      </w:r>
      <w:r w:rsidRPr="00E47AA9">
        <w:rPr>
          <w:rFonts w:ascii="Times New Roman" w:hAnsi="Times New Roman" w:cs="Times New Roman"/>
          <w:sz w:val="28"/>
          <w:szCs w:val="28"/>
        </w:rPr>
        <w:t xml:space="preserve"> направлены субсидии </w:t>
      </w:r>
      <w:r w:rsidRPr="00E47AA9">
        <w:rPr>
          <w:rFonts w:ascii="Times New Roman" w:eastAsia="Times New Roman" w:hAnsi="Times New Roman" w:cs="Times New Roman"/>
          <w:sz w:val="28"/>
          <w:szCs w:val="28"/>
          <w:lang w:eastAsia="ru-RU"/>
        </w:rPr>
        <w:t xml:space="preserve">бюджетам: Хорольского МО </w:t>
      </w:r>
      <w:r w:rsidRPr="00E47AA9">
        <w:rPr>
          <w:rFonts w:ascii="Times New Roman" w:hAnsi="Times New Roman" w:cs="Times New Roman"/>
          <w:sz w:val="28"/>
          <w:szCs w:val="28"/>
        </w:rPr>
        <w:t xml:space="preserve">на закупку и монтаж оборудования для создания "умных" спортивных площадок (28,72 млн рублей в полном объеме), </w:t>
      </w:r>
      <w:r w:rsidRPr="00E47AA9">
        <w:rPr>
          <w:rFonts w:ascii="Times New Roman" w:eastAsia="Times New Roman" w:hAnsi="Times New Roman" w:cs="Times New Roman"/>
          <w:sz w:val="28"/>
          <w:szCs w:val="28"/>
          <w:lang w:eastAsia="ru-RU"/>
        </w:rPr>
        <w:t>Ольгинского МО на</w:t>
      </w:r>
      <w:r w:rsidRPr="00E47AA9">
        <w:rPr>
          <w:rFonts w:ascii="Times New Roman" w:hAnsi="Times New Roman" w:cs="Times New Roman"/>
          <w:sz w:val="28"/>
          <w:szCs w:val="28"/>
        </w:rPr>
        <w:t xml:space="preserve"> </w:t>
      </w:r>
      <w:r w:rsidRPr="00E47AA9">
        <w:rPr>
          <w:rFonts w:ascii="Times New Roman" w:eastAsia="Times New Roman" w:hAnsi="Times New Roman" w:cs="Times New Roman"/>
          <w:sz w:val="28"/>
          <w:szCs w:val="28"/>
          <w:lang w:eastAsia="ru-RU"/>
        </w:rPr>
        <w:t xml:space="preserve">демонтажные работы </w:t>
      </w:r>
      <w:r w:rsidRPr="00E47AA9">
        <w:rPr>
          <w:rFonts w:ascii="Times New Roman" w:hAnsi="Times New Roman" w:cs="Times New Roman"/>
          <w:sz w:val="28"/>
          <w:szCs w:val="28"/>
        </w:rPr>
        <w:t>(1,47 млн рублей, или 3,91 % от плана 37,54 млн рублей). В</w:t>
      </w:r>
      <w:r w:rsidRPr="00E47AA9">
        <w:rPr>
          <w:rFonts w:ascii="Times New Roman" w:eastAsia="Times New Roman" w:hAnsi="Times New Roman" w:cs="Times New Roman"/>
          <w:sz w:val="28"/>
          <w:szCs w:val="28"/>
          <w:lang w:eastAsia="ru-RU"/>
        </w:rPr>
        <w:t xml:space="preserve"> отчетном периоде не </w:t>
      </w:r>
      <w:r w:rsidR="004B0B4F" w:rsidRPr="00E47AA9">
        <w:rPr>
          <w:rFonts w:ascii="Times New Roman" w:eastAsia="Times New Roman" w:hAnsi="Times New Roman" w:cs="Times New Roman"/>
          <w:sz w:val="28"/>
          <w:szCs w:val="28"/>
          <w:lang w:eastAsia="ru-RU"/>
        </w:rPr>
        <w:t xml:space="preserve">в полном объеме </w:t>
      </w:r>
      <w:r w:rsidRPr="00E47AA9">
        <w:rPr>
          <w:rFonts w:ascii="Times New Roman" w:eastAsia="Times New Roman" w:hAnsi="Times New Roman" w:cs="Times New Roman"/>
          <w:sz w:val="28"/>
          <w:szCs w:val="28"/>
          <w:lang w:eastAsia="ru-RU"/>
        </w:rPr>
        <w:t xml:space="preserve">направлялись субсидии бюджету Ольгинского МО </w:t>
      </w:r>
      <w:r w:rsidR="001B5B66" w:rsidRPr="00E47AA9">
        <w:rPr>
          <w:rFonts w:ascii="Times New Roman" w:eastAsia="Times New Roman" w:hAnsi="Times New Roman" w:cs="Times New Roman"/>
          <w:sz w:val="28"/>
          <w:szCs w:val="28"/>
          <w:lang w:eastAsia="ru-RU"/>
        </w:rPr>
        <w:t>(</w:t>
      </w:r>
      <w:r w:rsidR="004B0B4F" w:rsidRPr="00E47AA9">
        <w:rPr>
          <w:rFonts w:ascii="Times New Roman" w:eastAsia="Times New Roman" w:hAnsi="Times New Roman" w:cs="Times New Roman"/>
          <w:sz w:val="28"/>
          <w:szCs w:val="28"/>
          <w:lang w:eastAsia="ru-RU"/>
        </w:rPr>
        <w:t xml:space="preserve">не исполнено </w:t>
      </w:r>
      <w:r w:rsidRPr="00E47AA9">
        <w:rPr>
          <w:rFonts w:ascii="Times New Roman" w:eastAsia="Times New Roman" w:hAnsi="Times New Roman" w:cs="Times New Roman"/>
          <w:sz w:val="28"/>
          <w:szCs w:val="28"/>
          <w:lang w:eastAsia="ru-RU"/>
        </w:rPr>
        <w:t>36,08 млн рублей) в связи с внесением изменений и дополнений в сметный расчет на выполнение работ по подготовке основания для создания модульного спортивного зал</w:t>
      </w:r>
      <w:r w:rsidR="001B5B66" w:rsidRPr="00E47AA9">
        <w:rPr>
          <w:rFonts w:ascii="Times New Roman" w:eastAsia="Times New Roman" w:hAnsi="Times New Roman" w:cs="Times New Roman"/>
          <w:sz w:val="28"/>
          <w:szCs w:val="28"/>
          <w:lang w:eastAsia="ru-RU"/>
        </w:rPr>
        <w:t>а</w:t>
      </w:r>
      <w:r w:rsidRPr="00E47AA9">
        <w:rPr>
          <w:rFonts w:ascii="Times New Roman" w:eastAsia="Times New Roman" w:hAnsi="Times New Roman" w:cs="Times New Roman"/>
          <w:sz w:val="28"/>
          <w:szCs w:val="28"/>
          <w:lang w:eastAsia="ru-RU"/>
        </w:rPr>
        <w:t>.</w:t>
      </w:r>
    </w:p>
    <w:p w14:paraId="3DE204FF" w14:textId="16BF2DC6" w:rsidR="0091578A" w:rsidRPr="00E47AA9" w:rsidRDefault="0091578A" w:rsidP="0091578A">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По </w:t>
      </w:r>
      <w:r w:rsidRPr="00E47AA9">
        <w:rPr>
          <w:rFonts w:ascii="Times New Roman" w:hAnsi="Times New Roman" w:cs="Times New Roman"/>
          <w:i/>
          <w:iCs/>
          <w:sz w:val="28"/>
          <w:szCs w:val="28"/>
        </w:rPr>
        <w:t>КПМ</w:t>
      </w:r>
      <w:r w:rsidRPr="00E47AA9">
        <w:rPr>
          <w:rFonts w:ascii="Times New Roman" w:hAnsi="Times New Roman" w:cs="Times New Roman"/>
          <w:sz w:val="28"/>
          <w:szCs w:val="28"/>
        </w:rPr>
        <w:t xml:space="preserve"> </w:t>
      </w:r>
      <w:r w:rsidRPr="00E47AA9">
        <w:rPr>
          <w:rFonts w:ascii="Times New Roman" w:hAnsi="Times New Roman" w:cs="Times New Roman"/>
          <w:i/>
          <w:sz w:val="28"/>
          <w:szCs w:val="28"/>
        </w:rPr>
        <w:t xml:space="preserve">"Развитие спортивной инфраструктуры" </w:t>
      </w:r>
      <w:r w:rsidRPr="00E47AA9">
        <w:rPr>
          <w:rFonts w:ascii="Times New Roman" w:hAnsi="Times New Roman" w:cs="Times New Roman"/>
          <w:sz w:val="28"/>
          <w:szCs w:val="28"/>
        </w:rPr>
        <w:t>расходы осуществлены на 89,53 %, или 2427,55 млн рублей (план 2711,47 млн рублей), в том числе за счет федерального бюджета – 1000,42 млн рублей, или 84,33 % (1186,37 млн рублей), краевого – 1427,13 млн рублей, или 93,58 % (план</w:t>
      </w:r>
      <w:r w:rsidR="00613EC5" w:rsidRPr="00E47AA9">
        <w:rPr>
          <w:rFonts w:ascii="Times New Roman" w:hAnsi="Times New Roman" w:cs="Times New Roman"/>
          <w:sz w:val="28"/>
          <w:szCs w:val="28"/>
        </w:rPr>
        <w:t> –</w:t>
      </w:r>
      <w:r w:rsidRPr="00E47AA9">
        <w:rPr>
          <w:rFonts w:ascii="Times New Roman" w:hAnsi="Times New Roman" w:cs="Times New Roman"/>
          <w:sz w:val="28"/>
          <w:szCs w:val="28"/>
        </w:rPr>
        <w:t xml:space="preserve"> 1525,10 млн рублей), из них:</w:t>
      </w:r>
    </w:p>
    <w:p w14:paraId="22E66E13" w14:textId="77777777" w:rsidR="0091578A" w:rsidRPr="00E47AA9" w:rsidRDefault="0091578A" w:rsidP="0091578A">
      <w:pPr>
        <w:autoSpaceDE w:val="0"/>
        <w:autoSpaceDN w:val="0"/>
        <w:adjustRightInd w:val="0"/>
        <w:spacing w:after="0" w:line="240" w:lineRule="auto"/>
        <w:ind w:firstLine="708"/>
        <w:jc w:val="both"/>
        <w:rPr>
          <w:rFonts w:ascii="Times New Roman" w:eastAsia="Times New Roman" w:hAnsi="Times New Roman" w:cs="Times New Roman"/>
          <w:sz w:val="28"/>
          <w:szCs w:val="24"/>
          <w:lang w:eastAsia="ru-RU"/>
        </w:rPr>
      </w:pPr>
      <w:r w:rsidRPr="00E47AA9">
        <w:rPr>
          <w:rFonts w:ascii="Times New Roman" w:eastAsia="Times New Roman" w:hAnsi="Times New Roman" w:cs="Times New Roman"/>
          <w:sz w:val="28"/>
          <w:szCs w:val="24"/>
          <w:lang w:eastAsia="ru-RU"/>
        </w:rPr>
        <w:t>в полном объеме:</w:t>
      </w:r>
    </w:p>
    <w:p w14:paraId="7D1994A8" w14:textId="77777777" w:rsidR="0091578A" w:rsidRPr="00E47AA9" w:rsidRDefault="0091578A" w:rsidP="0091578A">
      <w:pPr>
        <w:tabs>
          <w:tab w:val="left" w:pos="0"/>
        </w:tabs>
        <w:spacing w:after="0" w:line="240" w:lineRule="auto"/>
        <w:ind w:firstLine="709"/>
        <w:jc w:val="both"/>
        <w:rPr>
          <w:rFonts w:ascii="Times New Roman" w:eastAsia="Times New Roman" w:hAnsi="Times New Roman" w:cs="Times New Roman"/>
          <w:spacing w:val="-4"/>
          <w:sz w:val="28"/>
          <w:szCs w:val="28"/>
          <w:lang w:eastAsia="ru-RU"/>
        </w:rPr>
      </w:pPr>
      <w:r w:rsidRPr="00E47AA9">
        <w:rPr>
          <w:rFonts w:ascii="Times New Roman" w:eastAsia="Times New Roman" w:hAnsi="Times New Roman" w:cs="Times New Roman"/>
          <w:bCs/>
          <w:spacing w:val="-4"/>
          <w:sz w:val="28"/>
          <w:szCs w:val="28"/>
          <w:lang w:eastAsia="ru-RU"/>
        </w:rPr>
        <w:t xml:space="preserve">1040,83 млн рублей – на выплату платы </w:t>
      </w:r>
      <w:proofErr w:type="spellStart"/>
      <w:r w:rsidRPr="00E47AA9">
        <w:rPr>
          <w:rFonts w:ascii="Times New Roman" w:eastAsia="Times New Roman" w:hAnsi="Times New Roman" w:cs="Times New Roman"/>
          <w:bCs/>
          <w:spacing w:val="-4"/>
          <w:sz w:val="28"/>
          <w:szCs w:val="28"/>
          <w:lang w:eastAsia="ru-RU"/>
        </w:rPr>
        <w:t>концедента</w:t>
      </w:r>
      <w:proofErr w:type="spellEnd"/>
      <w:r w:rsidRPr="00E47AA9">
        <w:rPr>
          <w:rFonts w:ascii="Times New Roman" w:eastAsia="Times New Roman" w:hAnsi="Times New Roman" w:cs="Times New Roman"/>
          <w:bCs/>
          <w:spacing w:val="-4"/>
          <w:sz w:val="28"/>
          <w:szCs w:val="28"/>
          <w:lang w:eastAsia="ru-RU"/>
        </w:rPr>
        <w:t xml:space="preserve"> по концессионному соглашению</w:t>
      </w:r>
      <w:r w:rsidRPr="00E47AA9">
        <w:rPr>
          <w:rFonts w:ascii="Times New Roman" w:eastAsia="Times New Roman" w:hAnsi="Times New Roman" w:cs="Times New Roman"/>
          <w:spacing w:val="-4"/>
          <w:sz w:val="28"/>
          <w:szCs w:val="28"/>
          <w:vertAlign w:val="superscript"/>
          <w:lang w:eastAsia="ru-RU"/>
        </w:rPr>
        <w:footnoteReference w:id="68"/>
      </w:r>
      <w:r w:rsidRPr="00E47AA9">
        <w:rPr>
          <w:rFonts w:ascii="Times New Roman" w:eastAsia="Times New Roman" w:hAnsi="Times New Roman" w:cs="Times New Roman"/>
          <w:bCs/>
          <w:spacing w:val="-4"/>
          <w:sz w:val="28"/>
          <w:szCs w:val="28"/>
          <w:lang w:eastAsia="ru-RU"/>
        </w:rPr>
        <w:t xml:space="preserve">, в том числе за счет </w:t>
      </w:r>
      <w:r w:rsidRPr="00E47AA9">
        <w:rPr>
          <w:rFonts w:ascii="Times New Roman" w:eastAsia="Times New Roman" w:hAnsi="Times New Roman" w:cs="Times New Roman"/>
          <w:spacing w:val="-4"/>
          <w:sz w:val="28"/>
          <w:szCs w:val="28"/>
          <w:lang w:eastAsia="ru-RU"/>
        </w:rPr>
        <w:t>федерального бюджета – 764,42 млн рублей, краевого – 276,42 млн рублей;</w:t>
      </w:r>
    </w:p>
    <w:p w14:paraId="5968F55A" w14:textId="77777777" w:rsidR="0091578A" w:rsidRPr="00E47AA9" w:rsidRDefault="0091578A" w:rsidP="0091578A">
      <w:pPr>
        <w:tabs>
          <w:tab w:val="left" w:pos="0"/>
        </w:tabs>
        <w:spacing w:after="0" w:line="240" w:lineRule="auto"/>
        <w:ind w:firstLine="709"/>
        <w:jc w:val="both"/>
      </w:pPr>
      <w:r w:rsidRPr="00E47AA9">
        <w:rPr>
          <w:rFonts w:ascii="Times New Roman" w:eastAsia="Times New Roman" w:hAnsi="Times New Roman" w:cs="Times New Roman"/>
          <w:spacing w:val="-4"/>
          <w:sz w:val="28"/>
          <w:szCs w:val="28"/>
          <w:lang w:eastAsia="ru-RU"/>
        </w:rPr>
        <w:t xml:space="preserve">250,00 млн рублей </w:t>
      </w:r>
      <w:r w:rsidR="00203920" w:rsidRPr="00E47AA9">
        <w:rPr>
          <w:rFonts w:ascii="Times New Roman" w:eastAsia="Times New Roman" w:hAnsi="Times New Roman" w:cs="Times New Roman"/>
          <w:spacing w:val="-4"/>
          <w:sz w:val="28"/>
          <w:szCs w:val="28"/>
          <w:lang w:eastAsia="ru-RU"/>
        </w:rPr>
        <w:t>–</w:t>
      </w:r>
      <w:r w:rsidRPr="00E47AA9">
        <w:rPr>
          <w:rFonts w:ascii="Times New Roman" w:eastAsia="Times New Roman" w:hAnsi="Times New Roman" w:cs="Times New Roman"/>
          <w:spacing w:val="-4"/>
          <w:sz w:val="28"/>
          <w:szCs w:val="28"/>
          <w:lang w:eastAsia="ru-RU"/>
        </w:rPr>
        <w:t xml:space="preserve"> субсидии юридическим лицам на реализацию приоритетных инвестиционных проектов в области физической культуры и спорта в Приморском крае. Между министерством и АО "Восточный Порт" </w:t>
      </w:r>
      <w:r w:rsidRPr="00E47AA9">
        <w:rPr>
          <w:rFonts w:ascii="Times New Roman" w:eastAsia="Times New Roman" w:hAnsi="Times New Roman" w:cs="Times New Roman"/>
          <w:spacing w:val="-4"/>
          <w:sz w:val="28"/>
          <w:szCs w:val="28"/>
          <w:lang w:eastAsia="ru-RU"/>
        </w:rPr>
        <w:lastRenderedPageBreak/>
        <w:t>25.12.2024 заключено соглашение № 1 по реализации инвестиционного проекта "Строительств</w:t>
      </w:r>
      <w:r w:rsidR="00203920" w:rsidRPr="00E47AA9">
        <w:rPr>
          <w:rFonts w:ascii="Times New Roman" w:eastAsia="Times New Roman" w:hAnsi="Times New Roman" w:cs="Times New Roman"/>
          <w:spacing w:val="-4"/>
          <w:sz w:val="28"/>
          <w:szCs w:val="28"/>
          <w:lang w:eastAsia="ru-RU"/>
        </w:rPr>
        <w:t>о ледового спортивного комплекса</w:t>
      </w:r>
      <w:r w:rsidRPr="00E47AA9">
        <w:rPr>
          <w:rFonts w:ascii="Times New Roman" w:eastAsia="Times New Roman" w:hAnsi="Times New Roman" w:cs="Times New Roman"/>
          <w:spacing w:val="-4"/>
          <w:sz w:val="28"/>
          <w:szCs w:val="28"/>
          <w:lang w:eastAsia="ru-RU"/>
        </w:rPr>
        <w:t xml:space="preserve"> п. Врангель", инициатор АО "Восточный порт";</w:t>
      </w:r>
    </w:p>
    <w:p w14:paraId="2A997582" w14:textId="77777777" w:rsidR="0091578A" w:rsidRPr="00E47AA9" w:rsidRDefault="0091578A" w:rsidP="0091578A">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eastAsia="Times New Roman" w:hAnsi="Times New Roman" w:cs="Times New Roman"/>
          <w:sz w:val="28"/>
          <w:szCs w:val="24"/>
          <w:lang w:eastAsia="ru-RU"/>
        </w:rPr>
        <w:t>52,64</w:t>
      </w:r>
      <w:r w:rsidRPr="00E47AA9">
        <w:rPr>
          <w:rFonts w:ascii="Times New Roman" w:hAnsi="Times New Roman" w:cs="Times New Roman"/>
          <w:sz w:val="28"/>
          <w:szCs w:val="28"/>
        </w:rPr>
        <w:t xml:space="preserve"> млн рублей – на приобретение и поставку спортивного инвентаря, спортивного оборудования и иного имущества для развития массового спорта. В отчетном году поставлено и оплачено </w:t>
      </w:r>
      <w:r w:rsidRPr="00E47AA9">
        <w:rPr>
          <w:rFonts w:ascii="Times New Roman" w:hAnsi="Times New Roman" w:cs="Times New Roman"/>
          <w:bCs/>
          <w:sz w:val="28"/>
          <w:szCs w:val="28"/>
        </w:rPr>
        <w:t>2758</w:t>
      </w:r>
      <w:r w:rsidRPr="00E47AA9">
        <w:rPr>
          <w:rFonts w:ascii="Times New Roman" w:hAnsi="Times New Roman" w:cs="Times New Roman"/>
          <w:sz w:val="28"/>
          <w:szCs w:val="28"/>
        </w:rPr>
        <w:t xml:space="preserve"> единиц спортивного инвентаря и оборудования;</w:t>
      </w:r>
    </w:p>
    <w:p w14:paraId="5C3DC0B6" w14:textId="77777777" w:rsidR="0091578A" w:rsidRPr="00E47AA9" w:rsidRDefault="0091578A" w:rsidP="0091578A">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 xml:space="preserve">53,73 млн рублей </w:t>
      </w:r>
      <w:r w:rsidR="00203920" w:rsidRPr="00E47AA9">
        <w:rPr>
          <w:rFonts w:ascii="Times New Roman" w:hAnsi="Times New Roman" w:cs="Times New Roman"/>
          <w:sz w:val="28"/>
          <w:szCs w:val="28"/>
        </w:rPr>
        <w:t>–</w:t>
      </w:r>
      <w:r w:rsidRPr="00E47AA9">
        <w:rPr>
          <w:rFonts w:ascii="Times New Roman" w:hAnsi="Times New Roman" w:cs="Times New Roman"/>
          <w:sz w:val="28"/>
          <w:szCs w:val="28"/>
        </w:rPr>
        <w:t xml:space="preserve"> на обустройство и оснащение объектов спорта краевых государственных учреждений, в том числе: </w:t>
      </w:r>
      <w:r w:rsidRPr="00E47AA9">
        <w:rPr>
          <w:rFonts w:ascii="Times New Roman" w:hAnsi="Times New Roman"/>
          <w:sz w:val="28"/>
          <w:szCs w:val="28"/>
        </w:rPr>
        <w:t xml:space="preserve">ГАУ ДО ПК "КСШОР" </w:t>
      </w:r>
      <w:r w:rsidRPr="00E47AA9">
        <w:rPr>
          <w:rFonts w:ascii="Times New Roman" w:hAnsi="Times New Roman" w:cs="Times New Roman"/>
          <w:spacing w:val="-4"/>
          <w:sz w:val="28"/>
          <w:szCs w:val="28"/>
          <w:lang w:eastAsia="zh-CN"/>
        </w:rPr>
        <w:t>на обустройство и оснащение гребной базы "Олимпийская" в Партизанском ГО (</w:t>
      </w:r>
      <w:r w:rsidRPr="00E47AA9">
        <w:rPr>
          <w:rFonts w:ascii="Times New Roman" w:hAnsi="Times New Roman" w:cs="Times New Roman"/>
          <w:sz w:val="28"/>
          <w:szCs w:val="28"/>
        </w:rPr>
        <w:t xml:space="preserve">48,73 млн рублей), </w:t>
      </w:r>
      <w:r w:rsidRPr="00E47AA9">
        <w:rPr>
          <w:rFonts w:ascii="Times New Roman" w:eastAsia="Times New Roman" w:hAnsi="Times New Roman" w:cs="Times New Roman"/>
          <w:bCs/>
          <w:spacing w:val="-4"/>
          <w:sz w:val="28"/>
          <w:szCs w:val="28"/>
          <w:lang w:eastAsia="ru-RU"/>
        </w:rPr>
        <w:t xml:space="preserve">КГАУ "ЦСП ПК" </w:t>
      </w:r>
      <w:r w:rsidRPr="00E47AA9">
        <w:rPr>
          <w:rFonts w:ascii="Times New Roman" w:eastAsia="Times New Roman" w:hAnsi="Times New Roman" w:cs="Times New Roman"/>
          <w:spacing w:val="-4"/>
          <w:sz w:val="28"/>
          <w:szCs w:val="28"/>
          <w:lang w:eastAsia="ru-RU"/>
        </w:rPr>
        <w:t>на приобретение инвентаря и оборудования для обеспечения сдачи норм ВФСК ГТО и табло в игровой зал УСЦ "Олимпиец" (</w:t>
      </w:r>
      <w:r w:rsidRPr="00E47AA9">
        <w:rPr>
          <w:rFonts w:ascii="Times New Roman" w:eastAsia="Times New Roman" w:hAnsi="Times New Roman" w:cs="Times New Roman"/>
          <w:bCs/>
          <w:spacing w:val="-4"/>
          <w:sz w:val="28"/>
          <w:szCs w:val="28"/>
          <w:lang w:eastAsia="ru-RU"/>
        </w:rPr>
        <w:t>5,0 млн рублей</w:t>
      </w:r>
      <w:r w:rsidRPr="00E47AA9">
        <w:rPr>
          <w:rFonts w:ascii="Times New Roman" w:eastAsia="Times New Roman" w:hAnsi="Times New Roman" w:cs="Times New Roman"/>
          <w:spacing w:val="-4"/>
          <w:sz w:val="28"/>
          <w:szCs w:val="28"/>
          <w:lang w:eastAsia="ru-RU"/>
        </w:rPr>
        <w:t>);</w:t>
      </w:r>
    </w:p>
    <w:p w14:paraId="4816E0B5" w14:textId="77777777" w:rsidR="0091578A" w:rsidRPr="00E47AA9" w:rsidRDefault="0091578A" w:rsidP="0091578A">
      <w:pPr>
        <w:widowControl w:val="0"/>
        <w:spacing w:after="0" w:line="240" w:lineRule="auto"/>
        <w:ind w:firstLine="709"/>
        <w:jc w:val="both"/>
        <w:rPr>
          <w:rFonts w:ascii="Times New Roman" w:eastAsia="Times New Roman" w:hAnsi="Times New Roman" w:cs="Times New Roman"/>
          <w:spacing w:val="-4"/>
          <w:sz w:val="28"/>
          <w:szCs w:val="28"/>
          <w:lang w:eastAsia="ru-RU"/>
        </w:rPr>
      </w:pPr>
      <w:r w:rsidRPr="00E47AA9">
        <w:rPr>
          <w:rFonts w:ascii="Times New Roman" w:hAnsi="Times New Roman" w:cs="Times New Roman"/>
          <w:spacing w:val="-4"/>
          <w:sz w:val="28"/>
          <w:szCs w:val="28"/>
        </w:rPr>
        <w:t xml:space="preserve">119,05 млн рублей (в том числе: </w:t>
      </w:r>
      <w:r w:rsidRPr="00E47AA9">
        <w:rPr>
          <w:rFonts w:ascii="Times New Roman" w:eastAsia="Times New Roman" w:hAnsi="Times New Roman" w:cs="Times New Roman"/>
          <w:spacing w:val="-4"/>
          <w:sz w:val="28"/>
          <w:szCs w:val="28"/>
          <w:lang w:eastAsia="ru-RU"/>
        </w:rPr>
        <w:t xml:space="preserve">за счет федерального бюджета </w:t>
      </w:r>
      <w:r w:rsidR="00203920" w:rsidRPr="00E47AA9">
        <w:rPr>
          <w:rFonts w:ascii="Times New Roman" w:eastAsia="Times New Roman" w:hAnsi="Times New Roman" w:cs="Times New Roman"/>
          <w:spacing w:val="-4"/>
          <w:sz w:val="28"/>
          <w:szCs w:val="28"/>
          <w:lang w:eastAsia="ru-RU"/>
        </w:rPr>
        <w:t>–</w:t>
      </w:r>
      <w:r w:rsidRPr="00E47AA9">
        <w:rPr>
          <w:rFonts w:ascii="Times New Roman" w:eastAsia="Times New Roman" w:hAnsi="Times New Roman" w:cs="Times New Roman"/>
          <w:spacing w:val="-4"/>
          <w:sz w:val="28"/>
          <w:szCs w:val="28"/>
          <w:lang w:eastAsia="ru-RU"/>
        </w:rPr>
        <w:t xml:space="preserve"> 100,00</w:t>
      </w:r>
      <w:r w:rsidR="00203920" w:rsidRPr="00E47AA9">
        <w:rPr>
          <w:rFonts w:ascii="Times New Roman" w:eastAsia="Times New Roman" w:hAnsi="Times New Roman" w:cs="Times New Roman"/>
          <w:spacing w:val="-4"/>
          <w:sz w:val="28"/>
          <w:szCs w:val="28"/>
          <w:lang w:eastAsia="ru-RU"/>
        </w:rPr>
        <w:t> </w:t>
      </w:r>
      <w:r w:rsidRPr="00E47AA9">
        <w:rPr>
          <w:rFonts w:ascii="Times New Roman" w:eastAsia="Times New Roman" w:hAnsi="Times New Roman" w:cs="Times New Roman"/>
          <w:spacing w:val="-4"/>
          <w:sz w:val="28"/>
          <w:szCs w:val="28"/>
          <w:lang w:eastAsia="ru-RU"/>
        </w:rPr>
        <w:t xml:space="preserve">млн рублей и краевого </w:t>
      </w:r>
      <w:r w:rsidR="00203920" w:rsidRPr="00E47AA9">
        <w:rPr>
          <w:rFonts w:ascii="Times New Roman" w:eastAsia="Times New Roman" w:hAnsi="Times New Roman" w:cs="Times New Roman"/>
          <w:spacing w:val="-4"/>
          <w:sz w:val="28"/>
          <w:szCs w:val="28"/>
          <w:lang w:eastAsia="ru-RU"/>
        </w:rPr>
        <w:t>–</w:t>
      </w:r>
      <w:r w:rsidRPr="00E47AA9">
        <w:rPr>
          <w:rFonts w:ascii="Times New Roman" w:eastAsia="Times New Roman" w:hAnsi="Times New Roman" w:cs="Times New Roman"/>
          <w:spacing w:val="-4"/>
          <w:sz w:val="28"/>
          <w:szCs w:val="28"/>
          <w:lang w:eastAsia="ru-RU"/>
        </w:rPr>
        <w:t xml:space="preserve"> 19,05 млн рублей)</w:t>
      </w:r>
      <w:r w:rsidRPr="00E47AA9">
        <w:rPr>
          <w:rFonts w:ascii="Times New Roman" w:hAnsi="Times New Roman" w:cs="Times New Roman"/>
          <w:spacing w:val="-4"/>
          <w:sz w:val="28"/>
          <w:szCs w:val="28"/>
        </w:rPr>
        <w:t xml:space="preserve"> на капитальный ремонт и оснащение объектов спорта краевой и муниципальной собственности на премирование регионов </w:t>
      </w:r>
      <w:r w:rsidR="00203920" w:rsidRPr="00E47AA9">
        <w:rPr>
          <w:rFonts w:ascii="Times New Roman" w:hAnsi="Times New Roman" w:cs="Times New Roman"/>
          <w:spacing w:val="-4"/>
          <w:sz w:val="28"/>
          <w:szCs w:val="28"/>
        </w:rPr>
        <w:t>–</w:t>
      </w:r>
      <w:r w:rsidRPr="00E47AA9">
        <w:rPr>
          <w:rFonts w:ascii="Times New Roman" w:hAnsi="Times New Roman" w:cs="Times New Roman"/>
          <w:spacing w:val="-4"/>
          <w:sz w:val="28"/>
          <w:szCs w:val="28"/>
        </w:rPr>
        <w:t xml:space="preserve"> победителей Ночной хоккейной лиги</w:t>
      </w:r>
      <w:r w:rsidRPr="00E47AA9">
        <w:rPr>
          <w:rFonts w:ascii="Times New Roman" w:eastAsia="Times New Roman" w:hAnsi="Times New Roman" w:cs="Times New Roman"/>
          <w:spacing w:val="-4"/>
          <w:sz w:val="28"/>
          <w:szCs w:val="28"/>
          <w:lang w:eastAsia="ru-RU"/>
        </w:rPr>
        <w:t>, в том числе:</w:t>
      </w:r>
    </w:p>
    <w:p w14:paraId="30B74A62" w14:textId="77777777" w:rsidR="0091578A" w:rsidRPr="00E47AA9" w:rsidRDefault="0091578A" w:rsidP="0091578A">
      <w:pPr>
        <w:widowControl w:val="0"/>
        <w:spacing w:after="0" w:line="240" w:lineRule="auto"/>
        <w:ind w:firstLine="709"/>
        <w:jc w:val="both"/>
        <w:rPr>
          <w:rFonts w:ascii="Times New Roman" w:hAnsi="Times New Roman" w:cs="Times New Roman"/>
          <w:spacing w:val="-4"/>
          <w:sz w:val="28"/>
          <w:szCs w:val="28"/>
        </w:rPr>
      </w:pPr>
      <w:r w:rsidRPr="00E47AA9">
        <w:rPr>
          <w:rFonts w:ascii="Times New Roman" w:eastAsia="Times New Roman" w:hAnsi="Times New Roman" w:cs="Times New Roman"/>
          <w:spacing w:val="-4"/>
          <w:sz w:val="28"/>
          <w:szCs w:val="28"/>
          <w:lang w:eastAsia="ru-RU"/>
        </w:rPr>
        <w:t>субсидии ГАУ ДО ПК "КСШОР" (</w:t>
      </w:r>
      <w:r w:rsidRPr="00E47AA9">
        <w:rPr>
          <w:rFonts w:ascii="Times New Roman" w:eastAsia="Times New Roman" w:hAnsi="Times New Roman" w:cs="Times New Roman"/>
          <w:bCs/>
          <w:spacing w:val="-4"/>
          <w:sz w:val="28"/>
          <w:szCs w:val="28"/>
          <w:lang w:eastAsia="ru-RU"/>
        </w:rPr>
        <w:t xml:space="preserve">90,82 млн рублей) </w:t>
      </w:r>
      <w:r w:rsidRPr="00E47AA9">
        <w:rPr>
          <w:rFonts w:ascii="Times New Roman" w:eastAsia="Times New Roman" w:hAnsi="Times New Roman" w:cs="Times New Roman"/>
          <w:spacing w:val="-4"/>
          <w:sz w:val="28"/>
          <w:szCs w:val="28"/>
          <w:lang w:eastAsia="ru-RU"/>
        </w:rPr>
        <w:t xml:space="preserve">на приобретение спортивного инвентаря и оборудования для оснащения физкультурно-оздоровительного комплекса по адресу: г. </w:t>
      </w:r>
      <w:proofErr w:type="spellStart"/>
      <w:r w:rsidRPr="00E47AA9">
        <w:rPr>
          <w:rFonts w:ascii="Times New Roman" w:eastAsia="Times New Roman" w:hAnsi="Times New Roman" w:cs="Times New Roman"/>
          <w:spacing w:val="-4"/>
          <w:sz w:val="28"/>
          <w:szCs w:val="28"/>
          <w:lang w:eastAsia="ru-RU"/>
        </w:rPr>
        <w:t>Партизанск</w:t>
      </w:r>
      <w:proofErr w:type="spellEnd"/>
      <w:r w:rsidRPr="00E47AA9">
        <w:rPr>
          <w:rFonts w:ascii="Times New Roman" w:eastAsia="Times New Roman" w:hAnsi="Times New Roman" w:cs="Times New Roman"/>
          <w:spacing w:val="-4"/>
          <w:sz w:val="28"/>
          <w:szCs w:val="28"/>
          <w:lang w:eastAsia="ru-RU"/>
        </w:rPr>
        <w:t>, ул. Чкалова 1Г, крытых тренировочных катков в г. Находка и с. Чугуевка</w:t>
      </w:r>
      <w:r w:rsidRPr="00E47AA9">
        <w:rPr>
          <w:rFonts w:ascii="Times New Roman" w:eastAsia="Times New Roman" w:hAnsi="Times New Roman" w:cs="Times New Roman"/>
          <w:bCs/>
          <w:spacing w:val="-4"/>
          <w:sz w:val="28"/>
          <w:szCs w:val="28"/>
          <w:lang w:eastAsia="ru-RU"/>
        </w:rPr>
        <w:t>;</w:t>
      </w:r>
    </w:p>
    <w:p w14:paraId="02AD6826" w14:textId="77777777" w:rsidR="0091578A" w:rsidRPr="00E47AA9" w:rsidRDefault="0091578A" w:rsidP="0091578A">
      <w:pPr>
        <w:widowControl w:val="0"/>
        <w:spacing w:after="0" w:line="240" w:lineRule="auto"/>
        <w:ind w:firstLine="709"/>
        <w:jc w:val="both"/>
        <w:rPr>
          <w:rFonts w:ascii="Times New Roman" w:eastAsia="Times New Roman" w:hAnsi="Times New Roman" w:cs="Times New Roman"/>
          <w:spacing w:val="-4"/>
          <w:sz w:val="28"/>
          <w:szCs w:val="28"/>
          <w:lang w:eastAsia="ru-RU"/>
        </w:rPr>
      </w:pPr>
      <w:r w:rsidRPr="00E47AA9">
        <w:rPr>
          <w:rFonts w:ascii="Times New Roman" w:eastAsia="Times New Roman" w:hAnsi="Times New Roman" w:cs="Times New Roman"/>
          <w:spacing w:val="-4"/>
          <w:sz w:val="28"/>
          <w:szCs w:val="28"/>
          <w:lang w:eastAsia="ru-RU"/>
        </w:rPr>
        <w:t>субсидии бюджетам МО (</w:t>
      </w:r>
      <w:r w:rsidRPr="00E47AA9">
        <w:rPr>
          <w:rFonts w:ascii="Times New Roman" w:hAnsi="Times New Roman" w:cs="Times New Roman"/>
          <w:spacing w:val="-4"/>
          <w:sz w:val="28"/>
          <w:szCs w:val="28"/>
        </w:rPr>
        <w:t>28,23 млн рублей), то есть</w:t>
      </w:r>
      <w:r w:rsidRPr="00E47AA9">
        <w:rPr>
          <w:rFonts w:ascii="Times New Roman" w:eastAsia="Times New Roman" w:hAnsi="Times New Roman" w:cs="Times New Roman"/>
          <w:spacing w:val="-4"/>
          <w:sz w:val="28"/>
          <w:szCs w:val="28"/>
          <w:lang w:eastAsia="ru-RU"/>
        </w:rPr>
        <w:t xml:space="preserve"> Артемовскому ГО на капитальный ремонт стадиона "Темп (24,73 млн рублей), Красноармейскому МО на приобретение спортивного инвентаря и оборудования по хоккею для оснащения ДЮСШ с. Рощино (1,86 млн рублей).</w:t>
      </w:r>
    </w:p>
    <w:p w14:paraId="5181256A" w14:textId="77777777" w:rsidR="0091578A" w:rsidRPr="00E47AA9" w:rsidRDefault="0091578A" w:rsidP="0091578A">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sz w:val="28"/>
          <w:szCs w:val="24"/>
          <w:lang w:eastAsia="ru-RU"/>
        </w:rPr>
        <w:t xml:space="preserve">На уровне 94,02 %, или 585,39 млн рублей (622,59 млн рублей), </w:t>
      </w:r>
      <w:r w:rsidRPr="00E47AA9">
        <w:rPr>
          <w:rFonts w:ascii="Times New Roman" w:hAnsi="Times New Roman" w:cs="Times New Roman"/>
          <w:sz w:val="28"/>
          <w:szCs w:val="28"/>
        </w:rPr>
        <w:t>направлено на развитие спортивной инфраструктуры муниципальной собственности, в том числе:</w:t>
      </w:r>
    </w:p>
    <w:p w14:paraId="62852268" w14:textId="5A7A9696" w:rsidR="0091578A" w:rsidRPr="00E47AA9" w:rsidRDefault="0091578A" w:rsidP="0091578A">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u w:val="single"/>
        </w:rPr>
        <w:t>по министерству физической культуры и спорта Приморского края</w:t>
      </w:r>
      <w:r w:rsidRPr="00E47AA9">
        <w:rPr>
          <w:rFonts w:ascii="Times New Roman" w:hAnsi="Times New Roman" w:cs="Times New Roman"/>
          <w:sz w:val="28"/>
          <w:szCs w:val="28"/>
        </w:rPr>
        <w:t xml:space="preserve"> </w:t>
      </w:r>
      <w:r w:rsidR="00203920" w:rsidRPr="00E47AA9">
        <w:rPr>
          <w:rFonts w:ascii="Times New Roman" w:hAnsi="Times New Roman" w:cs="Times New Roman"/>
          <w:sz w:val="28"/>
          <w:szCs w:val="28"/>
        </w:rPr>
        <w:t>–</w:t>
      </w:r>
      <w:r w:rsidRPr="00E47AA9">
        <w:rPr>
          <w:rFonts w:ascii="Times New Roman" w:hAnsi="Times New Roman" w:cs="Times New Roman"/>
          <w:sz w:val="28"/>
          <w:szCs w:val="28"/>
        </w:rPr>
        <w:t xml:space="preserve">250,42 млн рублей, или на 99,96 % (план </w:t>
      </w:r>
      <w:r w:rsidR="00613EC5" w:rsidRPr="00E47AA9">
        <w:rPr>
          <w:rFonts w:ascii="Times New Roman" w:hAnsi="Times New Roman" w:cs="Times New Roman"/>
          <w:sz w:val="28"/>
          <w:szCs w:val="28"/>
        </w:rPr>
        <w:t xml:space="preserve">– </w:t>
      </w:r>
      <w:r w:rsidRPr="00E47AA9">
        <w:rPr>
          <w:rFonts w:ascii="Times New Roman" w:hAnsi="Times New Roman" w:cs="Times New Roman"/>
          <w:sz w:val="28"/>
          <w:szCs w:val="28"/>
        </w:rPr>
        <w:t>250,53 млн рублей) по 9 объектам</w:t>
      </w:r>
      <w:r w:rsidRPr="00E47AA9">
        <w:rPr>
          <w:rFonts w:ascii="Times New Roman" w:hAnsi="Times New Roman" w:cs="Times New Roman"/>
          <w:sz w:val="28"/>
          <w:szCs w:val="28"/>
          <w:vertAlign w:val="superscript"/>
        </w:rPr>
        <w:footnoteReference w:id="69"/>
      </w:r>
      <w:r w:rsidRPr="00E47AA9">
        <w:rPr>
          <w:rFonts w:ascii="Times New Roman" w:hAnsi="Times New Roman" w:cs="Times New Roman"/>
          <w:sz w:val="28"/>
          <w:szCs w:val="28"/>
        </w:rPr>
        <w:t xml:space="preserve">; </w:t>
      </w:r>
    </w:p>
    <w:p w14:paraId="2885EAE4" w14:textId="37EC4276" w:rsidR="0091578A" w:rsidRPr="00E47AA9" w:rsidRDefault="0091578A" w:rsidP="0091578A">
      <w:pPr>
        <w:autoSpaceDE w:val="0"/>
        <w:autoSpaceDN w:val="0"/>
        <w:adjustRightInd w:val="0"/>
        <w:spacing w:after="0" w:line="240" w:lineRule="auto"/>
        <w:ind w:firstLine="708"/>
        <w:jc w:val="both"/>
        <w:rPr>
          <w:rFonts w:ascii="Times New Roman" w:eastAsia="Tahoma" w:hAnsi="Times New Roman" w:cs="FreeSans"/>
          <w:kern w:val="2"/>
          <w:sz w:val="28"/>
          <w:szCs w:val="28"/>
          <w:lang w:eastAsia="zh-CN" w:bidi="hi-IN"/>
        </w:rPr>
      </w:pPr>
      <w:r w:rsidRPr="00E47AA9">
        <w:rPr>
          <w:rFonts w:ascii="Times New Roman" w:hAnsi="Times New Roman" w:cs="Times New Roman"/>
          <w:sz w:val="28"/>
          <w:szCs w:val="28"/>
          <w:u w:val="single"/>
        </w:rPr>
        <w:t>по министерству строительства Приморского края</w:t>
      </w:r>
      <w:r w:rsidRPr="00E47AA9">
        <w:rPr>
          <w:rFonts w:ascii="Times New Roman" w:hAnsi="Times New Roman" w:cs="Times New Roman"/>
          <w:sz w:val="28"/>
          <w:szCs w:val="28"/>
        </w:rPr>
        <w:t xml:space="preserve"> – 334,97 млн рублей, или 90,03 % (372,07 млн рублей). В рамках АИП министерством строительства Приморского края и министерством физической культуры и спорта </w:t>
      </w:r>
      <w:r w:rsidRPr="00E47AA9">
        <w:rPr>
          <w:rFonts w:ascii="Times New Roman" w:hAnsi="Times New Roman" w:cs="Times New Roman"/>
          <w:sz w:val="28"/>
          <w:szCs w:val="28"/>
        </w:rPr>
        <w:lastRenderedPageBreak/>
        <w:t>Приморского края расходы планировались на реализацию 4 объектов</w:t>
      </w:r>
      <w:r w:rsidRPr="00E47AA9">
        <w:rPr>
          <w:rFonts w:ascii="Times New Roman" w:hAnsi="Times New Roman" w:cs="Times New Roman"/>
          <w:sz w:val="28"/>
          <w:szCs w:val="28"/>
          <w:vertAlign w:val="superscript"/>
        </w:rPr>
        <w:footnoteReference w:id="70"/>
      </w:r>
      <w:r w:rsidRPr="00E47AA9">
        <w:rPr>
          <w:rFonts w:ascii="Times New Roman" w:hAnsi="Times New Roman" w:cs="Times New Roman"/>
          <w:sz w:val="28"/>
          <w:szCs w:val="28"/>
        </w:rPr>
        <w:t>, из них по 1 объекту не профинансировано 37,20 млн рублей (в том числе министерством строительства Приморского края – 37,10 млн рублей) в связи с необходимостью корректировки проектно-сметной документации (с</w:t>
      </w:r>
      <w:r w:rsidR="00613EC5" w:rsidRPr="00E47AA9">
        <w:rPr>
          <w:rFonts w:ascii="Times New Roman" w:hAnsi="Times New Roman" w:cs="Times New Roman"/>
          <w:sz w:val="28"/>
          <w:szCs w:val="28"/>
        </w:rPr>
        <w:t> </w:t>
      </w:r>
      <w:r w:rsidRPr="00E47AA9">
        <w:rPr>
          <w:rFonts w:ascii="Times New Roman" w:hAnsi="Times New Roman" w:cs="Times New Roman"/>
          <w:sz w:val="28"/>
          <w:szCs w:val="28"/>
        </w:rPr>
        <w:t xml:space="preserve">изменением срока исполнения отдельного этапа работ в рамках действующего контракта, предусмотренного при заключении) по объекту "Строительство физкультурно-оздоровительного комплекса в пгт </w:t>
      </w:r>
      <w:proofErr w:type="spellStart"/>
      <w:r w:rsidRPr="00E47AA9">
        <w:rPr>
          <w:rFonts w:ascii="Times New Roman" w:hAnsi="Times New Roman" w:cs="Times New Roman"/>
          <w:sz w:val="28"/>
          <w:szCs w:val="28"/>
        </w:rPr>
        <w:t>Лучегорск</w:t>
      </w:r>
      <w:proofErr w:type="spellEnd"/>
      <w:r w:rsidRPr="00E47AA9">
        <w:rPr>
          <w:rFonts w:ascii="Times New Roman" w:hAnsi="Times New Roman" w:cs="Times New Roman"/>
          <w:sz w:val="28"/>
          <w:szCs w:val="28"/>
        </w:rPr>
        <w:t>" (план</w:t>
      </w:r>
      <w:r w:rsidR="00576C74"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 140,47 млн рублей, факт 103,37 млн рублей). Кроме того, стоит отметить, что согласно АИП сроки ввода объекта "Строительство физкультурно-оздоровительного комплекса в г. Находке" установлены до конца 2024 года. Согласно информации ответственного исполнителя ГП, по состоянию на 01.01.2025 т</w:t>
      </w:r>
      <w:r w:rsidRPr="00E47AA9">
        <w:rPr>
          <w:rFonts w:ascii="Times New Roman" w:eastAsia="Tahoma" w:hAnsi="Times New Roman" w:cs="FreeSans"/>
          <w:kern w:val="2"/>
          <w:sz w:val="28"/>
          <w:szCs w:val="28"/>
          <w:lang w:eastAsia="zh-CN" w:bidi="hi-IN"/>
        </w:rPr>
        <w:t xml:space="preserve">ехническая готовность объекта 98 %. На объекте завершаются работы по монтажу плинтусов и устройство потолков типа </w:t>
      </w:r>
      <w:proofErr w:type="spellStart"/>
      <w:r w:rsidRPr="00E47AA9">
        <w:rPr>
          <w:rFonts w:ascii="Times New Roman" w:eastAsia="Tahoma" w:hAnsi="Times New Roman" w:cs="FreeSans"/>
          <w:kern w:val="2"/>
          <w:sz w:val="28"/>
          <w:szCs w:val="28"/>
          <w:lang w:eastAsia="zh-CN" w:bidi="hi-IN"/>
        </w:rPr>
        <w:t>Армстронг</w:t>
      </w:r>
      <w:proofErr w:type="spellEnd"/>
      <w:r w:rsidRPr="00E47AA9">
        <w:rPr>
          <w:rFonts w:ascii="Times New Roman" w:eastAsia="Tahoma" w:hAnsi="Times New Roman" w:cs="FreeSans"/>
          <w:kern w:val="2"/>
          <w:sz w:val="28"/>
          <w:szCs w:val="28"/>
          <w:lang w:eastAsia="zh-CN" w:bidi="hi-IN"/>
        </w:rPr>
        <w:t>. Также на стадии завершения монтаж напольного резинового покрытия и окраска стен водоэмульсионными составами.</w:t>
      </w:r>
    </w:p>
    <w:p w14:paraId="3490F104" w14:textId="77777777" w:rsidR="0091578A" w:rsidRPr="00E47AA9" w:rsidRDefault="0091578A" w:rsidP="0091578A">
      <w:pPr>
        <w:autoSpaceDE w:val="0"/>
        <w:autoSpaceDN w:val="0"/>
        <w:adjustRightInd w:val="0"/>
        <w:spacing w:after="0" w:line="240" w:lineRule="auto"/>
        <w:ind w:firstLine="709"/>
        <w:jc w:val="both"/>
        <w:rPr>
          <w:rFonts w:ascii="Times New Roman" w:eastAsia="Tahoma" w:hAnsi="Times New Roman" w:cs="FreeSans"/>
          <w:kern w:val="2"/>
          <w:sz w:val="28"/>
          <w:szCs w:val="28"/>
          <w:lang w:eastAsia="zh-CN" w:bidi="hi-IN"/>
        </w:rPr>
      </w:pPr>
      <w:r w:rsidRPr="00E47AA9">
        <w:rPr>
          <w:rFonts w:ascii="Times New Roman" w:eastAsia="Tahoma" w:hAnsi="Times New Roman" w:cs="FreeSans"/>
          <w:kern w:val="2"/>
          <w:sz w:val="28"/>
          <w:szCs w:val="28"/>
          <w:lang w:eastAsia="zh-CN" w:bidi="hi-IN"/>
        </w:rPr>
        <w:t>На уровне 82,56 %, или 128,61 млн рублей (155,78 млн рублей)</w:t>
      </w:r>
      <w:r w:rsidR="009113EE" w:rsidRPr="00E47AA9">
        <w:rPr>
          <w:rFonts w:ascii="Times New Roman" w:eastAsia="Tahoma" w:hAnsi="Times New Roman" w:cs="FreeSans"/>
          <w:kern w:val="2"/>
          <w:sz w:val="28"/>
          <w:szCs w:val="28"/>
          <w:lang w:eastAsia="zh-CN" w:bidi="hi-IN"/>
        </w:rPr>
        <w:t xml:space="preserve"> на строительство, реконструкцию</w:t>
      </w:r>
      <w:r w:rsidRPr="00E47AA9">
        <w:rPr>
          <w:rFonts w:ascii="Times New Roman" w:eastAsia="Tahoma" w:hAnsi="Times New Roman" w:cs="FreeSans"/>
          <w:kern w:val="2"/>
          <w:sz w:val="28"/>
          <w:szCs w:val="28"/>
          <w:lang w:eastAsia="zh-CN" w:bidi="hi-IN"/>
        </w:rPr>
        <w:t xml:space="preserve"> объектов спорта для нужд Приморского края, в том числе: </w:t>
      </w:r>
      <w:r w:rsidRPr="00E47AA9">
        <w:rPr>
          <w:rFonts w:ascii="Times New Roman" w:eastAsia="Tahoma" w:hAnsi="Times New Roman" w:cs="FreeSans"/>
          <w:kern w:val="2"/>
          <w:sz w:val="28"/>
          <w:szCs w:val="28"/>
          <w:u w:val="single"/>
          <w:lang w:eastAsia="zh-CN" w:bidi="hi-IN"/>
        </w:rPr>
        <w:t>по министерству строительства Приморского края</w:t>
      </w:r>
      <w:r w:rsidRPr="00E47AA9">
        <w:rPr>
          <w:rFonts w:ascii="Times New Roman" w:eastAsia="Tahoma" w:hAnsi="Times New Roman" w:cs="FreeSans"/>
          <w:kern w:val="2"/>
          <w:sz w:val="28"/>
          <w:szCs w:val="28"/>
          <w:lang w:eastAsia="zh-CN" w:bidi="hi-IN"/>
        </w:rPr>
        <w:t xml:space="preserve"> (107,08 млн рублей), по </w:t>
      </w:r>
      <w:r w:rsidRPr="00E47AA9">
        <w:rPr>
          <w:rFonts w:ascii="Times New Roman" w:eastAsia="Tahoma" w:hAnsi="Times New Roman" w:cs="FreeSans"/>
          <w:kern w:val="2"/>
          <w:sz w:val="28"/>
          <w:szCs w:val="28"/>
          <w:u w:val="single"/>
          <w:lang w:eastAsia="zh-CN" w:bidi="hi-IN"/>
        </w:rPr>
        <w:t>министерству физической культуры и спорта Приморского края</w:t>
      </w:r>
      <w:r w:rsidRPr="00E47AA9">
        <w:rPr>
          <w:rFonts w:ascii="Times New Roman" w:eastAsia="Tahoma" w:hAnsi="Times New Roman" w:cs="FreeSans"/>
          <w:kern w:val="2"/>
          <w:sz w:val="28"/>
          <w:szCs w:val="28"/>
          <w:lang w:eastAsia="zh-CN" w:bidi="hi-IN"/>
        </w:rPr>
        <w:t xml:space="preserve"> – (48,69 млн рублей), из них:</w:t>
      </w:r>
    </w:p>
    <w:p w14:paraId="377AE52B" w14:textId="77777777" w:rsidR="0091578A" w:rsidRPr="00E47AA9" w:rsidRDefault="0091578A" w:rsidP="0091578A">
      <w:pPr>
        <w:autoSpaceDE w:val="0"/>
        <w:autoSpaceDN w:val="0"/>
        <w:adjustRightInd w:val="0"/>
        <w:spacing w:after="0" w:line="240" w:lineRule="auto"/>
        <w:ind w:firstLine="709"/>
        <w:jc w:val="both"/>
        <w:rPr>
          <w:rFonts w:ascii="Times New Roman" w:eastAsia="Tahoma" w:hAnsi="Times New Roman" w:cs="FreeSans"/>
          <w:kern w:val="2"/>
          <w:sz w:val="28"/>
          <w:szCs w:val="28"/>
          <w:lang w:eastAsia="zh-CN" w:bidi="hi-IN"/>
        </w:rPr>
      </w:pPr>
      <w:r w:rsidRPr="00E47AA9">
        <w:rPr>
          <w:rFonts w:ascii="Times New Roman" w:hAnsi="Times New Roman"/>
          <w:sz w:val="28"/>
          <w:szCs w:val="28"/>
        </w:rPr>
        <w:t xml:space="preserve">на завершение строительства объекта </w:t>
      </w:r>
      <w:r w:rsidR="009113EE" w:rsidRPr="00E47AA9">
        <w:rPr>
          <w:rFonts w:ascii="Times New Roman" w:hAnsi="Times New Roman"/>
          <w:sz w:val="28"/>
          <w:szCs w:val="28"/>
        </w:rPr>
        <w:t>–</w:t>
      </w:r>
      <w:r w:rsidRPr="00E47AA9">
        <w:rPr>
          <w:rFonts w:ascii="Times New Roman" w:hAnsi="Times New Roman"/>
          <w:sz w:val="28"/>
          <w:szCs w:val="28"/>
        </w:rPr>
        <w:t xml:space="preserve"> ледовая арена для керлинга в </w:t>
      </w:r>
      <w:r w:rsidRPr="00E47AA9">
        <w:rPr>
          <w:rFonts w:ascii="Times New Roman" w:hAnsi="Times New Roman"/>
          <w:sz w:val="28"/>
          <w:szCs w:val="28"/>
        </w:rPr>
        <w:br/>
        <w:t xml:space="preserve">г. Владивостоке – в полном объеме (60,96 млн рублей). </w:t>
      </w:r>
      <w:r w:rsidRPr="00E47AA9">
        <w:rPr>
          <w:rFonts w:ascii="Times New Roman" w:hAnsi="Times New Roman" w:cs="Times New Roman"/>
          <w:sz w:val="28"/>
          <w:szCs w:val="28"/>
        </w:rPr>
        <w:t>03.09.2024 получено разрешение на ввод объекта в эксплуатацию № 25-28-77-2024;</w:t>
      </w:r>
      <w:r w:rsidRPr="00E47AA9">
        <w:rPr>
          <w:rFonts w:ascii="Times New Roman" w:hAnsi="Times New Roman"/>
          <w:sz w:val="28"/>
          <w:szCs w:val="28"/>
        </w:rPr>
        <w:t xml:space="preserve"> </w:t>
      </w:r>
    </w:p>
    <w:p w14:paraId="00B67DBD" w14:textId="7BB1BB5B" w:rsidR="0091578A" w:rsidRPr="00E47AA9" w:rsidRDefault="0091578A" w:rsidP="0091578A">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в рамках АИП – 67,65 млн рублей, или 71,55 % (план </w:t>
      </w:r>
      <w:r w:rsidR="00613EC5"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94,81 млн рублей). Не исполнено 27,16 млн рублей в связи с неполучением положительного заключения государственной экспертизы по разрабатываемой проектно-сметной документации, и </w:t>
      </w:r>
      <w:proofErr w:type="spellStart"/>
      <w:r w:rsidRPr="00E47AA9">
        <w:rPr>
          <w:rFonts w:ascii="Times New Roman" w:hAnsi="Times New Roman" w:cs="Times New Roman"/>
          <w:sz w:val="28"/>
          <w:szCs w:val="28"/>
        </w:rPr>
        <w:t>незавершением</w:t>
      </w:r>
      <w:proofErr w:type="spellEnd"/>
      <w:r w:rsidRPr="00E47AA9">
        <w:rPr>
          <w:rFonts w:ascii="Times New Roman" w:hAnsi="Times New Roman" w:cs="Times New Roman"/>
          <w:sz w:val="28"/>
          <w:szCs w:val="28"/>
        </w:rPr>
        <w:t xml:space="preserve"> </w:t>
      </w:r>
      <w:proofErr w:type="spellStart"/>
      <w:r w:rsidRPr="00E47AA9">
        <w:rPr>
          <w:rFonts w:ascii="Times New Roman" w:hAnsi="Times New Roman" w:cs="Times New Roman"/>
          <w:sz w:val="28"/>
          <w:szCs w:val="28"/>
        </w:rPr>
        <w:t>предпроектных</w:t>
      </w:r>
      <w:proofErr w:type="spellEnd"/>
      <w:r w:rsidRPr="00E47AA9">
        <w:rPr>
          <w:rFonts w:ascii="Times New Roman" w:hAnsi="Times New Roman" w:cs="Times New Roman"/>
          <w:sz w:val="28"/>
          <w:szCs w:val="28"/>
        </w:rPr>
        <w:t xml:space="preserve"> работ, в том числе:</w:t>
      </w:r>
    </w:p>
    <w:p w14:paraId="74026A56" w14:textId="1102476B" w:rsidR="0091578A" w:rsidRPr="00E47AA9" w:rsidRDefault="0091578A" w:rsidP="0091578A">
      <w:pPr>
        <w:autoSpaceDE w:val="0"/>
        <w:autoSpaceDN w:val="0"/>
        <w:adjustRightInd w:val="0"/>
        <w:spacing w:after="0" w:line="240" w:lineRule="auto"/>
        <w:ind w:firstLine="709"/>
        <w:jc w:val="both"/>
        <w:rPr>
          <w:rFonts w:ascii="Times New Roman" w:eastAsia="Times New Roman" w:hAnsi="Times New Roman" w:cs="Times New Roman"/>
          <w:spacing w:val="-4"/>
          <w:sz w:val="28"/>
          <w:szCs w:val="28"/>
          <w:lang w:eastAsia="ru-RU"/>
        </w:rPr>
      </w:pPr>
      <w:r w:rsidRPr="00E47AA9">
        <w:rPr>
          <w:rFonts w:ascii="Times New Roman" w:hAnsi="Times New Roman" w:cs="Times New Roman"/>
          <w:sz w:val="28"/>
          <w:szCs w:val="28"/>
        </w:rPr>
        <w:t xml:space="preserve">6,97 млн рублей (план </w:t>
      </w:r>
      <w:r w:rsidR="00576C74" w:rsidRPr="00E47AA9">
        <w:rPr>
          <w:rFonts w:ascii="Times New Roman" w:hAnsi="Times New Roman" w:cs="Times New Roman"/>
          <w:sz w:val="28"/>
          <w:szCs w:val="28"/>
        </w:rPr>
        <w:t xml:space="preserve">– </w:t>
      </w:r>
      <w:r w:rsidRPr="00E47AA9">
        <w:rPr>
          <w:rFonts w:ascii="Times New Roman" w:hAnsi="Times New Roman" w:cs="Times New Roman"/>
          <w:sz w:val="28"/>
          <w:szCs w:val="28"/>
        </w:rPr>
        <w:t>74,06 млн рублей, факт 67,09 млн рублей, или 90,59 %) на строительство крытого трениро</w:t>
      </w:r>
      <w:r w:rsidR="009113EE" w:rsidRPr="00E47AA9">
        <w:rPr>
          <w:rFonts w:ascii="Times New Roman" w:hAnsi="Times New Roman" w:cs="Times New Roman"/>
          <w:sz w:val="28"/>
          <w:szCs w:val="28"/>
        </w:rPr>
        <w:t>вочного катка в г. Дальнегорске</w:t>
      </w:r>
      <w:r w:rsidRPr="00E47AA9">
        <w:rPr>
          <w:rFonts w:ascii="Times New Roman" w:hAnsi="Times New Roman" w:cs="Times New Roman"/>
          <w:sz w:val="28"/>
          <w:szCs w:val="28"/>
        </w:rPr>
        <w:t xml:space="preserve">. </w:t>
      </w:r>
      <w:r w:rsidRPr="00E47AA9">
        <w:rPr>
          <w:rFonts w:ascii="Times New Roman" w:eastAsia="Times New Roman" w:hAnsi="Times New Roman" w:cs="Times New Roman"/>
          <w:spacing w:val="-4"/>
          <w:sz w:val="28"/>
          <w:szCs w:val="28"/>
          <w:lang w:eastAsia="ru-RU"/>
        </w:rPr>
        <w:t>В процессе исполнения мероприятий планируемые в 2024 году расходы в размере 210,00 млн рублей перенесены на 2025 год (срок завершения работ продлен до 31.08.2025).</w:t>
      </w:r>
      <w:r w:rsidRPr="00E47AA9">
        <w:rPr>
          <w:rFonts w:ascii="Times New Roman" w:hAnsi="Times New Roman" w:cs="Times New Roman"/>
          <w:sz w:val="28"/>
          <w:szCs w:val="28"/>
        </w:rPr>
        <w:t xml:space="preserve"> </w:t>
      </w:r>
      <w:r w:rsidRPr="00E47AA9">
        <w:rPr>
          <w:rFonts w:ascii="Times New Roman" w:eastAsia="Times New Roman" w:hAnsi="Times New Roman" w:cs="Times New Roman"/>
          <w:spacing w:val="-4"/>
          <w:sz w:val="28"/>
          <w:szCs w:val="28"/>
          <w:lang w:eastAsia="ru-RU"/>
        </w:rPr>
        <w:t>Техническая готовность 35 %;</w:t>
      </w:r>
    </w:p>
    <w:p w14:paraId="1BB66BAB" w14:textId="3E72C74B" w:rsidR="0091578A" w:rsidRPr="00E47AA9" w:rsidRDefault="0091578A" w:rsidP="0091578A">
      <w:pPr>
        <w:autoSpaceDE w:val="0"/>
        <w:autoSpaceDN w:val="0"/>
        <w:adjustRightInd w:val="0"/>
        <w:spacing w:after="0" w:line="240" w:lineRule="auto"/>
        <w:ind w:firstLine="709"/>
        <w:jc w:val="both"/>
        <w:rPr>
          <w:rFonts w:ascii="Times New Roman" w:eastAsia="Times New Roman" w:hAnsi="Times New Roman" w:cs="Times New Roman"/>
          <w:spacing w:val="-4"/>
          <w:sz w:val="28"/>
          <w:szCs w:val="28"/>
          <w:lang w:eastAsia="ru-RU"/>
        </w:rPr>
      </w:pPr>
      <w:r w:rsidRPr="00E47AA9">
        <w:rPr>
          <w:rFonts w:ascii="Times New Roman" w:hAnsi="Times New Roman" w:cs="Times New Roman"/>
          <w:sz w:val="28"/>
          <w:szCs w:val="28"/>
        </w:rPr>
        <w:t xml:space="preserve">19,44 млн рублей (план </w:t>
      </w:r>
      <w:r w:rsidR="00576C74"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20,0 млн рублей, факт 0,56 млн рублей, или 2,8 %) </w:t>
      </w:r>
      <w:r w:rsidR="009113EE" w:rsidRPr="00E47AA9">
        <w:rPr>
          <w:rFonts w:ascii="Times New Roman" w:hAnsi="Times New Roman" w:cs="Times New Roman"/>
          <w:sz w:val="28"/>
          <w:szCs w:val="28"/>
        </w:rPr>
        <w:t>–</w:t>
      </w:r>
      <w:r w:rsidRPr="00E47AA9">
        <w:rPr>
          <w:rFonts w:ascii="Times New Roman" w:hAnsi="Times New Roman" w:cs="Times New Roman"/>
          <w:sz w:val="28"/>
          <w:szCs w:val="28"/>
        </w:rPr>
        <w:t xml:space="preserve"> на </w:t>
      </w:r>
      <w:r w:rsidRPr="00E47AA9">
        <w:rPr>
          <w:rFonts w:ascii="Times New Roman" w:eastAsia="Times New Roman" w:hAnsi="Times New Roman" w:cs="Times New Roman"/>
          <w:spacing w:val="-4"/>
          <w:sz w:val="28"/>
          <w:szCs w:val="28"/>
          <w:lang w:eastAsia="ru-RU"/>
        </w:rPr>
        <w:t xml:space="preserve">строительство в г. Владивостоке регионального центра по хоккею (12,00 млн рублей) и Центра бокса (8,00 млн рублей). За отчетный период заключены контракты на выполнение работ по подготовке </w:t>
      </w:r>
      <w:proofErr w:type="spellStart"/>
      <w:r w:rsidRPr="00E47AA9">
        <w:rPr>
          <w:rFonts w:ascii="Times New Roman" w:eastAsia="Times New Roman" w:hAnsi="Times New Roman" w:cs="Times New Roman"/>
          <w:spacing w:val="-4"/>
          <w:sz w:val="28"/>
          <w:szCs w:val="28"/>
          <w:lang w:eastAsia="ru-RU"/>
        </w:rPr>
        <w:t>предпроектной</w:t>
      </w:r>
      <w:proofErr w:type="spellEnd"/>
      <w:r w:rsidRPr="00E47AA9">
        <w:rPr>
          <w:rFonts w:ascii="Times New Roman" w:eastAsia="Times New Roman" w:hAnsi="Times New Roman" w:cs="Times New Roman"/>
          <w:spacing w:val="-4"/>
          <w:sz w:val="28"/>
          <w:szCs w:val="28"/>
          <w:lang w:eastAsia="ru-RU"/>
        </w:rPr>
        <w:t xml:space="preserve"> документации по объектам;</w:t>
      </w:r>
    </w:p>
    <w:p w14:paraId="404D38E4" w14:textId="77777777" w:rsidR="0091578A" w:rsidRPr="00E47AA9" w:rsidRDefault="0091578A" w:rsidP="0091578A">
      <w:pPr>
        <w:autoSpaceDE w:val="0"/>
        <w:autoSpaceDN w:val="0"/>
        <w:adjustRightInd w:val="0"/>
        <w:spacing w:after="0" w:line="240" w:lineRule="auto"/>
        <w:jc w:val="both"/>
        <w:rPr>
          <w:rFonts w:ascii="Times New Roman" w:hAnsi="Times New Roman" w:cs="Times New Roman"/>
          <w:sz w:val="28"/>
          <w:szCs w:val="28"/>
        </w:rPr>
      </w:pPr>
      <w:r w:rsidRPr="00E47AA9">
        <w:rPr>
          <w:rFonts w:ascii="Times New Roman" w:hAnsi="Times New Roman" w:cs="Times New Roman"/>
          <w:sz w:val="28"/>
          <w:szCs w:val="28"/>
        </w:rPr>
        <w:lastRenderedPageBreak/>
        <w:tab/>
        <w:t>0,75 млн рублей не исполнено в полном объеме проектно-изыскательские работы на строительство центра водных видов спорта, легкоатлетического манежа, центра гимнастики.</w:t>
      </w:r>
    </w:p>
    <w:p w14:paraId="6D8C5E63" w14:textId="37FBE5E9" w:rsidR="0091578A" w:rsidRPr="00E47AA9" w:rsidRDefault="0091578A" w:rsidP="0091578A">
      <w:pPr>
        <w:tabs>
          <w:tab w:val="left" w:pos="5595"/>
        </w:tabs>
        <w:spacing w:after="0" w:line="240" w:lineRule="auto"/>
        <w:ind w:firstLine="709"/>
        <w:jc w:val="both"/>
        <w:rPr>
          <w:rFonts w:ascii="Times New Roman" w:eastAsia="Times New Roman" w:hAnsi="Times New Roman" w:cs="Times New Roman"/>
          <w:sz w:val="28"/>
          <w:szCs w:val="24"/>
          <w:lang w:eastAsia="ru-RU"/>
        </w:rPr>
      </w:pPr>
      <w:r w:rsidRPr="00E47AA9">
        <w:rPr>
          <w:rFonts w:ascii="Times New Roman" w:eastAsia="Times New Roman" w:hAnsi="Times New Roman" w:cs="Times New Roman"/>
          <w:sz w:val="28"/>
          <w:szCs w:val="24"/>
          <w:lang w:eastAsia="ru-RU"/>
        </w:rPr>
        <w:t>На 42,24 %, или 138,78 млн рублей (план 328,53 млн рублей), в том числе за счет средств федерального бюджета</w:t>
      </w:r>
      <w:r w:rsidR="006D7AC2" w:rsidRPr="00E47AA9">
        <w:rPr>
          <w:rFonts w:ascii="Times New Roman" w:eastAsia="Times New Roman" w:hAnsi="Times New Roman" w:cs="Times New Roman"/>
          <w:sz w:val="28"/>
          <w:szCs w:val="24"/>
          <w:lang w:eastAsia="ru-RU"/>
        </w:rPr>
        <w:t xml:space="preserve"> </w:t>
      </w:r>
      <w:r w:rsidRPr="00E47AA9">
        <w:rPr>
          <w:rFonts w:ascii="Times New Roman" w:eastAsia="Times New Roman" w:hAnsi="Times New Roman" w:cs="Times New Roman"/>
          <w:sz w:val="28"/>
          <w:szCs w:val="24"/>
          <w:lang w:eastAsia="ru-RU"/>
        </w:rPr>
        <w:t xml:space="preserve">136,00 млн рублей (план </w:t>
      </w:r>
      <w:r w:rsidR="00613EC5" w:rsidRPr="00E47AA9">
        <w:rPr>
          <w:rFonts w:ascii="Times New Roman" w:eastAsia="Times New Roman" w:hAnsi="Times New Roman" w:cs="Times New Roman"/>
          <w:sz w:val="28"/>
          <w:szCs w:val="24"/>
          <w:lang w:eastAsia="ru-RU"/>
        </w:rPr>
        <w:t xml:space="preserve">– </w:t>
      </w:r>
      <w:r w:rsidRPr="00E47AA9">
        <w:rPr>
          <w:rFonts w:ascii="Times New Roman" w:eastAsia="Times New Roman" w:hAnsi="Times New Roman" w:cs="Times New Roman"/>
          <w:sz w:val="28"/>
          <w:szCs w:val="24"/>
          <w:lang w:eastAsia="ru-RU"/>
        </w:rPr>
        <w:t xml:space="preserve">321,96 млн рублей). </w:t>
      </w:r>
      <w:r w:rsidRPr="00E47AA9">
        <w:rPr>
          <w:rFonts w:ascii="Times New Roman" w:eastAsia="Times New Roman" w:hAnsi="Times New Roman" w:cs="Times New Roman"/>
          <w:sz w:val="28"/>
          <w:szCs w:val="24"/>
          <w:u w:val="single"/>
          <w:lang w:eastAsia="ru-RU"/>
        </w:rPr>
        <w:t>Министерством строительства Приморского края</w:t>
      </w:r>
      <w:r w:rsidRPr="00E47AA9">
        <w:rPr>
          <w:rFonts w:ascii="Times New Roman" w:eastAsia="Times New Roman" w:hAnsi="Times New Roman" w:cs="Times New Roman"/>
          <w:sz w:val="28"/>
          <w:szCs w:val="24"/>
          <w:lang w:eastAsia="ru-RU"/>
        </w:rPr>
        <w:t xml:space="preserve"> предоставлены субсидии бюджетам муниципальных образований Приморского края на реализацию мероприятий планов социального развития центров экономического роста, в том числе: </w:t>
      </w:r>
    </w:p>
    <w:p w14:paraId="3D0DFAD2" w14:textId="77777777" w:rsidR="0091578A" w:rsidRPr="00E47AA9" w:rsidRDefault="0091578A" w:rsidP="0091578A">
      <w:pPr>
        <w:spacing w:after="0" w:line="240" w:lineRule="auto"/>
        <w:ind w:firstLine="709"/>
        <w:jc w:val="both"/>
        <w:rPr>
          <w:rFonts w:ascii="Times New Roman" w:eastAsia="Calibri" w:hAnsi="Times New Roman" w:cs="Times New Roman"/>
          <w:sz w:val="28"/>
          <w:szCs w:val="28"/>
        </w:rPr>
      </w:pPr>
      <w:r w:rsidRPr="00E47AA9">
        <w:rPr>
          <w:rFonts w:ascii="Times New Roman" w:eastAsia="Times New Roman" w:hAnsi="Times New Roman" w:cs="Times New Roman"/>
          <w:bCs/>
          <w:sz w:val="28"/>
          <w:szCs w:val="28"/>
          <w:lang w:eastAsia="ru-RU"/>
        </w:rPr>
        <w:t>118,43 млн рублей – на реконструкцию стадиона "Южный" в микрорайоне Южная Лифляндия в г. Большой Камень. В отчетном периоде, как и в предыдущем году, имеется о</w:t>
      </w:r>
      <w:r w:rsidRPr="00E47AA9">
        <w:rPr>
          <w:rFonts w:ascii="Times New Roman" w:eastAsia="Calibri" w:hAnsi="Times New Roman" w:cs="Times New Roman"/>
          <w:sz w:val="28"/>
          <w:szCs w:val="28"/>
        </w:rPr>
        <w:t xml:space="preserve">тставание от графика производства работ, в связи с этим срок выполнения перенесён на 2025 год. Техническая готовность объекта 60 %; </w:t>
      </w:r>
    </w:p>
    <w:p w14:paraId="5C5C11B2" w14:textId="5810A2BF" w:rsidR="0091578A" w:rsidRPr="00E47AA9" w:rsidRDefault="0091578A" w:rsidP="0091578A">
      <w:pPr>
        <w:spacing w:after="0" w:line="240" w:lineRule="auto"/>
        <w:ind w:firstLine="709"/>
        <w:jc w:val="both"/>
        <w:rPr>
          <w:rFonts w:ascii="Times New Roman" w:hAnsi="Times New Roman" w:cs="Times New Roman"/>
        </w:rPr>
      </w:pPr>
      <w:r w:rsidRPr="00E47AA9">
        <w:rPr>
          <w:rFonts w:ascii="Times New Roman" w:eastAsia="Calibri" w:hAnsi="Times New Roman" w:cs="Times New Roman"/>
          <w:sz w:val="28"/>
          <w:szCs w:val="28"/>
        </w:rPr>
        <w:t>20,35 млн рублей, или 9,68 % (план</w:t>
      </w:r>
      <w:r w:rsidR="00613EC5"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 210,10 млн рублей) – на строительство физкультурно-оздоровительного комплекса с плавательным бассейном в г. Большой Камень. К</w:t>
      </w:r>
      <w:r w:rsidRPr="00E47AA9">
        <w:rPr>
          <w:rFonts w:ascii="Times New Roman" w:eastAsia="Calibri" w:hAnsi="Times New Roman"/>
          <w:sz w:val="28"/>
          <w:szCs w:val="28"/>
        </w:rPr>
        <w:t>онтракт с подрядчиком ООО "</w:t>
      </w:r>
      <w:proofErr w:type="spellStart"/>
      <w:r w:rsidRPr="00E47AA9">
        <w:rPr>
          <w:rFonts w:ascii="Times New Roman" w:eastAsia="Calibri" w:hAnsi="Times New Roman"/>
          <w:sz w:val="28"/>
          <w:szCs w:val="28"/>
        </w:rPr>
        <w:t>Лигасити</w:t>
      </w:r>
      <w:proofErr w:type="spellEnd"/>
      <w:r w:rsidRPr="00E47AA9">
        <w:rPr>
          <w:rFonts w:ascii="Times New Roman" w:eastAsia="Calibri" w:hAnsi="Times New Roman"/>
          <w:sz w:val="28"/>
          <w:szCs w:val="28"/>
        </w:rPr>
        <w:t>", заключенный 06.05.2024</w:t>
      </w:r>
      <w:r w:rsidR="006D7AC2" w:rsidRPr="00E47AA9">
        <w:rPr>
          <w:rFonts w:ascii="Times New Roman" w:eastAsia="Calibri" w:hAnsi="Times New Roman"/>
          <w:sz w:val="28"/>
          <w:szCs w:val="28"/>
        </w:rPr>
        <w:t>,</w:t>
      </w:r>
      <w:r w:rsidRPr="00E47AA9">
        <w:rPr>
          <w:rFonts w:ascii="Times New Roman" w:eastAsia="Calibri" w:hAnsi="Times New Roman"/>
          <w:sz w:val="28"/>
          <w:szCs w:val="28"/>
        </w:rPr>
        <w:t xml:space="preserve"> расторгнут 22.10.2024 ввиду ненадлежащего исполнения подрядчиком обязательств, предусмотренных контрактом. В декабре 2024 заключен муниципальный контракт с ООО "</w:t>
      </w:r>
      <w:proofErr w:type="spellStart"/>
      <w:r w:rsidRPr="00E47AA9">
        <w:rPr>
          <w:rFonts w:ascii="Times New Roman" w:eastAsia="Calibri" w:hAnsi="Times New Roman"/>
          <w:sz w:val="28"/>
          <w:szCs w:val="28"/>
        </w:rPr>
        <w:t>Примтехсервис</w:t>
      </w:r>
      <w:proofErr w:type="spellEnd"/>
      <w:r w:rsidRPr="00E47AA9">
        <w:rPr>
          <w:rFonts w:ascii="Times New Roman" w:eastAsia="Calibri" w:hAnsi="Times New Roman"/>
          <w:sz w:val="28"/>
          <w:szCs w:val="28"/>
        </w:rPr>
        <w:t>". УФАС по Приморскому краю проведена внеплановая проверка электронного аукциона по выбору подрядчика по строительству указанного объекта, документы были переданы в ФАС России для рассмотрения вопроса об аннулировании аккредитации ООО "</w:t>
      </w:r>
      <w:proofErr w:type="spellStart"/>
      <w:r w:rsidRPr="00E47AA9">
        <w:rPr>
          <w:rFonts w:ascii="Times New Roman" w:eastAsia="Calibri" w:hAnsi="Times New Roman"/>
          <w:sz w:val="28"/>
          <w:szCs w:val="28"/>
        </w:rPr>
        <w:t>Примтехсервис</w:t>
      </w:r>
      <w:proofErr w:type="spellEnd"/>
      <w:r w:rsidRPr="00E47AA9">
        <w:rPr>
          <w:rFonts w:ascii="Times New Roman" w:eastAsia="Calibri" w:hAnsi="Times New Roman"/>
          <w:sz w:val="28"/>
          <w:szCs w:val="28"/>
        </w:rPr>
        <w:t>". По итогам проверки 20.12.2024 Заказчиком принято решение об одностороннем отказе от исполнения муниципального контракта.</w:t>
      </w:r>
    </w:p>
    <w:p w14:paraId="531FB779" w14:textId="6E4C6CA4" w:rsidR="0091578A" w:rsidRPr="00E47AA9" w:rsidRDefault="0091578A" w:rsidP="0091578A">
      <w:pPr>
        <w:autoSpaceDE w:val="0"/>
        <w:autoSpaceDN w:val="0"/>
        <w:adjustRightInd w:val="0"/>
        <w:spacing w:after="0" w:line="240" w:lineRule="auto"/>
        <w:ind w:firstLine="708"/>
        <w:jc w:val="both"/>
        <w:rPr>
          <w:rFonts w:ascii="Times New Roman" w:hAnsi="Times New Roman" w:cs="Times New Roman"/>
          <w:sz w:val="28"/>
          <w:szCs w:val="28"/>
          <w:lang w:eastAsia="ru-RU"/>
        </w:rPr>
      </w:pPr>
      <w:r w:rsidRPr="00E47AA9">
        <w:rPr>
          <w:rFonts w:ascii="Times New Roman" w:hAnsi="Times New Roman" w:cs="Times New Roman"/>
          <w:sz w:val="28"/>
          <w:szCs w:val="28"/>
        </w:rPr>
        <w:t xml:space="preserve">На уровне 63,22 %, или 51,21 млн рублей (план </w:t>
      </w:r>
      <w:r w:rsidR="00613EC5" w:rsidRPr="00E47AA9">
        <w:rPr>
          <w:rFonts w:ascii="Times New Roman" w:hAnsi="Times New Roman" w:cs="Times New Roman"/>
          <w:sz w:val="28"/>
          <w:szCs w:val="28"/>
        </w:rPr>
        <w:t xml:space="preserve">– </w:t>
      </w:r>
      <w:r w:rsidRPr="00E47AA9">
        <w:rPr>
          <w:rFonts w:ascii="Times New Roman" w:hAnsi="Times New Roman" w:cs="Times New Roman"/>
          <w:sz w:val="28"/>
          <w:szCs w:val="28"/>
        </w:rPr>
        <w:t>81,00 млн рублей)</w:t>
      </w:r>
      <w:r w:rsidR="006D7AC2" w:rsidRPr="00E47AA9">
        <w:rPr>
          <w:rFonts w:ascii="Times New Roman" w:hAnsi="Times New Roman" w:cs="Times New Roman"/>
          <w:sz w:val="28"/>
          <w:szCs w:val="28"/>
        </w:rPr>
        <w:t>,</w:t>
      </w:r>
      <w:r w:rsidRPr="00E47AA9">
        <w:rPr>
          <w:rFonts w:ascii="Times New Roman" w:hAnsi="Times New Roman" w:cs="Times New Roman"/>
          <w:sz w:val="28"/>
          <w:szCs w:val="28"/>
        </w:rPr>
        <w:t xml:space="preserve"> исполнены расходы на капитальный и текущий ремонт объектов спорта </w:t>
      </w:r>
      <w:r w:rsidRPr="00E47AA9">
        <w:rPr>
          <w:rFonts w:ascii="Times New Roman" w:hAnsi="Times New Roman" w:cs="Times New Roman"/>
          <w:bCs/>
          <w:sz w:val="28"/>
          <w:szCs w:val="28"/>
        </w:rPr>
        <w:t>краевых государственных учреждений</w:t>
      </w:r>
      <w:r w:rsidRPr="00E47AA9">
        <w:rPr>
          <w:rFonts w:ascii="Times New Roman" w:hAnsi="Times New Roman" w:cs="Times New Roman"/>
          <w:sz w:val="28"/>
          <w:szCs w:val="28"/>
        </w:rPr>
        <w:t xml:space="preserve">, в том числе КГАУ "ЦСП ПК" на осуществление капитального ремонта спортивного комплекса </w:t>
      </w:r>
      <w:r w:rsidRPr="00E47AA9">
        <w:rPr>
          <w:rFonts w:ascii="Times New Roman" w:hAnsi="Times New Roman" w:cs="Times New Roman"/>
          <w:sz w:val="28"/>
          <w:szCs w:val="28"/>
        </w:rPr>
        <w:br/>
        <w:t>СК "Олимпиец"</w:t>
      </w:r>
      <w:r w:rsidRPr="00E47AA9">
        <w:rPr>
          <w:rFonts w:ascii="Times New Roman" w:hAnsi="Times New Roman" w:cs="Times New Roman"/>
          <w:sz w:val="28"/>
          <w:szCs w:val="28"/>
          <w:lang w:eastAsia="ru-RU"/>
        </w:rPr>
        <w:t xml:space="preserve">. Не исполнено 29,79 млн рублей в связи </w:t>
      </w:r>
      <w:r w:rsidRPr="00E47AA9">
        <w:rPr>
          <w:rFonts w:ascii="Times New Roman" w:hAnsi="Times New Roman" w:cs="Times New Roman"/>
          <w:sz w:val="28"/>
          <w:szCs w:val="28"/>
        </w:rPr>
        <w:t>с продлением срока исполнения договора по причине внесения существенных изменений в проект и смету ремонта, а также проведением повторной государственной экспертизы.</w:t>
      </w:r>
      <w:r w:rsidRPr="00E47AA9">
        <w:rPr>
          <w:rFonts w:ascii="Times New Roman" w:hAnsi="Times New Roman" w:cs="Times New Roman"/>
          <w:sz w:val="28"/>
          <w:szCs w:val="28"/>
          <w:lang w:eastAsia="ru-RU"/>
        </w:rPr>
        <w:t xml:space="preserve"> </w:t>
      </w:r>
      <w:r w:rsidRPr="00E47AA9">
        <w:rPr>
          <w:rFonts w:ascii="Times New Roman" w:hAnsi="Times New Roman" w:cs="Times New Roman"/>
          <w:sz w:val="28"/>
          <w:szCs w:val="28"/>
        </w:rPr>
        <w:t>Завершение капитального ремонта холла 1 и 2 этажей перенесено до 30.04.2025.</w:t>
      </w:r>
    </w:p>
    <w:p w14:paraId="02CE86AF" w14:textId="47BA0923" w:rsidR="0091578A" w:rsidRPr="00E47AA9" w:rsidRDefault="0091578A" w:rsidP="0091578A">
      <w:pPr>
        <w:autoSpaceDE w:val="0"/>
        <w:autoSpaceDN w:val="0"/>
        <w:adjustRightInd w:val="0"/>
        <w:spacing w:after="0" w:line="240" w:lineRule="auto"/>
        <w:ind w:firstLine="708"/>
        <w:jc w:val="both"/>
        <w:rPr>
          <w:rFonts w:ascii="Times New Roman" w:hAnsi="Times New Roman" w:cs="Times New Roman"/>
          <w:sz w:val="28"/>
          <w:szCs w:val="28"/>
          <w:lang w:eastAsia="ru-RU" w:bidi="ru-RU"/>
        </w:rPr>
      </w:pPr>
      <w:r w:rsidRPr="00E47AA9">
        <w:rPr>
          <w:rFonts w:ascii="Times New Roman" w:hAnsi="Times New Roman" w:cs="Times New Roman"/>
          <w:spacing w:val="-4"/>
          <w:sz w:val="28"/>
          <w:szCs w:val="28"/>
        </w:rPr>
        <w:t>П</w:t>
      </w:r>
      <w:r w:rsidRPr="00E47AA9">
        <w:rPr>
          <w:rFonts w:ascii="Times New Roman" w:hAnsi="Times New Roman" w:cs="Times New Roman"/>
          <w:sz w:val="28"/>
          <w:szCs w:val="28"/>
          <w:lang w:eastAsia="ru-RU" w:bidi="ru-RU"/>
        </w:rPr>
        <w:t>о</w:t>
      </w:r>
      <w:r w:rsidRPr="00E47AA9">
        <w:rPr>
          <w:rFonts w:ascii="Times New Roman" w:hAnsi="Times New Roman" w:cs="Times New Roman"/>
          <w:i/>
          <w:sz w:val="28"/>
          <w:szCs w:val="28"/>
          <w:lang w:eastAsia="ru-RU" w:bidi="ru-RU"/>
        </w:rPr>
        <w:t xml:space="preserve"> КПМ "Создание условий для развития массового спорта" </w:t>
      </w:r>
      <w:r w:rsidRPr="00E47AA9">
        <w:rPr>
          <w:rFonts w:ascii="Times New Roman" w:hAnsi="Times New Roman" w:cs="Times New Roman"/>
          <w:sz w:val="28"/>
          <w:szCs w:val="28"/>
          <w:lang w:eastAsia="ru-RU" w:bidi="ru-RU"/>
        </w:rPr>
        <w:t>расходы</w:t>
      </w:r>
      <w:r w:rsidRPr="00E47AA9">
        <w:rPr>
          <w:rFonts w:ascii="Times New Roman" w:hAnsi="Times New Roman" w:cs="Times New Roman"/>
          <w:i/>
          <w:sz w:val="28"/>
          <w:szCs w:val="28"/>
          <w:lang w:eastAsia="ru-RU" w:bidi="ru-RU"/>
        </w:rPr>
        <w:t xml:space="preserve"> </w:t>
      </w:r>
      <w:r w:rsidRPr="00E47AA9">
        <w:rPr>
          <w:rFonts w:ascii="Times New Roman" w:hAnsi="Times New Roman" w:cs="Times New Roman"/>
          <w:sz w:val="28"/>
          <w:szCs w:val="28"/>
          <w:lang w:eastAsia="ru-RU" w:bidi="ru-RU"/>
        </w:rPr>
        <w:t xml:space="preserve">исполнены на 99,93 %, или 1369,87 млн рублей (план </w:t>
      </w:r>
      <w:r w:rsidR="00613EC5" w:rsidRPr="00E47AA9">
        <w:rPr>
          <w:rFonts w:ascii="Times New Roman" w:hAnsi="Times New Roman" w:cs="Times New Roman"/>
          <w:sz w:val="28"/>
          <w:szCs w:val="28"/>
          <w:lang w:eastAsia="ru-RU" w:bidi="ru-RU"/>
        </w:rPr>
        <w:t xml:space="preserve">– </w:t>
      </w:r>
      <w:r w:rsidRPr="00E47AA9">
        <w:rPr>
          <w:rFonts w:ascii="Times New Roman" w:hAnsi="Times New Roman" w:cs="Times New Roman"/>
          <w:sz w:val="28"/>
          <w:szCs w:val="28"/>
          <w:lang w:eastAsia="ru-RU" w:bidi="ru-RU"/>
        </w:rPr>
        <w:t>1370,82 млн рублей), из них:</w:t>
      </w:r>
    </w:p>
    <w:p w14:paraId="4811A65D" w14:textId="77777777" w:rsidR="0091578A" w:rsidRPr="00E47AA9" w:rsidRDefault="0091578A" w:rsidP="0091578A">
      <w:pPr>
        <w:widowControl w:val="0"/>
        <w:tabs>
          <w:tab w:val="left" w:pos="180"/>
        </w:tabs>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в полном объеме:</w:t>
      </w:r>
    </w:p>
    <w:p w14:paraId="68281FDE" w14:textId="77777777" w:rsidR="0091578A" w:rsidRPr="00E47AA9" w:rsidRDefault="0091578A" w:rsidP="0091578A">
      <w:pPr>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 xml:space="preserve">105,32 млн рублей на приобретение (лизинг) автобусов в целях перевозки приморских спортсменов для участия в краевых физкультурных и спортивных мероприятиях </w:t>
      </w:r>
      <w:r w:rsidRPr="00E47AA9">
        <w:rPr>
          <w:rFonts w:ascii="Times New Roman" w:eastAsia="Calibri" w:hAnsi="Times New Roman" w:cs="Times New Roman"/>
          <w:spacing w:val="-4"/>
          <w:sz w:val="28"/>
          <w:szCs w:val="28"/>
          <w:lang w:eastAsia="zh-CN"/>
        </w:rPr>
        <w:t>в рамках заключенного в 2023 году государственного контракта между министерством физической культуры и спорта Приморского края и АО "Газпромбанк Лизинг" (</w:t>
      </w:r>
      <w:r w:rsidRPr="00E47AA9">
        <w:rPr>
          <w:rFonts w:ascii="Times New Roman" w:eastAsia="Calibri" w:hAnsi="Times New Roman" w:cs="Times New Roman"/>
          <w:bCs/>
          <w:spacing w:val="-4"/>
          <w:sz w:val="28"/>
          <w:szCs w:val="28"/>
          <w:lang w:eastAsia="zh-CN"/>
        </w:rPr>
        <w:t>105,16 млн рублей)</w:t>
      </w:r>
      <w:r w:rsidRPr="00E47AA9">
        <w:rPr>
          <w:rFonts w:ascii="Times New Roman" w:eastAsia="Calibri" w:hAnsi="Times New Roman" w:cs="Times New Roman"/>
          <w:b/>
          <w:bCs/>
          <w:spacing w:val="-4"/>
          <w:sz w:val="28"/>
          <w:szCs w:val="28"/>
          <w:lang w:eastAsia="zh-CN"/>
        </w:rPr>
        <w:t xml:space="preserve"> </w:t>
      </w:r>
      <w:r w:rsidRPr="00E47AA9">
        <w:rPr>
          <w:rFonts w:ascii="Times New Roman" w:eastAsia="Calibri" w:hAnsi="Times New Roman" w:cs="Times New Roman"/>
          <w:spacing w:val="-4"/>
          <w:sz w:val="28"/>
          <w:szCs w:val="28"/>
          <w:lang w:eastAsia="zh-CN"/>
        </w:rPr>
        <w:t xml:space="preserve">и на мероприятия по принятию, </w:t>
      </w:r>
      <w:r w:rsidRPr="00E47AA9">
        <w:rPr>
          <w:rFonts w:ascii="Times New Roman" w:eastAsia="Calibri" w:hAnsi="Times New Roman" w:cs="Times New Roman"/>
          <w:spacing w:val="-4"/>
          <w:sz w:val="28"/>
          <w:szCs w:val="28"/>
          <w:lang w:eastAsia="zh-CN"/>
        </w:rPr>
        <w:lastRenderedPageBreak/>
        <w:t>оформлению и страхованию приобретенных в лизинг автобусов (0,</w:t>
      </w:r>
      <w:r w:rsidRPr="00E47AA9">
        <w:rPr>
          <w:rFonts w:ascii="Times New Roman" w:eastAsia="Calibri" w:hAnsi="Times New Roman" w:cs="Times New Roman"/>
          <w:bCs/>
          <w:spacing w:val="-4"/>
          <w:sz w:val="28"/>
          <w:szCs w:val="28"/>
          <w:lang w:eastAsia="zh-CN"/>
        </w:rPr>
        <w:t>16 млн рублей);</w:t>
      </w:r>
    </w:p>
    <w:p w14:paraId="665B6F92" w14:textId="77777777" w:rsidR="0091578A" w:rsidRPr="00E47AA9" w:rsidRDefault="0091578A" w:rsidP="0091578A">
      <w:pPr>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 xml:space="preserve">57,82 млн рублей на субсидии некоммерческим организациям </w:t>
      </w:r>
      <w:r w:rsidR="006D7AC2" w:rsidRPr="00E47AA9">
        <w:rPr>
          <w:rFonts w:ascii="Times New Roman" w:eastAsia="Times New Roman" w:hAnsi="Times New Roman" w:cs="Times New Roman"/>
          <w:bCs/>
          <w:spacing w:val="-4"/>
          <w:sz w:val="28"/>
          <w:szCs w:val="28"/>
          <w:lang w:eastAsia="ru-RU"/>
        </w:rPr>
        <w:t>–</w:t>
      </w:r>
      <w:r w:rsidRPr="00E47AA9">
        <w:rPr>
          <w:rFonts w:ascii="Times New Roman" w:eastAsia="Times New Roman" w:hAnsi="Times New Roman" w:cs="Times New Roman"/>
          <w:bCs/>
          <w:spacing w:val="-4"/>
          <w:sz w:val="28"/>
          <w:szCs w:val="28"/>
          <w:lang w:eastAsia="ru-RU"/>
        </w:rPr>
        <w:t xml:space="preserve"> аккредитованным краевым спортивным федерациям на осуществление уставной деятельности (</w:t>
      </w:r>
      <w:r w:rsidRPr="00E47AA9">
        <w:rPr>
          <w:rFonts w:ascii="Times New Roman" w:eastAsia="Calibri" w:hAnsi="Times New Roman" w:cs="Times New Roman"/>
          <w:spacing w:val="-4"/>
          <w:sz w:val="28"/>
          <w:szCs w:val="28"/>
          <w:lang w:eastAsia="zh-CN"/>
        </w:rPr>
        <w:t>средства распределены 48 спортивным федерациям);</w:t>
      </w:r>
    </w:p>
    <w:p w14:paraId="5CD431C4" w14:textId="77777777" w:rsidR="0091578A" w:rsidRPr="00E47AA9" w:rsidRDefault="006D7AC2" w:rsidP="0091578A">
      <w:pPr>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28,10 млн рублей на субсидию</w:t>
      </w:r>
      <w:r w:rsidR="0091578A" w:rsidRPr="00E47AA9">
        <w:rPr>
          <w:rFonts w:ascii="Times New Roman" w:eastAsia="Times New Roman" w:hAnsi="Times New Roman" w:cs="Times New Roman"/>
          <w:bCs/>
          <w:spacing w:val="-4"/>
          <w:sz w:val="28"/>
          <w:szCs w:val="28"/>
          <w:lang w:eastAsia="ru-RU"/>
        </w:rPr>
        <w:t xml:space="preserve"> автономной некоммерческой организации развития спорта "ПРИМОРСКАЯ КОМАНДА" в связи с проведением </w:t>
      </w:r>
      <w:r w:rsidR="0091578A" w:rsidRPr="00E47AA9">
        <w:rPr>
          <w:rFonts w:ascii="Times New Roman" w:eastAsia="Times New Roman" w:hAnsi="Times New Roman" w:cs="Times New Roman"/>
          <w:bCs/>
          <w:spacing w:val="-4"/>
          <w:sz w:val="28"/>
          <w:szCs w:val="28"/>
          <w:lang w:eastAsia="ru-RU"/>
        </w:rPr>
        <w:br/>
        <w:t>I международных молодежных студенческих летних игр;</w:t>
      </w:r>
    </w:p>
    <w:p w14:paraId="53862476" w14:textId="77777777" w:rsidR="0091578A" w:rsidRPr="00E47AA9" w:rsidRDefault="0091578A" w:rsidP="0091578A">
      <w:pPr>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 xml:space="preserve">на гранты в форме субсидий: </w:t>
      </w:r>
    </w:p>
    <w:p w14:paraId="5C31B129" w14:textId="77777777" w:rsidR="0091578A" w:rsidRPr="00E47AA9" w:rsidRDefault="0091578A" w:rsidP="0091578A">
      <w:pPr>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 xml:space="preserve">некоммерческим организациям: </w:t>
      </w:r>
    </w:p>
    <w:p w14:paraId="79665A1E" w14:textId="77777777" w:rsidR="0091578A" w:rsidRPr="00E47AA9" w:rsidRDefault="0091578A" w:rsidP="0091578A">
      <w:pPr>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21,00 млн рублей, реализующим проекты в сфере физической культуры и массового спорта. Приказом министерства от 18.03.2024 № пр. 42-224 "Об итогах конкурсного отбора на предоставление грантов в форме субсидии некоммерческим организациям, реализующим проекты в сфере физической культуры и массового спорта"</w:t>
      </w:r>
      <w:r w:rsidR="006D7AC2" w:rsidRPr="00E47AA9">
        <w:rPr>
          <w:rFonts w:ascii="Times New Roman" w:eastAsia="Times New Roman" w:hAnsi="Times New Roman" w:cs="Times New Roman"/>
          <w:bCs/>
          <w:spacing w:val="-4"/>
          <w:sz w:val="28"/>
          <w:szCs w:val="28"/>
          <w:lang w:eastAsia="ru-RU"/>
        </w:rPr>
        <w:t>,</w:t>
      </w:r>
      <w:r w:rsidRPr="00E47AA9">
        <w:rPr>
          <w:rFonts w:ascii="Times New Roman" w:eastAsia="Times New Roman" w:hAnsi="Times New Roman" w:cs="Times New Roman"/>
          <w:bCs/>
          <w:spacing w:val="-4"/>
          <w:sz w:val="28"/>
          <w:szCs w:val="28"/>
          <w:lang w:eastAsia="ru-RU"/>
        </w:rPr>
        <w:t xml:space="preserve"> признаны победителями в номинациях "Активное долголетие" 3 организации, "Физкультура и спорт для всех" </w:t>
      </w:r>
      <w:r w:rsidR="006D7AC2" w:rsidRPr="00E47AA9">
        <w:rPr>
          <w:rFonts w:ascii="Times New Roman" w:eastAsia="Times New Roman" w:hAnsi="Times New Roman" w:cs="Times New Roman"/>
          <w:bCs/>
          <w:spacing w:val="-4"/>
          <w:sz w:val="28"/>
          <w:szCs w:val="28"/>
          <w:lang w:eastAsia="ru-RU"/>
        </w:rPr>
        <w:t>–</w:t>
      </w:r>
      <w:r w:rsidRPr="00E47AA9">
        <w:rPr>
          <w:rFonts w:ascii="Times New Roman" w:eastAsia="Times New Roman" w:hAnsi="Times New Roman" w:cs="Times New Roman"/>
          <w:bCs/>
          <w:spacing w:val="-4"/>
          <w:sz w:val="28"/>
          <w:szCs w:val="28"/>
          <w:lang w:eastAsia="ru-RU"/>
        </w:rPr>
        <w:t xml:space="preserve"> 10 организаций; </w:t>
      </w:r>
    </w:p>
    <w:p w14:paraId="669C2423" w14:textId="77777777" w:rsidR="0091578A" w:rsidRPr="00E47AA9" w:rsidRDefault="0091578A" w:rsidP="0091578A">
      <w:pPr>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 xml:space="preserve">32,18 млн рублей </w:t>
      </w:r>
      <w:r w:rsidR="006D7AC2" w:rsidRPr="00E47AA9">
        <w:rPr>
          <w:rFonts w:ascii="Times New Roman" w:eastAsia="Times New Roman" w:hAnsi="Times New Roman" w:cs="Times New Roman"/>
          <w:bCs/>
          <w:spacing w:val="-4"/>
          <w:sz w:val="28"/>
          <w:szCs w:val="28"/>
          <w:lang w:eastAsia="ru-RU"/>
        </w:rPr>
        <w:t>–</w:t>
      </w:r>
      <w:r w:rsidRPr="00E47AA9">
        <w:rPr>
          <w:rFonts w:ascii="Times New Roman" w:eastAsia="Times New Roman" w:hAnsi="Times New Roman" w:cs="Times New Roman"/>
          <w:bCs/>
          <w:spacing w:val="-4"/>
          <w:sz w:val="28"/>
          <w:szCs w:val="28"/>
          <w:lang w:eastAsia="ru-RU"/>
        </w:rPr>
        <w:t xml:space="preserve"> автономной некоммерческой организации содействия и развития технического спорта "Приморье - мотокросс"</w:t>
      </w:r>
      <w:r w:rsidR="006D7AC2" w:rsidRPr="00E47AA9">
        <w:rPr>
          <w:rFonts w:ascii="Times New Roman" w:eastAsia="Times New Roman" w:hAnsi="Times New Roman" w:cs="Times New Roman"/>
          <w:bCs/>
          <w:spacing w:val="-4"/>
          <w:sz w:val="28"/>
          <w:szCs w:val="28"/>
          <w:lang w:eastAsia="ru-RU"/>
        </w:rPr>
        <w:t>;</w:t>
      </w:r>
      <w:r w:rsidRPr="00E47AA9">
        <w:rPr>
          <w:rFonts w:ascii="Times New Roman" w:eastAsia="Times New Roman" w:hAnsi="Times New Roman" w:cs="Times New Roman"/>
          <w:bCs/>
          <w:spacing w:val="-4"/>
          <w:sz w:val="28"/>
          <w:szCs w:val="28"/>
          <w:lang w:eastAsia="ru-RU"/>
        </w:rPr>
        <w:t xml:space="preserve"> </w:t>
      </w:r>
    </w:p>
    <w:p w14:paraId="0F233AA5" w14:textId="02FD6B1D" w:rsidR="0091578A" w:rsidRPr="00E47AA9" w:rsidRDefault="0091578A" w:rsidP="0091578A">
      <w:pPr>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 xml:space="preserve">1,50 млн рублей </w:t>
      </w:r>
      <w:r w:rsidR="006D7AC2" w:rsidRPr="00E47AA9">
        <w:rPr>
          <w:rFonts w:ascii="Times New Roman" w:eastAsia="Times New Roman" w:hAnsi="Times New Roman" w:cs="Times New Roman"/>
          <w:bCs/>
          <w:spacing w:val="-4"/>
          <w:sz w:val="28"/>
          <w:szCs w:val="28"/>
          <w:lang w:eastAsia="ru-RU"/>
        </w:rPr>
        <w:t>–</w:t>
      </w:r>
      <w:r w:rsidRPr="00E47AA9">
        <w:rPr>
          <w:rFonts w:ascii="Times New Roman" w:eastAsia="Times New Roman" w:hAnsi="Times New Roman" w:cs="Times New Roman"/>
          <w:bCs/>
          <w:spacing w:val="-4"/>
          <w:sz w:val="28"/>
          <w:szCs w:val="28"/>
          <w:lang w:eastAsia="ru-RU"/>
        </w:rPr>
        <w:t xml:space="preserve"> автономной некоммерческой организации развития спорта "ПРИМОРСКАЯ КОМАНДА" для создания условий для занятия физической культурой и спортом участников специальной военной операции на территории федерального государственного казенного учреждения "1477</w:t>
      </w:r>
      <w:r w:rsidR="00613EC5" w:rsidRPr="00E47AA9">
        <w:rPr>
          <w:rFonts w:ascii="Times New Roman" w:eastAsia="Times New Roman" w:hAnsi="Times New Roman" w:cs="Times New Roman"/>
          <w:bCs/>
          <w:spacing w:val="-4"/>
          <w:sz w:val="28"/>
          <w:szCs w:val="28"/>
          <w:lang w:eastAsia="ru-RU"/>
        </w:rPr>
        <w:t> </w:t>
      </w:r>
      <w:r w:rsidRPr="00E47AA9">
        <w:rPr>
          <w:rFonts w:ascii="Times New Roman" w:eastAsia="Times New Roman" w:hAnsi="Times New Roman" w:cs="Times New Roman"/>
          <w:bCs/>
          <w:spacing w:val="-4"/>
          <w:sz w:val="28"/>
          <w:szCs w:val="28"/>
          <w:lang w:eastAsia="ru-RU"/>
        </w:rPr>
        <w:t>Военно-морской клинический госпиталь" Министерства обороны Российской Федерации.</w:t>
      </w:r>
    </w:p>
    <w:p w14:paraId="558D7CF2" w14:textId="77777777" w:rsidR="0091578A" w:rsidRPr="00E47AA9" w:rsidRDefault="0091578A" w:rsidP="0091578A">
      <w:pPr>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Кроме того предоставлены в полном объеме гранты: общественной организации "Федерация бокса Приморского края" (13,12 млн рублей), региональной общественной организации "Федерация лыжных гонок Приморского края" (15,00 млн рублей), региональной общественной организации "Федерация триатлона Приморского края" (10,00 млн рублей), региональной общественной организации "Федерация парашютного спорта Приморского края" (17,00 млн рублей), Приморской региональной общественно-государственной организации Всероссийского физкультурно-спортивного общества "Динамо" (35,00 млн рублей), общественной организации ''Федерация спортивной гимнастики Приморского края'' (7,47 млн рублей), региональной спортивной общественной организации "Федерация самбо Приморского края" (5,00 млн рублей), Региональной общественной организации "Приморская краевая федерация скалолазания" (5,00 млн рублей), общественной организации "Федерация гребли на байдарках и каноэ Приморского края" (4,45 млн рублей).</w:t>
      </w:r>
    </w:p>
    <w:p w14:paraId="2FFF21D0" w14:textId="77777777" w:rsidR="0091578A" w:rsidRPr="00E47AA9" w:rsidRDefault="0091578A" w:rsidP="0091578A">
      <w:pPr>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В полном объеме направлены расходы на обеспечение деятельности (оказание услуг, выполнение работ) краевых государственных учреждений 607,86 млн рублей, из них:</w:t>
      </w:r>
    </w:p>
    <w:p w14:paraId="69C0F07E" w14:textId="77777777" w:rsidR="0091578A" w:rsidRPr="00E47AA9" w:rsidRDefault="0091578A" w:rsidP="0091578A">
      <w:pPr>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283,52 млн рублей</w:t>
      </w:r>
      <w:r w:rsidRPr="00E47AA9">
        <w:rPr>
          <w:rFonts w:ascii="Times New Roman" w:hAnsi="Times New Roman" w:cs="Times New Roman"/>
          <w:spacing w:val="-4"/>
          <w:sz w:val="28"/>
          <w:szCs w:val="28"/>
          <w:lang w:eastAsia="zh-CN"/>
        </w:rPr>
        <w:t xml:space="preserve"> </w:t>
      </w:r>
      <w:r w:rsidR="006D7AC2" w:rsidRPr="00E47AA9">
        <w:rPr>
          <w:rFonts w:ascii="Times New Roman" w:hAnsi="Times New Roman" w:cs="Times New Roman"/>
          <w:spacing w:val="-4"/>
          <w:sz w:val="28"/>
          <w:szCs w:val="28"/>
          <w:lang w:eastAsia="zh-CN"/>
        </w:rPr>
        <w:t>–</w:t>
      </w:r>
      <w:r w:rsidRPr="00E47AA9">
        <w:rPr>
          <w:rFonts w:ascii="Times New Roman" w:hAnsi="Times New Roman" w:cs="Times New Roman"/>
          <w:spacing w:val="-4"/>
          <w:sz w:val="28"/>
          <w:szCs w:val="28"/>
          <w:lang w:eastAsia="zh-CN"/>
        </w:rPr>
        <w:t xml:space="preserve"> </w:t>
      </w:r>
      <w:r w:rsidRPr="00E47AA9">
        <w:rPr>
          <w:rFonts w:ascii="Times New Roman" w:eastAsia="Times New Roman" w:hAnsi="Times New Roman" w:cs="Times New Roman"/>
          <w:bCs/>
          <w:spacing w:val="-4"/>
          <w:sz w:val="28"/>
          <w:szCs w:val="28"/>
          <w:lang w:eastAsia="ru-RU"/>
        </w:rPr>
        <w:t xml:space="preserve">на обеспечение доступа населения к объектам спорта, находящимся в собственности Приморского края </w:t>
      </w:r>
      <w:r w:rsidRPr="00E47AA9">
        <w:rPr>
          <w:rFonts w:ascii="Times New Roman" w:hAnsi="Times New Roman" w:cs="Times New Roman"/>
          <w:spacing w:val="-4"/>
          <w:sz w:val="28"/>
          <w:szCs w:val="28"/>
          <w:lang w:eastAsia="zh-CN"/>
        </w:rPr>
        <w:t>ГАУ ДО ПК "</w:t>
      </w:r>
      <w:r w:rsidRPr="00E47AA9">
        <w:rPr>
          <w:rFonts w:ascii="Times New Roman" w:hAnsi="Times New Roman" w:cs="Times New Roman"/>
          <w:sz w:val="28"/>
          <w:szCs w:val="28"/>
          <w:shd w:val="clear" w:color="auto" w:fill="FFFFFF"/>
        </w:rPr>
        <w:t>Краевая спортивная школа олимпийского резерва</w:t>
      </w:r>
      <w:r w:rsidRPr="00E47AA9">
        <w:rPr>
          <w:rFonts w:ascii="Times New Roman" w:hAnsi="Times New Roman" w:cs="Times New Roman"/>
          <w:spacing w:val="-4"/>
          <w:sz w:val="28"/>
          <w:szCs w:val="28"/>
          <w:lang w:eastAsia="zh-CN"/>
        </w:rPr>
        <w:t xml:space="preserve">" (далее </w:t>
      </w:r>
      <w:r w:rsidR="006D7AC2" w:rsidRPr="00E47AA9">
        <w:rPr>
          <w:rFonts w:ascii="Times New Roman" w:hAnsi="Times New Roman" w:cs="Times New Roman"/>
          <w:spacing w:val="-4"/>
          <w:sz w:val="28"/>
          <w:szCs w:val="28"/>
          <w:lang w:eastAsia="zh-CN"/>
        </w:rPr>
        <w:t>–</w:t>
      </w:r>
      <w:r w:rsidRPr="00E47AA9">
        <w:rPr>
          <w:rFonts w:ascii="Times New Roman" w:hAnsi="Times New Roman" w:cs="Times New Roman"/>
          <w:spacing w:val="-4"/>
          <w:sz w:val="28"/>
          <w:szCs w:val="28"/>
          <w:lang w:eastAsia="zh-CN"/>
        </w:rPr>
        <w:t xml:space="preserve"> ГАУ ДО ПК "КСШОР") и </w:t>
      </w:r>
      <w:r w:rsidRPr="00E47AA9">
        <w:rPr>
          <w:rFonts w:ascii="Times New Roman" w:eastAsia="Times New Roman" w:hAnsi="Times New Roman" w:cs="Times New Roman"/>
          <w:spacing w:val="-4"/>
          <w:sz w:val="28"/>
          <w:szCs w:val="28"/>
          <w:lang w:eastAsia="ru-RU"/>
        </w:rPr>
        <w:lastRenderedPageBreak/>
        <w:t xml:space="preserve">КГАУ "Центр спортивной подготовки Приморского края" (далее </w:t>
      </w:r>
      <w:r w:rsidR="006D7AC2" w:rsidRPr="00E47AA9">
        <w:rPr>
          <w:rFonts w:ascii="Times New Roman" w:eastAsia="Times New Roman" w:hAnsi="Times New Roman" w:cs="Times New Roman"/>
          <w:spacing w:val="-4"/>
          <w:sz w:val="28"/>
          <w:szCs w:val="28"/>
          <w:lang w:eastAsia="ru-RU"/>
        </w:rPr>
        <w:t>–</w:t>
      </w:r>
      <w:r w:rsidRPr="00E47AA9">
        <w:rPr>
          <w:rFonts w:ascii="Times New Roman" w:eastAsia="Times New Roman" w:hAnsi="Times New Roman" w:cs="Times New Roman"/>
          <w:spacing w:val="-4"/>
          <w:sz w:val="28"/>
          <w:szCs w:val="28"/>
          <w:lang w:eastAsia="ru-RU"/>
        </w:rPr>
        <w:t xml:space="preserve"> КГАУ </w:t>
      </w:r>
      <w:r w:rsidRPr="00E47AA9">
        <w:rPr>
          <w:rFonts w:ascii="Times New Roman" w:hAnsi="Times New Roman" w:cs="Times New Roman"/>
          <w:spacing w:val="-4"/>
          <w:sz w:val="28"/>
          <w:szCs w:val="28"/>
          <w:lang w:eastAsia="zh-CN"/>
        </w:rPr>
        <w:t>"ЦСП ПК") обеспечили доступ населения края к семи объектам спорта краевой собственности</w:t>
      </w:r>
      <w:r w:rsidRPr="00E47AA9">
        <w:rPr>
          <w:rFonts w:ascii="Times New Roman" w:eastAsia="Times New Roman" w:hAnsi="Times New Roman" w:cs="Times New Roman"/>
          <w:bCs/>
          <w:spacing w:val="-4"/>
          <w:sz w:val="28"/>
          <w:szCs w:val="28"/>
          <w:lang w:eastAsia="ru-RU"/>
        </w:rPr>
        <w:t>;</w:t>
      </w:r>
    </w:p>
    <w:p w14:paraId="29D6FA00" w14:textId="77777777" w:rsidR="0091578A" w:rsidRPr="00E47AA9" w:rsidRDefault="0091578A" w:rsidP="0091578A">
      <w:pPr>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 xml:space="preserve">232,93 млн рублей – на организацию и проведение официальных межмуниципальных и краевых физкультурных и спортивных мероприятий, участие в организации и проведении межрегиональных, всероссийских и международных физкультурных и спортивных мероприятий на территории Приморского края; </w:t>
      </w:r>
    </w:p>
    <w:p w14:paraId="37419EE1" w14:textId="5ACAD9E4" w:rsidR="0091578A" w:rsidRPr="00E47AA9" w:rsidRDefault="0091578A" w:rsidP="0091578A">
      <w:pPr>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 xml:space="preserve">54,02 млн рублей </w:t>
      </w:r>
      <w:r w:rsidR="006D7AC2" w:rsidRPr="00E47AA9">
        <w:rPr>
          <w:rFonts w:ascii="Times New Roman" w:eastAsia="Times New Roman" w:hAnsi="Times New Roman" w:cs="Times New Roman"/>
          <w:bCs/>
          <w:spacing w:val="-4"/>
          <w:sz w:val="28"/>
          <w:szCs w:val="28"/>
          <w:lang w:eastAsia="ru-RU"/>
        </w:rPr>
        <w:t>–</w:t>
      </w:r>
      <w:r w:rsidRPr="00E47AA9">
        <w:rPr>
          <w:rFonts w:ascii="Times New Roman" w:eastAsia="Times New Roman" w:hAnsi="Times New Roman" w:cs="Times New Roman"/>
          <w:bCs/>
          <w:spacing w:val="-4"/>
          <w:sz w:val="28"/>
          <w:szCs w:val="28"/>
          <w:lang w:eastAsia="ru-RU"/>
        </w:rPr>
        <w:t xml:space="preserve"> на предоставление краевыми государственными автономными учреждениями спортивной направленности государственных услуг (работ) по организации занятий физической культурой и спортом лиц</w:t>
      </w:r>
      <w:r w:rsidR="00CB2E84" w:rsidRPr="00E47AA9">
        <w:rPr>
          <w:rFonts w:ascii="Times New Roman" w:eastAsia="Times New Roman" w:hAnsi="Times New Roman" w:cs="Times New Roman"/>
          <w:bCs/>
          <w:spacing w:val="-4"/>
          <w:sz w:val="28"/>
          <w:szCs w:val="28"/>
          <w:lang w:eastAsia="ru-RU"/>
        </w:rPr>
        <w:t>ам</w:t>
      </w:r>
      <w:r w:rsidRPr="00E47AA9">
        <w:rPr>
          <w:rFonts w:ascii="Times New Roman" w:eastAsia="Times New Roman" w:hAnsi="Times New Roman" w:cs="Times New Roman"/>
          <w:bCs/>
          <w:spacing w:val="-4"/>
          <w:sz w:val="28"/>
          <w:szCs w:val="28"/>
          <w:lang w:eastAsia="ru-RU"/>
        </w:rPr>
        <w:t xml:space="preserve"> с ограниченными возможностями здоровья. </w:t>
      </w:r>
      <w:r w:rsidRPr="00E47AA9">
        <w:rPr>
          <w:rFonts w:ascii="Times New Roman" w:hAnsi="Times New Roman" w:cs="Times New Roman"/>
          <w:sz w:val="28"/>
          <w:szCs w:val="28"/>
        </w:rPr>
        <w:t xml:space="preserve">Согласно </w:t>
      </w:r>
      <w:r w:rsidR="008D1A46" w:rsidRPr="00E47AA9">
        <w:rPr>
          <w:rFonts w:ascii="Times New Roman" w:hAnsi="Times New Roman" w:cs="Times New Roman"/>
          <w:sz w:val="28"/>
          <w:szCs w:val="28"/>
        </w:rPr>
        <w:t xml:space="preserve">отчету о </w:t>
      </w:r>
      <w:r w:rsidRPr="00E47AA9">
        <w:rPr>
          <w:rFonts w:ascii="Times New Roman" w:hAnsi="Times New Roman" w:cs="Times New Roman"/>
          <w:sz w:val="28"/>
          <w:szCs w:val="28"/>
        </w:rPr>
        <w:t>выполнени</w:t>
      </w:r>
      <w:r w:rsidR="008D1A46" w:rsidRPr="00E47AA9">
        <w:rPr>
          <w:rFonts w:ascii="Times New Roman" w:hAnsi="Times New Roman" w:cs="Times New Roman"/>
          <w:sz w:val="28"/>
          <w:szCs w:val="28"/>
        </w:rPr>
        <w:t>и</w:t>
      </w:r>
      <w:r w:rsidRPr="00E47AA9">
        <w:rPr>
          <w:rFonts w:ascii="Times New Roman" w:hAnsi="Times New Roman" w:cs="Times New Roman"/>
          <w:sz w:val="28"/>
          <w:szCs w:val="28"/>
        </w:rPr>
        <w:t xml:space="preserve"> государств</w:t>
      </w:r>
      <w:r w:rsidR="008D1A46" w:rsidRPr="00E47AA9">
        <w:rPr>
          <w:rFonts w:ascii="Times New Roman" w:hAnsi="Times New Roman" w:cs="Times New Roman"/>
          <w:sz w:val="28"/>
          <w:szCs w:val="28"/>
        </w:rPr>
        <w:t>енной программы,</w:t>
      </w:r>
      <w:r w:rsidRPr="00E47AA9">
        <w:rPr>
          <w:rFonts w:ascii="Times New Roman" w:hAnsi="Times New Roman" w:cs="Times New Roman"/>
          <w:sz w:val="28"/>
          <w:szCs w:val="28"/>
        </w:rPr>
        <w:t xml:space="preserve"> КГАУ "Центр адаптивной физической культуры и адаптивного спорта Приморского края" (далее – КГАУ "ЦАС") в </w:t>
      </w:r>
      <w:r w:rsidRPr="00E47AA9">
        <w:rPr>
          <w:rFonts w:ascii="Times New Roman" w:hAnsi="Times New Roman" w:cs="Times New Roman"/>
          <w:sz w:val="28"/>
          <w:szCs w:val="28"/>
        </w:rPr>
        <w:br/>
        <w:t>21 муниципалитет</w:t>
      </w:r>
      <w:r w:rsidR="006D7AC2" w:rsidRPr="00E47AA9">
        <w:rPr>
          <w:rFonts w:ascii="Times New Roman" w:hAnsi="Times New Roman" w:cs="Times New Roman"/>
          <w:sz w:val="28"/>
          <w:szCs w:val="28"/>
        </w:rPr>
        <w:t>е</w:t>
      </w:r>
      <w:r w:rsidRPr="00E47AA9">
        <w:rPr>
          <w:rFonts w:ascii="Times New Roman" w:hAnsi="Times New Roman" w:cs="Times New Roman"/>
          <w:sz w:val="28"/>
          <w:szCs w:val="28"/>
        </w:rPr>
        <w:t xml:space="preserve"> Приморья было принято в группы физкультурно-оздоровительных программ </w:t>
      </w:r>
      <w:r w:rsidRPr="00E47AA9">
        <w:rPr>
          <w:rFonts w:ascii="Times New Roman" w:hAnsi="Times New Roman" w:cs="Times New Roman"/>
          <w:bCs/>
          <w:sz w:val="28"/>
          <w:szCs w:val="28"/>
        </w:rPr>
        <w:t>1741</w:t>
      </w:r>
      <w:r w:rsidRPr="00E47AA9">
        <w:rPr>
          <w:rFonts w:ascii="Times New Roman" w:hAnsi="Times New Roman" w:cs="Times New Roman"/>
          <w:sz w:val="28"/>
          <w:szCs w:val="28"/>
        </w:rPr>
        <w:t xml:space="preserve"> человека, из них 586 детей</w:t>
      </w:r>
      <w:r w:rsidRPr="00E47AA9">
        <w:rPr>
          <w:rFonts w:ascii="Times New Roman" w:eastAsia="Times New Roman" w:hAnsi="Times New Roman" w:cs="Times New Roman"/>
          <w:bCs/>
          <w:spacing w:val="-4"/>
          <w:sz w:val="28"/>
          <w:szCs w:val="28"/>
          <w:lang w:eastAsia="ru-RU"/>
        </w:rPr>
        <w:t>;</w:t>
      </w:r>
    </w:p>
    <w:p w14:paraId="6B78DF26" w14:textId="0A2F2CF3" w:rsidR="0091578A" w:rsidRPr="00E47AA9" w:rsidRDefault="0091578A" w:rsidP="0091578A">
      <w:pPr>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 xml:space="preserve">15,62 млн рублей – на предоставление краевыми государственными автономными учреждениями спортивной направленности государственных услуг (работ) по организации и проведению физкультурных и спортивных мероприятий в рамках Всероссийского физкультурно-спортивного комплекса "Готов к труду и обороне" (ГТО). </w:t>
      </w:r>
      <w:r w:rsidRPr="00E47AA9">
        <w:rPr>
          <w:rFonts w:ascii="Times New Roman" w:eastAsia="Calibri" w:hAnsi="Times New Roman" w:cs="Times New Roman"/>
          <w:spacing w:val="-4"/>
          <w:sz w:val="28"/>
          <w:szCs w:val="28"/>
          <w:lang w:eastAsia="zh-CN"/>
        </w:rPr>
        <w:t xml:space="preserve">В 2024 году в Приморском крае приняли участие в выполнении нормативов комплекса ГТО </w:t>
      </w:r>
      <w:r w:rsidR="00C303BD" w:rsidRPr="00E47AA9">
        <w:rPr>
          <w:rFonts w:ascii="Times New Roman" w:eastAsia="Calibri" w:hAnsi="Times New Roman" w:cs="Times New Roman"/>
          <w:bCs/>
          <w:spacing w:val="-4"/>
          <w:sz w:val="28"/>
          <w:szCs w:val="28"/>
          <w:lang w:eastAsia="zh-CN"/>
        </w:rPr>
        <w:t>32359</w:t>
      </w:r>
      <w:r w:rsidRPr="00E47AA9">
        <w:rPr>
          <w:rFonts w:ascii="Times New Roman" w:eastAsia="Calibri" w:hAnsi="Times New Roman" w:cs="Times New Roman"/>
          <w:spacing w:val="-4"/>
          <w:sz w:val="28"/>
          <w:szCs w:val="28"/>
          <w:lang w:eastAsia="zh-CN"/>
        </w:rPr>
        <w:t xml:space="preserve"> человек, из которых </w:t>
      </w:r>
      <w:r w:rsidR="00C303BD" w:rsidRPr="00E47AA9">
        <w:rPr>
          <w:rFonts w:ascii="Times New Roman" w:eastAsia="Calibri" w:hAnsi="Times New Roman" w:cs="Times New Roman"/>
          <w:bCs/>
          <w:spacing w:val="-4"/>
          <w:sz w:val="28"/>
          <w:szCs w:val="28"/>
          <w:lang w:eastAsia="zh-CN"/>
        </w:rPr>
        <w:t>16960</w:t>
      </w:r>
      <w:r w:rsidRPr="00E47AA9">
        <w:rPr>
          <w:rFonts w:ascii="Times New Roman" w:eastAsia="Calibri" w:hAnsi="Times New Roman" w:cs="Times New Roman"/>
          <w:spacing w:val="-4"/>
          <w:sz w:val="28"/>
          <w:szCs w:val="28"/>
          <w:lang w:eastAsia="zh-CN"/>
        </w:rPr>
        <w:t xml:space="preserve"> человек выполнили нормативы на знак отличия ГТО, что составляет </w:t>
      </w:r>
      <w:r w:rsidR="00C303BD" w:rsidRPr="00E47AA9">
        <w:rPr>
          <w:rFonts w:ascii="Times New Roman" w:eastAsia="Calibri" w:hAnsi="Times New Roman" w:cs="Times New Roman"/>
          <w:bCs/>
          <w:spacing w:val="-4"/>
          <w:sz w:val="28"/>
          <w:szCs w:val="28"/>
          <w:lang w:eastAsia="zh-CN"/>
        </w:rPr>
        <w:t>52,41</w:t>
      </w:r>
      <w:r w:rsidRPr="00E47AA9">
        <w:rPr>
          <w:rFonts w:ascii="Times New Roman" w:eastAsia="Calibri" w:hAnsi="Times New Roman" w:cs="Times New Roman"/>
          <w:bCs/>
          <w:spacing w:val="-4"/>
          <w:sz w:val="28"/>
          <w:szCs w:val="28"/>
          <w:lang w:eastAsia="zh-CN"/>
        </w:rPr>
        <w:t xml:space="preserve"> %</w:t>
      </w:r>
      <w:r w:rsidRPr="00E47AA9">
        <w:rPr>
          <w:rFonts w:ascii="Times New Roman" w:eastAsia="Calibri" w:hAnsi="Times New Roman" w:cs="Times New Roman"/>
          <w:spacing w:val="-4"/>
          <w:sz w:val="28"/>
          <w:szCs w:val="28"/>
          <w:lang w:eastAsia="zh-CN"/>
        </w:rPr>
        <w:t xml:space="preserve"> от количества принявших участие.</w:t>
      </w:r>
    </w:p>
    <w:p w14:paraId="1715A49A" w14:textId="426C4CE0" w:rsidR="0091578A" w:rsidRPr="00E47AA9" w:rsidRDefault="0091578A" w:rsidP="0091578A">
      <w:pPr>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 xml:space="preserve">На уровне 99,98 %, или 330,66 млн рублей (план </w:t>
      </w:r>
      <w:r w:rsidR="00576C74" w:rsidRPr="00E47AA9">
        <w:rPr>
          <w:rFonts w:ascii="Times New Roman" w:eastAsia="Times New Roman" w:hAnsi="Times New Roman" w:cs="Times New Roman"/>
          <w:bCs/>
          <w:spacing w:val="-4"/>
          <w:sz w:val="28"/>
          <w:szCs w:val="28"/>
          <w:lang w:eastAsia="ru-RU"/>
        </w:rPr>
        <w:t xml:space="preserve">– </w:t>
      </w:r>
      <w:r w:rsidRPr="00E47AA9">
        <w:rPr>
          <w:rFonts w:ascii="Times New Roman" w:eastAsia="Times New Roman" w:hAnsi="Times New Roman" w:cs="Times New Roman"/>
          <w:bCs/>
          <w:spacing w:val="-4"/>
          <w:sz w:val="28"/>
          <w:szCs w:val="28"/>
          <w:lang w:eastAsia="ru-RU"/>
        </w:rPr>
        <w:t>330,69 млн рублей)</w:t>
      </w:r>
      <w:r w:rsidR="006D7AC2" w:rsidRPr="00E47AA9">
        <w:rPr>
          <w:rFonts w:ascii="Times New Roman" w:eastAsia="Times New Roman" w:hAnsi="Times New Roman" w:cs="Times New Roman"/>
          <w:bCs/>
          <w:spacing w:val="-4"/>
          <w:sz w:val="28"/>
          <w:szCs w:val="28"/>
          <w:lang w:eastAsia="ru-RU"/>
        </w:rPr>
        <w:t>,</w:t>
      </w:r>
      <w:r w:rsidRPr="00E47AA9">
        <w:rPr>
          <w:rFonts w:ascii="Times New Roman" w:eastAsia="Times New Roman" w:hAnsi="Times New Roman" w:cs="Times New Roman"/>
          <w:bCs/>
          <w:spacing w:val="-4"/>
          <w:sz w:val="28"/>
          <w:szCs w:val="28"/>
          <w:lang w:eastAsia="ru-RU"/>
        </w:rPr>
        <w:t xml:space="preserve"> направлены субсидии краевым государственным бюджетным и автономным учреждениям на иные цели, из них: на организацию и проведение спортивных мероприятий в рамках проведения Восточного Экономического форума (23,3 млн рублей); на подготовку и проведение I зимних международных спортивных игр "Дети Приморья" </w:t>
      </w:r>
      <w:r w:rsidRPr="00E47AA9">
        <w:rPr>
          <w:rFonts w:ascii="Times New Roman" w:hAnsi="Times New Roman" w:cs="Times New Roman"/>
          <w:spacing w:val="-4"/>
          <w:sz w:val="28"/>
          <w:szCs w:val="28"/>
          <w:lang w:eastAsia="zh-CN"/>
        </w:rPr>
        <w:t xml:space="preserve">КГАУ "ЦСП ПК" </w:t>
      </w:r>
      <w:r w:rsidRPr="00E47AA9">
        <w:rPr>
          <w:rFonts w:ascii="Times New Roman" w:eastAsia="Times New Roman" w:hAnsi="Times New Roman" w:cs="Times New Roman"/>
          <w:bCs/>
          <w:spacing w:val="-4"/>
          <w:sz w:val="28"/>
          <w:szCs w:val="28"/>
          <w:lang w:eastAsia="ru-RU"/>
        </w:rPr>
        <w:t>– 187,78 млн рублей</w:t>
      </w:r>
      <w:r w:rsidRPr="00E47AA9">
        <w:rPr>
          <w:rFonts w:ascii="Times New Roman" w:eastAsia="Times New Roman" w:hAnsi="Times New Roman" w:cs="Times New Roman"/>
          <w:bCs/>
          <w:spacing w:val="-4"/>
          <w:sz w:val="28"/>
          <w:szCs w:val="28"/>
          <w:vertAlign w:val="superscript"/>
          <w:lang w:eastAsia="ru-RU"/>
        </w:rPr>
        <w:footnoteReference w:id="71"/>
      </w:r>
      <w:r w:rsidRPr="00E47AA9">
        <w:rPr>
          <w:rFonts w:ascii="Times New Roman" w:eastAsia="Times New Roman" w:hAnsi="Times New Roman" w:cs="Times New Roman"/>
          <w:bCs/>
          <w:spacing w:val="-4"/>
          <w:sz w:val="28"/>
          <w:szCs w:val="28"/>
          <w:lang w:eastAsia="ru-RU"/>
        </w:rPr>
        <w:t>; на организацию и проведение I молодежных студенческих летних игр (76,41 млн рублей).</w:t>
      </w:r>
    </w:p>
    <w:p w14:paraId="34585BB9" w14:textId="77777777" w:rsidR="0091578A" w:rsidRPr="00E47AA9" w:rsidRDefault="0091578A" w:rsidP="0091578A">
      <w:pPr>
        <w:spacing w:after="0" w:line="240" w:lineRule="auto"/>
        <w:ind w:firstLine="709"/>
        <w:jc w:val="both"/>
        <w:rPr>
          <w:rFonts w:ascii="Times New Roman" w:eastAsia="Times New Roman" w:hAnsi="Times New Roman" w:cs="Times New Roman"/>
          <w:bCs/>
          <w:spacing w:val="-4"/>
          <w:sz w:val="28"/>
          <w:szCs w:val="28"/>
          <w:lang w:eastAsia="ru-RU"/>
        </w:rPr>
      </w:pPr>
      <w:r w:rsidRPr="00E47AA9">
        <w:rPr>
          <w:rFonts w:ascii="Times New Roman" w:eastAsia="Times New Roman" w:hAnsi="Times New Roman" w:cs="Times New Roman"/>
          <w:bCs/>
          <w:spacing w:val="-4"/>
          <w:sz w:val="28"/>
          <w:szCs w:val="28"/>
          <w:lang w:eastAsia="ru-RU"/>
        </w:rPr>
        <w:t>На 98,82 %, или 39,53 млн рублей (40,00 млн рублей) – на субсидии 26 юридическим лицам (за исключением субсидий государственным и муниципальным учреждениям), индивидуальным предпринимателям на возмещение затрат и (или) недополученных доходов, возникающих при предоставлении ими льгот по оплате физкультурно-оздоровительных услуг населению Приморского края.</w:t>
      </w:r>
    </w:p>
    <w:p w14:paraId="3CC38F64" w14:textId="77777777" w:rsidR="0091578A" w:rsidRPr="00E47AA9" w:rsidRDefault="0091578A" w:rsidP="0091578A">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Подпрограмма</w:t>
      </w:r>
      <w:r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b/>
          <w:sz w:val="28"/>
          <w:szCs w:val="28"/>
          <w:lang w:eastAsia="ru-RU"/>
        </w:rPr>
        <w:t>"Подготовка спортивного резерва в Приморском крае"</w:t>
      </w:r>
    </w:p>
    <w:p w14:paraId="3560B83C" w14:textId="77777777" w:rsidR="0091578A" w:rsidRPr="00E47AA9" w:rsidRDefault="0091578A" w:rsidP="0091578A">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rPr>
        <w:lastRenderedPageBreak/>
        <w:t>Расходы по</w:t>
      </w:r>
      <w:r w:rsidRPr="00E47AA9">
        <w:rPr>
          <w:rFonts w:ascii="Times New Roman" w:eastAsia="Times New Roman" w:hAnsi="Times New Roman" w:cs="Times New Roman"/>
          <w:i/>
          <w:sz w:val="28"/>
          <w:szCs w:val="28"/>
        </w:rPr>
        <w:t xml:space="preserve"> КПМ "Создание условий для обеспечения подготовки спортивного резерва" </w:t>
      </w:r>
      <w:r w:rsidRPr="00E47AA9">
        <w:rPr>
          <w:rFonts w:ascii="Times New Roman" w:eastAsia="Times New Roman" w:hAnsi="Times New Roman" w:cs="Times New Roman"/>
          <w:sz w:val="28"/>
          <w:szCs w:val="28"/>
        </w:rPr>
        <w:t>исполнены на 566,94 млн рублей в полном объеме, из которых</w:t>
      </w:r>
      <w:r w:rsidRPr="00E47AA9">
        <w:rPr>
          <w:rFonts w:ascii="Times New Roman" w:eastAsia="Times New Roman" w:hAnsi="Times New Roman" w:cs="Times New Roman"/>
          <w:sz w:val="28"/>
          <w:szCs w:val="28"/>
          <w:lang w:eastAsia="ru-RU"/>
        </w:rPr>
        <w:t xml:space="preserve">: </w:t>
      </w:r>
    </w:p>
    <w:p w14:paraId="5A88A585" w14:textId="77777777" w:rsidR="0091578A" w:rsidRPr="00E47AA9" w:rsidRDefault="0091578A" w:rsidP="0091578A">
      <w:pPr>
        <w:spacing w:after="0" w:line="240" w:lineRule="auto"/>
        <w:ind w:firstLine="709"/>
        <w:jc w:val="both"/>
        <w:rPr>
          <w:rFonts w:ascii="Times New Roman" w:hAnsi="Times New Roman" w:cs="Times New Roman"/>
        </w:rPr>
      </w:pPr>
      <w:r w:rsidRPr="00E47AA9">
        <w:rPr>
          <w:rFonts w:ascii="Times New Roman" w:eastAsia="Times New Roman" w:hAnsi="Times New Roman" w:cs="Times New Roman"/>
          <w:sz w:val="28"/>
          <w:szCs w:val="28"/>
          <w:lang w:eastAsia="ru-RU"/>
        </w:rPr>
        <w:t xml:space="preserve">204,32 млн рублей </w:t>
      </w:r>
      <w:r w:rsidR="00D500D2"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на выполнение работ по обеспечению подготовки спортивных сборных команд Приморского края и их участию в официальных, межрегиональных, всероссийских и международных физкультурных и спортивных мероприятиях. </w:t>
      </w:r>
      <w:r w:rsidRPr="00E47AA9">
        <w:rPr>
          <w:rFonts w:ascii="Times New Roman" w:hAnsi="Times New Roman" w:cs="Times New Roman"/>
          <w:sz w:val="28"/>
          <w:szCs w:val="28"/>
        </w:rPr>
        <w:t>В отчетном периоде проведено 631 мероприятие по подготовке спортивных сборных команд (направлено 3597 спортсменов</w:t>
      </w:r>
      <w:r w:rsidR="00D500D2" w:rsidRPr="00E47AA9">
        <w:rPr>
          <w:rFonts w:ascii="Times New Roman" w:hAnsi="Times New Roman" w:cs="Times New Roman"/>
          <w:sz w:val="28"/>
          <w:szCs w:val="28"/>
        </w:rPr>
        <w:t>,</w:t>
      </w:r>
      <w:r w:rsidRPr="00E47AA9">
        <w:rPr>
          <w:rFonts w:ascii="Times New Roman" w:hAnsi="Times New Roman" w:cs="Times New Roman"/>
          <w:sz w:val="28"/>
          <w:szCs w:val="28"/>
        </w:rPr>
        <w:t xml:space="preserve"> спортсменами сборных команд Приморского края завоеваны 889 медалей различного достоинства при участии во всероссийских и международных соревнованиях);</w:t>
      </w:r>
    </w:p>
    <w:p w14:paraId="4742C358" w14:textId="11EEE2FA" w:rsidR="0091578A" w:rsidRPr="00E47AA9" w:rsidRDefault="0091578A" w:rsidP="0091578A">
      <w:pPr>
        <w:widowControl w:val="0"/>
        <w:tabs>
          <w:tab w:val="left" w:pos="0"/>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spacing w:val="-4"/>
          <w:sz w:val="28"/>
          <w:szCs w:val="28"/>
          <w:lang w:eastAsia="zh-CN"/>
        </w:rPr>
        <w:t xml:space="preserve">199,56 млн рублей </w:t>
      </w:r>
      <w:r w:rsidR="00D500D2" w:rsidRPr="00E47AA9">
        <w:rPr>
          <w:rFonts w:ascii="Times New Roman" w:eastAsia="Calibri" w:hAnsi="Times New Roman" w:cs="Times New Roman"/>
          <w:spacing w:val="-4"/>
          <w:sz w:val="28"/>
          <w:szCs w:val="28"/>
          <w:lang w:eastAsia="zh-CN"/>
        </w:rPr>
        <w:t>–</w:t>
      </w:r>
      <w:r w:rsidRPr="00E47AA9">
        <w:rPr>
          <w:rFonts w:ascii="Times New Roman" w:eastAsia="Calibri" w:hAnsi="Times New Roman" w:cs="Times New Roman"/>
          <w:spacing w:val="-4"/>
          <w:sz w:val="28"/>
          <w:szCs w:val="28"/>
          <w:lang w:eastAsia="zh-CN"/>
        </w:rPr>
        <w:t xml:space="preserve"> на обеспечение и улучшение качества спортивной подготовки одаренных в спорте детей и подростков – спортивного резерва для спортивных команд Приморского края и Российской Федерации. В ГАУ ДО ПК "КСШОР" обеспечивается предоставление услуги по спортивной подготовке по олимпийским видам спорта для 1856 спортсмен</w:t>
      </w:r>
      <w:r w:rsidR="008D1A46" w:rsidRPr="00E47AA9">
        <w:rPr>
          <w:rFonts w:ascii="Times New Roman" w:eastAsia="Calibri" w:hAnsi="Times New Roman" w:cs="Times New Roman"/>
          <w:spacing w:val="-4"/>
          <w:sz w:val="28"/>
          <w:szCs w:val="28"/>
          <w:lang w:eastAsia="zh-CN"/>
        </w:rPr>
        <w:t>ов</w:t>
      </w:r>
      <w:r w:rsidRPr="00E47AA9">
        <w:rPr>
          <w:rFonts w:ascii="Times New Roman" w:eastAsia="Calibri" w:hAnsi="Times New Roman" w:cs="Times New Roman"/>
          <w:spacing w:val="-4"/>
          <w:sz w:val="28"/>
          <w:szCs w:val="28"/>
          <w:lang w:eastAsia="zh-CN"/>
        </w:rPr>
        <w:t xml:space="preserve"> и выполнение работы по обеспечению участия лиц, проходящих спортивную подготовку, в спортивных соревнованиях;</w:t>
      </w:r>
    </w:p>
    <w:p w14:paraId="674CF39D" w14:textId="77777777" w:rsidR="0091578A" w:rsidRPr="00E47AA9" w:rsidRDefault="0091578A" w:rsidP="0091578A">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113,67 млн рублей </w:t>
      </w:r>
      <w:r w:rsidR="00D500D2" w:rsidRPr="00E47AA9">
        <w:rPr>
          <w:rFonts w:ascii="Times New Roman" w:hAnsi="Times New Roman" w:cs="Times New Roman"/>
          <w:sz w:val="28"/>
          <w:szCs w:val="28"/>
        </w:rPr>
        <w:t>–</w:t>
      </w:r>
      <w:r w:rsidRPr="00E47AA9">
        <w:rPr>
          <w:rFonts w:ascii="Times New Roman" w:hAnsi="Times New Roman" w:cs="Times New Roman"/>
          <w:sz w:val="28"/>
          <w:szCs w:val="28"/>
        </w:rPr>
        <w:t xml:space="preserve"> на субсидии из краевого бюджета физкультурно-спортивным организациям на подготовку спортивного резерва для спортивных сборных команд спортивных клубов по игровым видам спорта предусмотрены средства краевого бюджета следующим организациям: </w:t>
      </w:r>
      <w:r w:rsidRPr="00E47AA9">
        <w:rPr>
          <w:rFonts w:ascii="Times New Roman" w:hAnsi="Times New Roman" w:cs="Times New Roman"/>
          <w:sz w:val="28"/>
          <w:szCs w:val="28"/>
        </w:rPr>
        <w:br/>
        <w:t xml:space="preserve">ОО "Бадминтонный Спортивный клуб Приморья", АНО по развитию и организации культуры и спорта "Хоккейный клуб" "Адмирал Приморский край", </w:t>
      </w:r>
      <w:r w:rsidRPr="00E47AA9">
        <w:rPr>
          <w:rFonts w:ascii="Times New Roman" w:eastAsia="Calibri" w:hAnsi="Times New Roman" w:cs="Times New Roman"/>
          <w:sz w:val="28"/>
          <w:szCs w:val="28"/>
        </w:rPr>
        <w:t>АНО "Центр профессиональной подготовки спортивного резерва"</w:t>
      </w:r>
      <w:r w:rsidRPr="00E47AA9">
        <w:rPr>
          <w:rFonts w:ascii="Times New Roman" w:hAnsi="Times New Roman" w:cs="Times New Roman"/>
          <w:sz w:val="28"/>
          <w:szCs w:val="28"/>
        </w:rPr>
        <w:t>;</w:t>
      </w:r>
    </w:p>
    <w:p w14:paraId="0E2AB66A" w14:textId="55A99747" w:rsidR="0091578A" w:rsidRPr="00E47AA9" w:rsidRDefault="0091578A" w:rsidP="0091578A">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17,64 млн рублей </w:t>
      </w:r>
      <w:r w:rsidR="00D500D2"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на обеспечение уровня финансирования спортивной подготовки в 28 муниципальных учреждениях в соответствии с требованиями федеральных стандартов спортивной подготовки;</w:t>
      </w:r>
    </w:p>
    <w:p w14:paraId="17A4B4F6" w14:textId="77777777" w:rsidR="0091578A" w:rsidRPr="00E47AA9" w:rsidRDefault="0091578A" w:rsidP="0091578A">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5,00 млн рублей на грант в форме субсидии автономной некоммерческой организации дополнительного образования "Футбольная академия "Динамо" имени Л.И. Яшина" (Спортивная школа).</w:t>
      </w:r>
    </w:p>
    <w:p w14:paraId="24BEFA8A" w14:textId="77777777" w:rsidR="0091578A" w:rsidRPr="00E47AA9" w:rsidRDefault="0091578A" w:rsidP="0091578A">
      <w:pPr>
        <w:widowControl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Подпрограмма "Развитие спорта высших достижений в Приморском крае"</w:t>
      </w:r>
    </w:p>
    <w:p w14:paraId="4D9E4A50" w14:textId="77777777" w:rsidR="0091578A" w:rsidRPr="00E47AA9" w:rsidRDefault="0091578A" w:rsidP="0091578A">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По </w:t>
      </w:r>
      <w:r w:rsidRPr="00E47AA9">
        <w:rPr>
          <w:rFonts w:ascii="Times New Roman" w:eastAsia="Times New Roman" w:hAnsi="Times New Roman" w:cs="Times New Roman"/>
          <w:i/>
          <w:iCs/>
          <w:sz w:val="28"/>
          <w:szCs w:val="28"/>
        </w:rPr>
        <w:t>КПМ</w:t>
      </w:r>
      <w:r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i/>
          <w:sz w:val="28"/>
          <w:szCs w:val="28"/>
        </w:rPr>
        <w:t>"Обеспечение подготовки спортсменов высокого класса и обеспечение их участия во всероссийских и международных спортивных соревнованиях от имени Приморского края"</w:t>
      </w:r>
      <w:r w:rsidRPr="00E47AA9">
        <w:rPr>
          <w:rFonts w:ascii="Times New Roman" w:eastAsia="Times New Roman" w:hAnsi="Times New Roman" w:cs="Times New Roman"/>
          <w:b/>
          <w:bCs/>
          <w:iCs/>
          <w:sz w:val="28"/>
          <w:szCs w:val="28"/>
        </w:rPr>
        <w:t xml:space="preserve"> </w:t>
      </w:r>
      <w:r w:rsidRPr="00E47AA9">
        <w:rPr>
          <w:rFonts w:ascii="Times New Roman" w:eastAsia="Times New Roman" w:hAnsi="Times New Roman" w:cs="Times New Roman"/>
          <w:iCs/>
          <w:sz w:val="28"/>
          <w:szCs w:val="28"/>
        </w:rPr>
        <w:t>бюджетные ассигнования (1492,54 млн рублей) исполнены на 99,97 %, или 1492,20 млн рублей, из них:</w:t>
      </w:r>
    </w:p>
    <w:p w14:paraId="4C95B228" w14:textId="77777777" w:rsidR="0091578A" w:rsidRPr="00E47AA9" w:rsidRDefault="0091578A" w:rsidP="0091578A">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в полном объеме:</w:t>
      </w:r>
    </w:p>
    <w:p w14:paraId="25E0933B" w14:textId="77777777" w:rsidR="0091578A" w:rsidRPr="00E47AA9" w:rsidRDefault="0091578A" w:rsidP="0091578A">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1385,80 млн рублей </w:t>
      </w:r>
      <w:r w:rsidR="00D500D2"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на субсидии из краевого бюджета физкультурно-спортивным организациям, основным видом деятельности которых является развитие профессионального спорта и спортивные команды которых участвуют от имени Приморского края в межрегиональных, всероссийских и международных спортивных соревнованиях (</w:t>
      </w:r>
      <w:r w:rsidRPr="00E47AA9">
        <w:rPr>
          <w:rFonts w:ascii="Times New Roman" w:eastAsia="Calibri" w:hAnsi="Times New Roman" w:cs="Times New Roman"/>
          <w:sz w:val="28"/>
          <w:szCs w:val="28"/>
        </w:rPr>
        <w:t xml:space="preserve">Ассоциация "Клуб "Восток" по хоккею с мячом Приморского края, АНО по развитию и организации культуры </w:t>
      </w:r>
      <w:r w:rsidRPr="00E47AA9">
        <w:rPr>
          <w:rFonts w:ascii="Times New Roman" w:eastAsia="Calibri" w:hAnsi="Times New Roman" w:cs="Times New Roman"/>
          <w:sz w:val="28"/>
          <w:szCs w:val="28"/>
        </w:rPr>
        <w:lastRenderedPageBreak/>
        <w:t>и спорта "Хоккейный клуб" "Адмирал Приморский край", ООО "ФК "Динамо-Владивосток", АНО "Центр профессиональной подготовки спортивного резерва" (баскетбол), АНО "Профессиональная спортивная организация "Приморье", (волейбол), ОО "Бадминтонный Спортивный клуб Приморья", НП "Восток-Спидвей")</w:t>
      </w:r>
      <w:r w:rsidRPr="00E47AA9">
        <w:rPr>
          <w:rFonts w:ascii="Times New Roman" w:eastAsia="Times New Roman" w:hAnsi="Times New Roman" w:cs="Times New Roman"/>
          <w:sz w:val="28"/>
          <w:szCs w:val="28"/>
        </w:rPr>
        <w:t>;</w:t>
      </w:r>
    </w:p>
    <w:p w14:paraId="337D0B16" w14:textId="77777777" w:rsidR="0091578A" w:rsidRPr="00E47AA9" w:rsidRDefault="0091578A" w:rsidP="0091578A">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rPr>
        <w:t xml:space="preserve">33,03 млн рублей </w:t>
      </w:r>
      <w:r w:rsidR="00D500D2"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на призовые выплаты тренерам, спортсменам за высокие спортивные результаты на всероссийских и международных спортивных соревнованиях, за отчетный период </w:t>
      </w:r>
      <w:r w:rsidRPr="00E47AA9">
        <w:rPr>
          <w:rFonts w:ascii="Times New Roman" w:eastAsia="Times New Roman" w:hAnsi="Times New Roman" w:cs="Times New Roman"/>
          <w:sz w:val="28"/>
          <w:szCs w:val="28"/>
          <w:lang w:eastAsia="ru-RU"/>
        </w:rPr>
        <w:t xml:space="preserve">осуществлены призовые выплаты </w:t>
      </w:r>
      <w:r w:rsidRPr="00E47AA9">
        <w:rPr>
          <w:rFonts w:ascii="Times New Roman" w:eastAsia="Times New Roman" w:hAnsi="Times New Roman" w:cs="Times New Roman"/>
          <w:bCs/>
          <w:sz w:val="28"/>
          <w:szCs w:val="28"/>
          <w:lang w:eastAsia="ru-RU"/>
        </w:rPr>
        <w:t>273</w:t>
      </w:r>
      <w:r w:rsidRPr="00E47AA9">
        <w:rPr>
          <w:rFonts w:ascii="Times New Roman" w:eastAsia="Times New Roman" w:hAnsi="Times New Roman" w:cs="Times New Roman"/>
          <w:sz w:val="28"/>
          <w:szCs w:val="28"/>
          <w:lang w:eastAsia="ru-RU"/>
        </w:rPr>
        <w:t xml:space="preserve"> спортсменам и </w:t>
      </w:r>
      <w:r w:rsidRPr="00E47AA9">
        <w:rPr>
          <w:rFonts w:ascii="Times New Roman" w:eastAsia="Times New Roman" w:hAnsi="Times New Roman" w:cs="Times New Roman"/>
          <w:bCs/>
          <w:sz w:val="28"/>
          <w:szCs w:val="28"/>
          <w:lang w:eastAsia="ru-RU"/>
        </w:rPr>
        <w:t>132</w:t>
      </w:r>
      <w:r w:rsidRPr="00E47AA9">
        <w:rPr>
          <w:rFonts w:ascii="Times New Roman" w:eastAsia="Times New Roman" w:hAnsi="Times New Roman" w:cs="Times New Roman"/>
          <w:sz w:val="28"/>
          <w:szCs w:val="28"/>
          <w:lang w:eastAsia="ru-RU"/>
        </w:rPr>
        <w:t xml:space="preserve"> тренерам за высокие спортивные результаты на всероссийских и международных спортивных соревнованиях;</w:t>
      </w:r>
    </w:p>
    <w:p w14:paraId="5F1F1DDC" w14:textId="77777777" w:rsidR="0091578A" w:rsidRPr="00E47AA9" w:rsidRDefault="0091578A" w:rsidP="0091578A">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bCs/>
          <w:sz w:val="28"/>
          <w:szCs w:val="28"/>
        </w:rPr>
        <w:t>67,85 млн рублей на реализацию мероприятия по выполнению работ по организации и обеспечению подготовки спортивного резерва, 34 спортсменов высокого класса для спортивных сборных команд Российской Федерации;</w:t>
      </w:r>
    </w:p>
    <w:p w14:paraId="47C97D14" w14:textId="77777777" w:rsidR="0091578A" w:rsidRPr="00E47AA9" w:rsidRDefault="0091578A" w:rsidP="0091578A">
      <w:pPr>
        <w:widowControl w:val="0"/>
        <w:spacing w:after="0" w:line="240" w:lineRule="auto"/>
        <w:ind w:firstLine="709"/>
        <w:jc w:val="both"/>
        <w:rPr>
          <w:rFonts w:ascii="Times New Roman" w:hAnsi="Times New Roman" w:cs="Times New Roman"/>
        </w:rPr>
      </w:pPr>
      <w:r w:rsidRPr="00E47AA9">
        <w:rPr>
          <w:rFonts w:ascii="Times New Roman" w:eastAsia="Times New Roman" w:hAnsi="Times New Roman" w:cs="Times New Roman"/>
          <w:sz w:val="28"/>
          <w:szCs w:val="28"/>
          <w:lang w:eastAsia="ru-RU"/>
        </w:rPr>
        <w:t>н</w:t>
      </w:r>
      <w:r w:rsidRPr="00E47AA9">
        <w:rPr>
          <w:rFonts w:ascii="Times New Roman" w:eastAsia="Times New Roman" w:hAnsi="Times New Roman" w:cs="Times New Roman"/>
          <w:bCs/>
          <w:spacing w:val="-4"/>
          <w:sz w:val="28"/>
          <w:szCs w:val="28"/>
          <w:lang w:eastAsia="ru-RU"/>
        </w:rPr>
        <w:t>а 87,03 %, или 1,91 млн рублей (2,19 млн рублей)</w:t>
      </w:r>
      <w:r w:rsidR="00D500D2" w:rsidRPr="00E47AA9">
        <w:rPr>
          <w:rFonts w:ascii="Times New Roman" w:eastAsia="Times New Roman" w:hAnsi="Times New Roman" w:cs="Times New Roman"/>
          <w:bCs/>
          <w:spacing w:val="-4"/>
          <w:sz w:val="28"/>
          <w:szCs w:val="28"/>
          <w:lang w:eastAsia="ru-RU"/>
        </w:rPr>
        <w:t>,</w:t>
      </w:r>
      <w:r w:rsidRPr="00E47AA9">
        <w:rPr>
          <w:rFonts w:ascii="Times New Roman" w:eastAsia="Times New Roman" w:hAnsi="Times New Roman" w:cs="Times New Roman"/>
          <w:bCs/>
          <w:spacing w:val="-4"/>
          <w:sz w:val="28"/>
          <w:szCs w:val="28"/>
          <w:lang w:eastAsia="ru-RU"/>
        </w:rPr>
        <w:t xml:space="preserve"> </w:t>
      </w:r>
      <w:r w:rsidR="00D500D2" w:rsidRPr="00E47AA9">
        <w:rPr>
          <w:rFonts w:ascii="Times New Roman" w:eastAsia="Times New Roman" w:hAnsi="Times New Roman" w:cs="Times New Roman"/>
          <w:bCs/>
          <w:spacing w:val="-4"/>
          <w:sz w:val="28"/>
          <w:szCs w:val="28"/>
          <w:lang w:eastAsia="ru-RU"/>
        </w:rPr>
        <w:t>–</w:t>
      </w:r>
      <w:r w:rsidRPr="00E47AA9">
        <w:rPr>
          <w:rFonts w:ascii="Times New Roman" w:eastAsia="Times New Roman" w:hAnsi="Times New Roman" w:cs="Times New Roman"/>
          <w:bCs/>
          <w:spacing w:val="-4"/>
          <w:sz w:val="28"/>
          <w:szCs w:val="28"/>
          <w:lang w:eastAsia="ru-RU"/>
        </w:rPr>
        <w:t xml:space="preserve"> на ежемесячные специальные стипендии спортсменам и ежемесячные выплаты их тренерам</w:t>
      </w:r>
      <w:r w:rsidRPr="00E47AA9">
        <w:rPr>
          <w:rFonts w:ascii="Times New Roman" w:eastAsia="Times New Roman" w:hAnsi="Times New Roman" w:cs="Times New Roman"/>
          <w:spacing w:val="-4"/>
          <w:sz w:val="28"/>
          <w:szCs w:val="28"/>
          <w:lang w:eastAsia="ru-RU"/>
        </w:rPr>
        <w:t>. В отчетном периоде осуществлены призовые выплаты 11 спортсменам и 4 выплат</w:t>
      </w:r>
      <w:r w:rsidR="00D500D2" w:rsidRPr="00E47AA9">
        <w:rPr>
          <w:rFonts w:ascii="Times New Roman" w:eastAsia="Times New Roman" w:hAnsi="Times New Roman" w:cs="Times New Roman"/>
          <w:spacing w:val="-4"/>
          <w:sz w:val="28"/>
          <w:szCs w:val="28"/>
          <w:lang w:eastAsia="ru-RU"/>
        </w:rPr>
        <w:t>ы</w:t>
      </w:r>
      <w:r w:rsidRPr="00E47AA9">
        <w:rPr>
          <w:rFonts w:ascii="Times New Roman" w:eastAsia="Times New Roman" w:hAnsi="Times New Roman" w:cs="Times New Roman"/>
          <w:spacing w:val="-4"/>
          <w:sz w:val="28"/>
          <w:szCs w:val="28"/>
          <w:lang w:eastAsia="ru-RU"/>
        </w:rPr>
        <w:t xml:space="preserve"> тренерам.</w:t>
      </w:r>
    </w:p>
    <w:p w14:paraId="17D04149" w14:textId="77777777" w:rsidR="0091578A" w:rsidRPr="00E47AA9" w:rsidRDefault="0091578A" w:rsidP="0091578A">
      <w:pPr>
        <w:autoSpaceDE w:val="0"/>
        <w:autoSpaceDN w:val="0"/>
        <w:adjustRightInd w:val="0"/>
        <w:spacing w:after="0" w:line="240" w:lineRule="auto"/>
        <w:ind w:firstLine="708"/>
        <w:rPr>
          <w:rFonts w:ascii="Times New Roman" w:hAnsi="Times New Roman" w:cs="Times New Roman"/>
          <w:b/>
          <w:sz w:val="28"/>
          <w:szCs w:val="28"/>
        </w:rPr>
      </w:pPr>
      <w:r w:rsidRPr="00E47AA9">
        <w:rPr>
          <w:rFonts w:ascii="Times New Roman" w:hAnsi="Times New Roman" w:cs="Times New Roman"/>
          <w:b/>
          <w:sz w:val="28"/>
          <w:szCs w:val="28"/>
        </w:rPr>
        <w:t>Структурные элементы, не входящие в подпрограммы</w:t>
      </w:r>
    </w:p>
    <w:p w14:paraId="2B6538E8" w14:textId="77777777" w:rsidR="0091578A" w:rsidRPr="00E47AA9" w:rsidRDefault="0091578A" w:rsidP="0091578A">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 xml:space="preserve">По </w:t>
      </w:r>
      <w:r w:rsidRPr="00E47AA9">
        <w:rPr>
          <w:rFonts w:ascii="Times New Roman" w:hAnsi="Times New Roman" w:cs="Times New Roman"/>
          <w:i/>
          <w:sz w:val="28"/>
          <w:szCs w:val="28"/>
        </w:rPr>
        <w:t>КПМ</w:t>
      </w:r>
      <w:r w:rsidRPr="00E47AA9">
        <w:rPr>
          <w:rFonts w:ascii="Times New Roman" w:hAnsi="Times New Roman" w:cs="Times New Roman"/>
          <w:sz w:val="28"/>
          <w:szCs w:val="28"/>
        </w:rPr>
        <w:t xml:space="preserve"> </w:t>
      </w:r>
      <w:r w:rsidRPr="00E47AA9">
        <w:rPr>
          <w:rFonts w:ascii="Times New Roman" w:hAnsi="Times New Roman" w:cs="Times New Roman"/>
          <w:i/>
          <w:sz w:val="28"/>
          <w:szCs w:val="28"/>
        </w:rPr>
        <w:t xml:space="preserve">"Обеспечение деятельности министерства физической культуры и спорта Приморского края и участие в реализации государственной политики в сфере физической культуры и спорта" </w:t>
      </w:r>
      <w:r w:rsidRPr="00E47AA9">
        <w:rPr>
          <w:rFonts w:ascii="Times New Roman" w:hAnsi="Times New Roman" w:cs="Times New Roman"/>
          <w:sz w:val="28"/>
          <w:szCs w:val="28"/>
        </w:rPr>
        <w:t>расходы при плане 142,28 млн рублей исполнены на 94,01 %, или 133,76 млн рублей, из них:</w:t>
      </w:r>
    </w:p>
    <w:p w14:paraId="6544D646" w14:textId="46F40EB7" w:rsidR="0091578A" w:rsidRPr="00E47AA9" w:rsidRDefault="0091578A" w:rsidP="0091578A">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39,77 млн рублей, или на 84,85 % (план</w:t>
      </w:r>
      <w:r w:rsidR="00576C74"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 46,87 млн рублей) – на содержание объектов физической культуры и спорта Приморского края, включая КГАУ "ЦСП ПК" на выполнение работ по содержанию и эк</w:t>
      </w:r>
      <w:r w:rsidR="0030384C" w:rsidRPr="00E47AA9">
        <w:rPr>
          <w:rFonts w:ascii="Times New Roman" w:hAnsi="Times New Roman" w:cs="Times New Roman"/>
          <w:sz w:val="28"/>
          <w:szCs w:val="28"/>
        </w:rPr>
        <w:t>сплуатации КСК "Фетисов-Арена" –</w:t>
      </w:r>
      <w:r w:rsidRPr="00E47AA9">
        <w:rPr>
          <w:rFonts w:ascii="Times New Roman" w:hAnsi="Times New Roman" w:cs="Times New Roman"/>
          <w:sz w:val="28"/>
          <w:szCs w:val="28"/>
        </w:rPr>
        <w:t xml:space="preserve"> 38,74 млн рублей, или 93,40 % (план</w:t>
      </w:r>
      <w:r w:rsidR="00576C74" w:rsidRPr="00E47AA9">
        <w:rPr>
          <w:rFonts w:ascii="Times New Roman" w:hAnsi="Times New Roman" w:cs="Times New Roman"/>
          <w:sz w:val="28"/>
          <w:szCs w:val="28"/>
        </w:rPr>
        <w:t> –</w:t>
      </w:r>
      <w:r w:rsidRPr="00E47AA9">
        <w:rPr>
          <w:rFonts w:ascii="Times New Roman" w:hAnsi="Times New Roman" w:cs="Times New Roman"/>
          <w:sz w:val="28"/>
          <w:szCs w:val="28"/>
        </w:rPr>
        <w:t xml:space="preserve"> 41,48 млн рублей);</w:t>
      </w:r>
    </w:p>
    <w:p w14:paraId="1CDD2BE6" w14:textId="77777777" w:rsidR="0091578A" w:rsidRPr="00E47AA9" w:rsidRDefault="0091578A" w:rsidP="0091578A">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73,30 млн рублей, или на 98,09 % (74,72 млн рублей) – на руководство и управление в сфере установленных функций;</w:t>
      </w:r>
    </w:p>
    <w:p w14:paraId="6BE9E2AE" w14:textId="77777777" w:rsidR="0091578A" w:rsidRPr="00E47AA9" w:rsidRDefault="0091578A" w:rsidP="0091578A">
      <w:pPr>
        <w:widowControl w:val="0"/>
        <w:spacing w:after="0" w:line="240" w:lineRule="auto"/>
        <w:ind w:firstLine="709"/>
        <w:jc w:val="both"/>
      </w:pPr>
      <w:r w:rsidRPr="00E47AA9">
        <w:rPr>
          <w:rFonts w:ascii="Times New Roman" w:hAnsi="Times New Roman" w:cs="Times New Roman"/>
          <w:bCs/>
          <w:sz w:val="28"/>
          <w:szCs w:val="28"/>
        </w:rPr>
        <w:t>20,69 млн рублей</w:t>
      </w:r>
      <w:r w:rsidRPr="00E47AA9">
        <w:rPr>
          <w:rFonts w:ascii="Times New Roman" w:hAnsi="Times New Roman" w:cs="Times New Roman"/>
          <w:sz w:val="28"/>
          <w:szCs w:val="28"/>
        </w:rPr>
        <w:t xml:space="preserve"> в полном объеме </w:t>
      </w:r>
      <w:r w:rsidR="0030384C" w:rsidRPr="00E47AA9">
        <w:rPr>
          <w:rFonts w:ascii="Times New Roman" w:hAnsi="Times New Roman" w:cs="Times New Roman"/>
          <w:sz w:val="28"/>
          <w:szCs w:val="28"/>
        </w:rPr>
        <w:t>–</w:t>
      </w:r>
      <w:r w:rsidRPr="00E47AA9">
        <w:rPr>
          <w:rFonts w:ascii="Times New Roman" w:hAnsi="Times New Roman" w:cs="Times New Roman"/>
          <w:sz w:val="28"/>
          <w:szCs w:val="28"/>
        </w:rPr>
        <w:t xml:space="preserve"> </w:t>
      </w:r>
      <w:r w:rsidRPr="00E47AA9">
        <w:rPr>
          <w:rFonts w:ascii="Times New Roman" w:eastAsia="Calibri" w:hAnsi="Times New Roman" w:cs="Times New Roman"/>
          <w:bCs/>
          <w:sz w:val="28"/>
          <w:szCs w:val="28"/>
        </w:rPr>
        <w:t xml:space="preserve">на обеспечение деятельности </w:t>
      </w:r>
      <w:r w:rsidRPr="00E47AA9">
        <w:rPr>
          <w:rFonts w:ascii="Times New Roman" w:hAnsi="Times New Roman" w:cs="Times New Roman"/>
          <w:sz w:val="28"/>
          <w:szCs w:val="28"/>
        </w:rPr>
        <w:t>КГАУ "ЦСП ПК". З</w:t>
      </w:r>
      <w:r w:rsidRPr="00E47AA9">
        <w:rPr>
          <w:rFonts w:ascii="Times New Roman" w:hAnsi="Times New Roman" w:cs="Times New Roman"/>
          <w:bCs/>
          <w:sz w:val="28"/>
          <w:szCs w:val="28"/>
        </w:rPr>
        <w:t>а отчетный год</w:t>
      </w:r>
      <w:r w:rsidRPr="00E47AA9">
        <w:rPr>
          <w:rFonts w:ascii="Times New Roman" w:hAnsi="Times New Roman" w:cs="Times New Roman"/>
          <w:sz w:val="28"/>
          <w:szCs w:val="28"/>
        </w:rPr>
        <w:t xml:space="preserve"> осуществлены проверки 1064 отчетов о целевом расходовании субсидий, проведена проверка 131 заявки на получение субсидий</w:t>
      </w:r>
      <w:r w:rsidRPr="00E47AA9">
        <w:rPr>
          <w:rFonts w:ascii="Times New Roman" w:hAnsi="Times New Roman" w:cs="Times New Roman"/>
          <w:bCs/>
          <w:sz w:val="28"/>
          <w:szCs w:val="28"/>
        </w:rPr>
        <w:t xml:space="preserve">. Бюджетные ассигнования предусмотрены </w:t>
      </w:r>
      <w:r w:rsidRPr="00E47AA9">
        <w:rPr>
          <w:rFonts w:ascii="Times New Roman" w:hAnsi="Times New Roman" w:cs="Times New Roman"/>
          <w:sz w:val="28"/>
          <w:szCs w:val="28"/>
        </w:rPr>
        <w:t>на выполнение работ по реализации комплекса мероприятий, направленных на организационное и методическое обеспечение реализации 3 государственных программ края</w:t>
      </w:r>
      <w:r w:rsidRPr="00E47AA9">
        <w:rPr>
          <w:rFonts w:ascii="Times New Roman" w:hAnsi="Times New Roman" w:cs="Times New Roman"/>
          <w:sz w:val="28"/>
          <w:szCs w:val="28"/>
          <w:vertAlign w:val="superscript"/>
        </w:rPr>
        <w:footnoteReference w:id="72"/>
      </w:r>
      <w:r w:rsidRPr="00E47AA9">
        <w:rPr>
          <w:rFonts w:ascii="Times New Roman" w:hAnsi="Times New Roman" w:cs="Times New Roman"/>
          <w:sz w:val="28"/>
          <w:szCs w:val="28"/>
        </w:rPr>
        <w:t>.</w:t>
      </w:r>
    </w:p>
    <w:p w14:paraId="06AA1C09" w14:textId="77777777" w:rsidR="000711E6" w:rsidRPr="00E47AA9" w:rsidRDefault="000711E6" w:rsidP="000711E6">
      <w:pPr>
        <w:spacing w:after="0" w:line="240" w:lineRule="auto"/>
        <w:jc w:val="both"/>
        <w:rPr>
          <w:rFonts w:ascii="Times New Roman" w:eastAsia="Times New Roman" w:hAnsi="Times New Roman" w:cs="Times New Roman"/>
          <w:sz w:val="28"/>
          <w:szCs w:val="28"/>
          <w:lang w:eastAsia="ru-RU"/>
        </w:rPr>
      </w:pPr>
    </w:p>
    <w:p w14:paraId="47022B42" w14:textId="77777777" w:rsidR="000711E6" w:rsidRPr="00E47AA9" w:rsidRDefault="000711E6" w:rsidP="00FD476E">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noProof/>
          <w:sz w:val="20"/>
          <w:szCs w:val="20"/>
          <w:lang w:eastAsia="ru-RU"/>
        </w:rPr>
        <w:lastRenderedPageBreak/>
        <w:drawing>
          <wp:anchor distT="0" distB="0" distL="114300" distR="114300" simplePos="0" relativeHeight="251689984" behindDoc="0" locked="0" layoutInCell="1" allowOverlap="1" wp14:anchorId="7EF1F7DE" wp14:editId="23BEFFC7">
            <wp:simplePos x="0" y="0"/>
            <wp:positionH relativeFrom="column">
              <wp:posOffset>-112032</wp:posOffset>
            </wp:positionH>
            <wp:positionV relativeFrom="paragraph">
              <wp:posOffset>91440</wp:posOffset>
            </wp:positionV>
            <wp:extent cx="969010" cy="1060450"/>
            <wp:effectExtent l="0" t="0" r="2540" b="6350"/>
            <wp:wrapSquare wrapText="bothSides"/>
            <wp:docPr id="47" name="Рисунок 47" descr="C:\Users\zavzyataya_sv\Desktop\Картинки к исполнению\5daadb5047ca552c81ec4bdff40de1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zavzyataya_sv\Desktop\Картинки к исполнению\5daadb5047ca552c81ec4bdff40de1c8.jp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r="7841"/>
                    <a:stretch/>
                  </pic:blipFill>
                  <pic:spPr bwMode="auto">
                    <a:xfrm>
                      <a:off x="0" y="0"/>
                      <a:ext cx="969010" cy="1060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47AA9">
        <w:rPr>
          <w:rFonts w:ascii="Times New Roman" w:eastAsia="Times New Roman" w:hAnsi="Times New Roman" w:cs="Times New Roman"/>
          <w:b/>
          <w:sz w:val="28"/>
          <w:szCs w:val="28"/>
          <w:lang w:eastAsia="ru-RU"/>
        </w:rPr>
        <w:t xml:space="preserve">5.2.10. Государственная программа Приморского края "Развитие туризма в Приморском крае" </w:t>
      </w:r>
    </w:p>
    <w:p w14:paraId="39426057" w14:textId="77777777" w:rsidR="000711E6" w:rsidRPr="00E47AA9" w:rsidRDefault="000711E6" w:rsidP="000711E6">
      <w:pPr>
        <w:spacing w:after="0" w:line="240" w:lineRule="auto"/>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Уточненные бюджетные назначения на реализацию ГП составили 1112,52 млн рублей, исполнено 1093,41 млн рублей, или 98,28 %, в том числе: за счет средств федерального бюджета – 167,16 млн рублей, краевого бюджета – 926,25 млн рублей.</w:t>
      </w:r>
    </w:p>
    <w:p w14:paraId="4276A985"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Исполнение ГП в 2024 году в разрезе главных распорядителей средств краевого бюджета приведено в таблице.</w:t>
      </w:r>
    </w:p>
    <w:tbl>
      <w:tblPr>
        <w:tblW w:w="978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3"/>
        <w:gridCol w:w="277"/>
        <w:gridCol w:w="290"/>
        <w:gridCol w:w="1128"/>
        <w:gridCol w:w="573"/>
        <w:gridCol w:w="1417"/>
        <w:gridCol w:w="992"/>
        <w:gridCol w:w="851"/>
        <w:gridCol w:w="1276"/>
      </w:tblGrid>
      <w:tr w:rsidR="00E47AA9" w:rsidRPr="00E47AA9" w14:paraId="0DC9A719" w14:textId="77777777" w:rsidTr="00845A54">
        <w:trPr>
          <w:trHeight w:val="211"/>
        </w:trPr>
        <w:tc>
          <w:tcPr>
            <w:tcW w:w="3260" w:type="dxa"/>
            <w:gridSpan w:val="2"/>
            <w:tcBorders>
              <w:top w:val="nil"/>
              <w:left w:val="nil"/>
              <w:bottom w:val="single" w:sz="4" w:space="0" w:color="auto"/>
              <w:right w:val="nil"/>
            </w:tcBorders>
          </w:tcPr>
          <w:p w14:paraId="5D522AD5" w14:textId="77777777" w:rsidR="000711E6" w:rsidRPr="00E47AA9" w:rsidRDefault="000711E6" w:rsidP="00845A54">
            <w:pPr>
              <w:spacing w:after="0" w:line="240" w:lineRule="auto"/>
              <w:jc w:val="right"/>
              <w:rPr>
                <w:rFonts w:ascii="Times New Roman" w:eastAsia="Times New Roman" w:hAnsi="Times New Roman" w:cs="Times New Roman"/>
                <w:sz w:val="20"/>
                <w:szCs w:val="20"/>
                <w:lang w:eastAsia="ru-RU"/>
              </w:rPr>
            </w:pPr>
          </w:p>
        </w:tc>
        <w:tc>
          <w:tcPr>
            <w:tcW w:w="1418" w:type="dxa"/>
            <w:gridSpan w:val="2"/>
            <w:tcBorders>
              <w:top w:val="nil"/>
              <w:left w:val="nil"/>
              <w:bottom w:val="single" w:sz="4" w:space="0" w:color="auto"/>
              <w:right w:val="nil"/>
            </w:tcBorders>
          </w:tcPr>
          <w:p w14:paraId="34420D37" w14:textId="77777777" w:rsidR="000711E6" w:rsidRPr="00E47AA9" w:rsidRDefault="000711E6" w:rsidP="00845A54">
            <w:pPr>
              <w:spacing w:after="0" w:line="240" w:lineRule="auto"/>
              <w:jc w:val="right"/>
              <w:rPr>
                <w:rFonts w:ascii="Times New Roman" w:eastAsia="Times New Roman" w:hAnsi="Times New Roman" w:cs="Times New Roman"/>
                <w:sz w:val="20"/>
                <w:szCs w:val="20"/>
                <w:lang w:eastAsia="ru-RU"/>
              </w:rPr>
            </w:pPr>
          </w:p>
        </w:tc>
        <w:tc>
          <w:tcPr>
            <w:tcW w:w="5109" w:type="dxa"/>
            <w:gridSpan w:val="5"/>
            <w:tcBorders>
              <w:top w:val="nil"/>
              <w:left w:val="nil"/>
              <w:bottom w:val="single" w:sz="4" w:space="0" w:color="auto"/>
              <w:right w:val="nil"/>
            </w:tcBorders>
            <w:shd w:val="clear" w:color="auto" w:fill="auto"/>
            <w:vAlign w:val="center"/>
          </w:tcPr>
          <w:p w14:paraId="6501B6AB" w14:textId="77777777" w:rsidR="000711E6" w:rsidRPr="00E47AA9" w:rsidRDefault="000711E6" w:rsidP="00845A54">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(млн рублей)</w:t>
            </w:r>
          </w:p>
        </w:tc>
      </w:tr>
      <w:tr w:rsidR="00E47AA9" w:rsidRPr="00E47AA9" w14:paraId="3B036AF2" w14:textId="77777777" w:rsidTr="00845A54">
        <w:trPr>
          <w:trHeight w:val="507"/>
        </w:trPr>
        <w:tc>
          <w:tcPr>
            <w:tcW w:w="2983" w:type="dxa"/>
            <w:vMerge w:val="restart"/>
            <w:tcBorders>
              <w:top w:val="single" w:sz="4" w:space="0" w:color="auto"/>
              <w:left w:val="single" w:sz="4" w:space="0" w:color="auto"/>
              <w:right w:val="single" w:sz="4" w:space="0" w:color="auto"/>
            </w:tcBorders>
            <w:shd w:val="clear" w:color="auto" w:fill="auto"/>
            <w:vAlign w:val="center"/>
          </w:tcPr>
          <w:p w14:paraId="0C1C2FEB"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показателя</w:t>
            </w:r>
          </w:p>
        </w:tc>
        <w:tc>
          <w:tcPr>
            <w:tcW w:w="567" w:type="dxa"/>
            <w:gridSpan w:val="2"/>
            <w:vMerge w:val="restart"/>
            <w:tcBorders>
              <w:top w:val="single" w:sz="4" w:space="0" w:color="auto"/>
            </w:tcBorders>
            <w:textDirection w:val="btLr"/>
          </w:tcPr>
          <w:p w14:paraId="306708F0" w14:textId="77777777" w:rsidR="000711E6" w:rsidRPr="00E47AA9" w:rsidRDefault="000711E6" w:rsidP="00845A54">
            <w:pPr>
              <w:spacing w:after="0" w:line="240" w:lineRule="auto"/>
              <w:ind w:left="113" w:right="113"/>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Ведомство</w:t>
            </w:r>
          </w:p>
        </w:tc>
        <w:tc>
          <w:tcPr>
            <w:tcW w:w="1701" w:type="dxa"/>
            <w:gridSpan w:val="2"/>
            <w:vMerge w:val="restart"/>
            <w:tcBorders>
              <w:top w:val="single" w:sz="4" w:space="0" w:color="auto"/>
            </w:tcBorders>
            <w:shd w:val="clear" w:color="auto" w:fill="auto"/>
            <w:noWrap/>
            <w:vAlign w:val="center"/>
          </w:tcPr>
          <w:p w14:paraId="7BCEAC5C"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Уточненные бюджетные назначения </w:t>
            </w:r>
          </w:p>
          <w:p w14:paraId="42B74912"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на 2024 год </w:t>
            </w:r>
          </w:p>
        </w:tc>
        <w:tc>
          <w:tcPr>
            <w:tcW w:w="3260" w:type="dxa"/>
            <w:gridSpan w:val="3"/>
            <w:tcBorders>
              <w:top w:val="single" w:sz="4" w:space="0" w:color="auto"/>
            </w:tcBorders>
            <w:shd w:val="clear" w:color="auto" w:fill="auto"/>
            <w:noWrap/>
            <w:vAlign w:val="center"/>
          </w:tcPr>
          <w:p w14:paraId="0C7B16ED"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276" w:type="dxa"/>
            <w:vMerge w:val="restart"/>
            <w:tcBorders>
              <w:top w:val="single" w:sz="4" w:space="0" w:color="auto"/>
            </w:tcBorders>
            <w:shd w:val="clear" w:color="auto" w:fill="auto"/>
            <w:noWrap/>
            <w:vAlign w:val="center"/>
          </w:tcPr>
          <w:p w14:paraId="692B3E56"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бюджетные назначения</w:t>
            </w:r>
          </w:p>
        </w:tc>
      </w:tr>
      <w:tr w:rsidR="00E47AA9" w:rsidRPr="00E47AA9" w14:paraId="4A0C3913" w14:textId="77777777" w:rsidTr="00845A54">
        <w:trPr>
          <w:trHeight w:val="507"/>
        </w:trPr>
        <w:tc>
          <w:tcPr>
            <w:tcW w:w="2983" w:type="dxa"/>
            <w:vMerge/>
            <w:tcBorders>
              <w:left w:val="single" w:sz="4" w:space="0" w:color="auto"/>
              <w:bottom w:val="single" w:sz="4" w:space="0" w:color="auto"/>
              <w:right w:val="single" w:sz="4" w:space="0" w:color="auto"/>
            </w:tcBorders>
            <w:shd w:val="clear" w:color="auto" w:fill="auto"/>
            <w:vAlign w:val="center"/>
            <w:hideMark/>
          </w:tcPr>
          <w:p w14:paraId="0D2A8981"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p>
        </w:tc>
        <w:tc>
          <w:tcPr>
            <w:tcW w:w="567" w:type="dxa"/>
            <w:gridSpan w:val="2"/>
            <w:vMerge/>
          </w:tcPr>
          <w:p w14:paraId="33E9C732"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p>
        </w:tc>
        <w:tc>
          <w:tcPr>
            <w:tcW w:w="1701" w:type="dxa"/>
            <w:gridSpan w:val="2"/>
            <w:vMerge/>
            <w:tcBorders>
              <w:bottom w:val="single" w:sz="4" w:space="0" w:color="auto"/>
            </w:tcBorders>
            <w:shd w:val="clear" w:color="auto" w:fill="auto"/>
            <w:noWrap/>
            <w:vAlign w:val="center"/>
            <w:hideMark/>
          </w:tcPr>
          <w:p w14:paraId="2A8B9EE2"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p>
        </w:tc>
        <w:tc>
          <w:tcPr>
            <w:tcW w:w="1417" w:type="dxa"/>
            <w:tcBorders>
              <w:top w:val="single" w:sz="4" w:space="0" w:color="auto"/>
              <w:bottom w:val="single" w:sz="4" w:space="0" w:color="auto"/>
            </w:tcBorders>
            <w:shd w:val="clear" w:color="auto" w:fill="auto"/>
            <w:noWrap/>
            <w:vAlign w:val="center"/>
            <w:hideMark/>
          </w:tcPr>
          <w:p w14:paraId="495B1626"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992" w:type="dxa"/>
            <w:tcBorders>
              <w:top w:val="single" w:sz="4" w:space="0" w:color="auto"/>
              <w:bottom w:val="single" w:sz="4" w:space="0" w:color="auto"/>
            </w:tcBorders>
            <w:shd w:val="clear" w:color="auto" w:fill="auto"/>
            <w:noWrap/>
            <w:vAlign w:val="center"/>
          </w:tcPr>
          <w:p w14:paraId="466D85AC"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исполнения</w:t>
            </w:r>
          </w:p>
        </w:tc>
        <w:tc>
          <w:tcPr>
            <w:tcW w:w="851" w:type="dxa"/>
            <w:tcBorders>
              <w:top w:val="single" w:sz="4" w:space="0" w:color="auto"/>
              <w:bottom w:val="single" w:sz="4" w:space="0" w:color="auto"/>
            </w:tcBorders>
            <w:vAlign w:val="center"/>
          </w:tcPr>
          <w:p w14:paraId="72ADF777"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удель-ный</w:t>
            </w:r>
            <w:proofErr w:type="spellEnd"/>
            <w:proofErr w:type="gramEnd"/>
            <w:r w:rsidRPr="00E47AA9">
              <w:rPr>
                <w:rFonts w:ascii="Times New Roman" w:eastAsia="Times New Roman" w:hAnsi="Times New Roman" w:cs="Times New Roman"/>
                <w:sz w:val="20"/>
                <w:szCs w:val="20"/>
                <w:lang w:eastAsia="ru-RU"/>
              </w:rPr>
              <w:t xml:space="preserve"> вес, %</w:t>
            </w:r>
          </w:p>
        </w:tc>
        <w:tc>
          <w:tcPr>
            <w:tcW w:w="1276" w:type="dxa"/>
            <w:vMerge/>
            <w:tcBorders>
              <w:bottom w:val="single" w:sz="4" w:space="0" w:color="auto"/>
            </w:tcBorders>
            <w:shd w:val="clear" w:color="auto" w:fill="auto"/>
            <w:noWrap/>
            <w:vAlign w:val="center"/>
          </w:tcPr>
          <w:p w14:paraId="16FB8439"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p>
        </w:tc>
      </w:tr>
      <w:tr w:rsidR="00E47AA9" w:rsidRPr="00E47AA9" w14:paraId="2767A341" w14:textId="77777777" w:rsidTr="00845A54">
        <w:trPr>
          <w:trHeight w:val="467"/>
        </w:trPr>
        <w:tc>
          <w:tcPr>
            <w:tcW w:w="2983" w:type="dxa"/>
            <w:tcBorders>
              <w:top w:val="single" w:sz="4" w:space="0" w:color="auto"/>
              <w:bottom w:val="single" w:sz="4" w:space="0" w:color="auto"/>
              <w:right w:val="single" w:sz="4" w:space="0" w:color="auto"/>
            </w:tcBorders>
            <w:shd w:val="clear" w:color="auto" w:fill="auto"/>
            <w:hideMark/>
          </w:tcPr>
          <w:p w14:paraId="51F67AD9" w14:textId="77777777" w:rsidR="000711E6" w:rsidRPr="00E47AA9" w:rsidRDefault="000711E6" w:rsidP="00845A54">
            <w:pPr>
              <w:spacing w:after="0" w:line="240" w:lineRule="auto"/>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
                <w:bCs/>
                <w:sz w:val="20"/>
                <w:szCs w:val="20"/>
                <w:lang w:eastAsia="ru-RU"/>
              </w:rPr>
              <w:t>Государственная программа,</w:t>
            </w:r>
            <w:r w:rsidRPr="00E47AA9">
              <w:rPr>
                <w:rFonts w:ascii="Times New Roman" w:eastAsia="Times New Roman" w:hAnsi="Times New Roman" w:cs="Times New Roman"/>
                <w:bCs/>
                <w:sz w:val="20"/>
                <w:szCs w:val="20"/>
                <w:lang w:eastAsia="ru-RU"/>
              </w:rPr>
              <w:t xml:space="preserve"> </w:t>
            </w:r>
          </w:p>
          <w:p w14:paraId="77D3B4B7" w14:textId="77777777" w:rsidR="000711E6" w:rsidRPr="00E47AA9" w:rsidRDefault="000711E6" w:rsidP="00845A54">
            <w:pPr>
              <w:spacing w:after="0" w:line="240" w:lineRule="auto"/>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в том числе по ведомствам</w:t>
            </w:r>
          </w:p>
        </w:tc>
        <w:tc>
          <w:tcPr>
            <w:tcW w:w="567" w:type="dxa"/>
            <w:gridSpan w:val="2"/>
            <w:tcBorders>
              <w:top w:val="single" w:sz="4" w:space="0" w:color="auto"/>
              <w:left w:val="single" w:sz="4" w:space="0" w:color="auto"/>
              <w:bottom w:val="single" w:sz="4" w:space="0" w:color="auto"/>
              <w:right w:val="single" w:sz="4" w:space="0" w:color="auto"/>
            </w:tcBorders>
          </w:tcPr>
          <w:p w14:paraId="0FC8C12D" w14:textId="77777777" w:rsidR="000711E6" w:rsidRPr="00E47AA9" w:rsidRDefault="000711E6" w:rsidP="00845A54">
            <w:pPr>
              <w:spacing w:after="0" w:line="240" w:lineRule="auto"/>
              <w:jc w:val="right"/>
              <w:rPr>
                <w:rFonts w:ascii="Times New Roman" w:hAnsi="Times New Roman" w:cs="Times New Roman"/>
                <w:b/>
                <w:bCs/>
                <w:sz w:val="20"/>
                <w:szCs w:val="20"/>
              </w:rPr>
            </w:pPr>
          </w:p>
        </w:tc>
        <w:tc>
          <w:tcPr>
            <w:tcW w:w="1701" w:type="dxa"/>
            <w:gridSpan w:val="2"/>
            <w:tcBorders>
              <w:top w:val="single" w:sz="4" w:space="0" w:color="auto"/>
              <w:left w:val="nil"/>
              <w:bottom w:val="single" w:sz="4" w:space="0" w:color="auto"/>
              <w:right w:val="single" w:sz="4" w:space="0" w:color="auto"/>
            </w:tcBorders>
            <w:shd w:val="clear" w:color="auto" w:fill="auto"/>
            <w:noWrap/>
            <w:vAlign w:val="bottom"/>
          </w:tcPr>
          <w:p w14:paraId="23A79605" w14:textId="77777777" w:rsidR="000711E6" w:rsidRPr="00E47AA9" w:rsidRDefault="000711E6" w:rsidP="00845A54">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1 112,52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32F9E8" w14:textId="77777777" w:rsidR="000711E6" w:rsidRPr="00E47AA9" w:rsidRDefault="000711E6" w:rsidP="00845A54">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1 093,41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AA2D0C" w14:textId="77777777" w:rsidR="000711E6" w:rsidRPr="00E47AA9" w:rsidRDefault="000711E6" w:rsidP="00845A54">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98,28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14:paraId="488EF143" w14:textId="77777777" w:rsidR="000711E6" w:rsidRPr="00E47AA9" w:rsidRDefault="000711E6" w:rsidP="00845A54">
            <w:pPr>
              <w:spacing w:after="0" w:line="240" w:lineRule="auto"/>
              <w:jc w:val="right"/>
              <w:rPr>
                <w:rFonts w:ascii="Times New Roman" w:hAnsi="Times New Roman" w:cs="Times New Roman"/>
                <w:b/>
              </w:rPr>
            </w:pPr>
            <w:r w:rsidRPr="00E47AA9">
              <w:rPr>
                <w:rFonts w:ascii="Times New Roman" w:hAnsi="Times New Roman" w:cs="Times New Roman"/>
                <w:b/>
              </w:rPr>
              <w:t>100,00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CA7141" w14:textId="77777777" w:rsidR="000711E6" w:rsidRPr="00E47AA9" w:rsidRDefault="000711E6" w:rsidP="00845A54">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19,11</w:t>
            </w:r>
          </w:p>
        </w:tc>
      </w:tr>
      <w:tr w:rsidR="00E47AA9" w:rsidRPr="00E47AA9" w14:paraId="5B80B49C" w14:textId="77777777" w:rsidTr="00845A54">
        <w:trPr>
          <w:trHeight w:val="493"/>
        </w:trPr>
        <w:tc>
          <w:tcPr>
            <w:tcW w:w="2983" w:type="dxa"/>
            <w:tcBorders>
              <w:top w:val="nil"/>
              <w:left w:val="single" w:sz="8" w:space="0" w:color="auto"/>
              <w:bottom w:val="single" w:sz="8" w:space="0" w:color="auto"/>
              <w:right w:val="single" w:sz="8" w:space="0" w:color="auto"/>
            </w:tcBorders>
            <w:shd w:val="clear" w:color="auto" w:fill="auto"/>
            <w:vAlign w:val="center"/>
            <w:hideMark/>
          </w:tcPr>
          <w:p w14:paraId="4DEEC9E2" w14:textId="77777777" w:rsidR="000711E6" w:rsidRPr="00E47AA9" w:rsidRDefault="000711E6" w:rsidP="00845A54">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Министерство транспорта и дорожного хозяйства Приморского края</w:t>
            </w:r>
          </w:p>
        </w:tc>
        <w:tc>
          <w:tcPr>
            <w:tcW w:w="567" w:type="dxa"/>
            <w:gridSpan w:val="2"/>
            <w:tcBorders>
              <w:top w:val="single" w:sz="4" w:space="0" w:color="auto"/>
              <w:left w:val="single" w:sz="4" w:space="0" w:color="auto"/>
              <w:bottom w:val="single" w:sz="4" w:space="0" w:color="auto"/>
              <w:right w:val="single" w:sz="4" w:space="0" w:color="auto"/>
            </w:tcBorders>
            <w:vAlign w:val="bottom"/>
          </w:tcPr>
          <w:p w14:paraId="5CC3B1B3"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754</w:t>
            </w:r>
          </w:p>
        </w:tc>
        <w:tc>
          <w:tcPr>
            <w:tcW w:w="1701" w:type="dxa"/>
            <w:gridSpan w:val="2"/>
            <w:tcBorders>
              <w:top w:val="single" w:sz="4" w:space="0" w:color="auto"/>
              <w:left w:val="nil"/>
              <w:bottom w:val="single" w:sz="4" w:space="0" w:color="auto"/>
              <w:right w:val="single" w:sz="4" w:space="0" w:color="auto"/>
            </w:tcBorders>
            <w:shd w:val="clear" w:color="auto" w:fill="auto"/>
            <w:noWrap/>
            <w:vAlign w:val="bottom"/>
          </w:tcPr>
          <w:p w14:paraId="5A850E9F"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55,00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8EC77F"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55,00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8835E5"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14:paraId="6988551A"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5,03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35A827"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r>
      <w:tr w:rsidR="00E47AA9" w:rsidRPr="00E47AA9" w14:paraId="6DE91124" w14:textId="77777777" w:rsidTr="00845A54">
        <w:trPr>
          <w:trHeight w:val="631"/>
        </w:trPr>
        <w:tc>
          <w:tcPr>
            <w:tcW w:w="2983" w:type="dxa"/>
            <w:tcBorders>
              <w:top w:val="nil"/>
              <w:left w:val="single" w:sz="8" w:space="0" w:color="auto"/>
              <w:bottom w:val="single" w:sz="8" w:space="0" w:color="auto"/>
              <w:right w:val="single" w:sz="8" w:space="0" w:color="auto"/>
            </w:tcBorders>
            <w:shd w:val="clear" w:color="auto" w:fill="auto"/>
            <w:vAlign w:val="center"/>
            <w:hideMark/>
          </w:tcPr>
          <w:p w14:paraId="739DB9B5" w14:textId="77777777" w:rsidR="000711E6" w:rsidRPr="00E47AA9" w:rsidRDefault="000711E6" w:rsidP="00845A54">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Министерство строительства Приморского края</w:t>
            </w:r>
          </w:p>
        </w:tc>
        <w:tc>
          <w:tcPr>
            <w:tcW w:w="567" w:type="dxa"/>
            <w:gridSpan w:val="2"/>
            <w:tcBorders>
              <w:top w:val="single" w:sz="4" w:space="0" w:color="auto"/>
              <w:left w:val="single" w:sz="4" w:space="0" w:color="auto"/>
              <w:bottom w:val="single" w:sz="4" w:space="0" w:color="auto"/>
              <w:right w:val="single" w:sz="4" w:space="0" w:color="auto"/>
            </w:tcBorders>
            <w:vAlign w:val="bottom"/>
          </w:tcPr>
          <w:p w14:paraId="04EA4A52"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775</w:t>
            </w:r>
          </w:p>
        </w:tc>
        <w:tc>
          <w:tcPr>
            <w:tcW w:w="1701" w:type="dxa"/>
            <w:gridSpan w:val="2"/>
            <w:tcBorders>
              <w:top w:val="single" w:sz="4" w:space="0" w:color="auto"/>
              <w:left w:val="nil"/>
              <w:bottom w:val="single" w:sz="4" w:space="0" w:color="auto"/>
              <w:right w:val="single" w:sz="4" w:space="0" w:color="auto"/>
            </w:tcBorders>
            <w:shd w:val="clear" w:color="auto" w:fill="auto"/>
            <w:noWrap/>
            <w:vAlign w:val="bottom"/>
          </w:tcPr>
          <w:p w14:paraId="2B31DF1E"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0,16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4945A2"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01397C"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14:paraId="53071786"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0,01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1E427A"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r>
      <w:tr w:rsidR="00E47AA9" w:rsidRPr="00E47AA9" w14:paraId="7C65DE3B" w14:textId="77777777" w:rsidTr="00845A54">
        <w:trPr>
          <w:trHeight w:val="357"/>
        </w:trPr>
        <w:tc>
          <w:tcPr>
            <w:tcW w:w="2983" w:type="dxa"/>
            <w:tcBorders>
              <w:top w:val="nil"/>
              <w:left w:val="single" w:sz="8" w:space="0" w:color="auto"/>
              <w:bottom w:val="single" w:sz="8" w:space="0" w:color="auto"/>
              <w:right w:val="single" w:sz="8" w:space="0" w:color="auto"/>
            </w:tcBorders>
            <w:shd w:val="clear" w:color="auto" w:fill="auto"/>
            <w:vAlign w:val="center"/>
          </w:tcPr>
          <w:p w14:paraId="21439594" w14:textId="77777777" w:rsidR="000711E6" w:rsidRPr="00E47AA9" w:rsidRDefault="000711E6" w:rsidP="00845A54">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Министерство туризма Приморского края</w:t>
            </w:r>
          </w:p>
        </w:tc>
        <w:tc>
          <w:tcPr>
            <w:tcW w:w="567" w:type="dxa"/>
            <w:gridSpan w:val="2"/>
            <w:tcBorders>
              <w:top w:val="single" w:sz="4" w:space="0" w:color="auto"/>
              <w:left w:val="single" w:sz="4" w:space="0" w:color="auto"/>
              <w:bottom w:val="single" w:sz="4" w:space="0" w:color="auto"/>
              <w:right w:val="single" w:sz="4" w:space="0" w:color="auto"/>
            </w:tcBorders>
            <w:vAlign w:val="bottom"/>
          </w:tcPr>
          <w:p w14:paraId="38CE2037"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780</w:t>
            </w:r>
          </w:p>
        </w:tc>
        <w:tc>
          <w:tcPr>
            <w:tcW w:w="1701" w:type="dxa"/>
            <w:gridSpan w:val="2"/>
            <w:tcBorders>
              <w:top w:val="single" w:sz="4" w:space="0" w:color="auto"/>
              <w:left w:val="nil"/>
              <w:bottom w:val="single" w:sz="4" w:space="0" w:color="auto"/>
              <w:right w:val="single" w:sz="4" w:space="0" w:color="auto"/>
            </w:tcBorders>
            <w:shd w:val="clear" w:color="auto" w:fill="auto"/>
            <w:noWrap/>
            <w:vAlign w:val="bottom"/>
          </w:tcPr>
          <w:p w14:paraId="56B6A277"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1 010,62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8389D2"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991,79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4B07EB"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98,14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14:paraId="757B98E9"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90,71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A61AFB"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18,83</w:t>
            </w:r>
          </w:p>
        </w:tc>
      </w:tr>
      <w:tr w:rsidR="000711E6" w:rsidRPr="00E47AA9" w14:paraId="6E23F887" w14:textId="77777777" w:rsidTr="00845A54">
        <w:trPr>
          <w:trHeight w:val="397"/>
        </w:trPr>
        <w:tc>
          <w:tcPr>
            <w:tcW w:w="2983" w:type="dxa"/>
            <w:tcBorders>
              <w:top w:val="nil"/>
              <w:left w:val="single" w:sz="8" w:space="0" w:color="auto"/>
              <w:bottom w:val="single" w:sz="8" w:space="0" w:color="auto"/>
              <w:right w:val="single" w:sz="8" w:space="0" w:color="auto"/>
            </w:tcBorders>
            <w:shd w:val="clear" w:color="auto" w:fill="auto"/>
            <w:vAlign w:val="center"/>
            <w:hideMark/>
          </w:tcPr>
          <w:p w14:paraId="6B0B6F79" w14:textId="77777777" w:rsidR="000711E6" w:rsidRPr="00E47AA9" w:rsidRDefault="000711E6" w:rsidP="00845A54">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Агентство международного сотрудничества Приморского края</w:t>
            </w:r>
          </w:p>
        </w:tc>
        <w:tc>
          <w:tcPr>
            <w:tcW w:w="567" w:type="dxa"/>
            <w:gridSpan w:val="2"/>
            <w:tcBorders>
              <w:top w:val="single" w:sz="4" w:space="0" w:color="auto"/>
              <w:left w:val="single" w:sz="4" w:space="0" w:color="auto"/>
              <w:bottom w:val="single" w:sz="4" w:space="0" w:color="auto"/>
              <w:right w:val="single" w:sz="4" w:space="0" w:color="auto"/>
            </w:tcBorders>
            <w:vAlign w:val="bottom"/>
          </w:tcPr>
          <w:p w14:paraId="30C0607B"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793</w:t>
            </w:r>
          </w:p>
        </w:tc>
        <w:tc>
          <w:tcPr>
            <w:tcW w:w="1701" w:type="dxa"/>
            <w:gridSpan w:val="2"/>
            <w:tcBorders>
              <w:top w:val="single" w:sz="4" w:space="0" w:color="auto"/>
              <w:left w:val="nil"/>
              <w:bottom w:val="single" w:sz="4" w:space="0" w:color="auto"/>
              <w:right w:val="single" w:sz="4" w:space="0" w:color="auto"/>
            </w:tcBorders>
            <w:shd w:val="clear" w:color="auto" w:fill="auto"/>
            <w:noWrap/>
            <w:vAlign w:val="bottom"/>
          </w:tcPr>
          <w:p w14:paraId="5F421B55"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46,74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1F851E"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46,46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427F55"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99,40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14:paraId="4C1B9288"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4,25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D13D27"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0,28</w:t>
            </w:r>
          </w:p>
        </w:tc>
      </w:tr>
    </w:tbl>
    <w:p w14:paraId="75023A71" w14:textId="77777777" w:rsidR="000711E6" w:rsidRPr="00E47AA9" w:rsidRDefault="000711E6" w:rsidP="000711E6">
      <w:pPr>
        <w:tabs>
          <w:tab w:val="left" w:pos="1560"/>
          <w:tab w:val="left" w:pos="2410"/>
          <w:tab w:val="left" w:pos="8505"/>
        </w:tabs>
        <w:spacing w:after="0" w:line="240" w:lineRule="auto"/>
        <w:ind w:firstLine="709"/>
        <w:jc w:val="both"/>
        <w:rPr>
          <w:rFonts w:ascii="Times New Roman" w:eastAsia="Times New Roman" w:hAnsi="Times New Roman" w:cs="Times New Roman"/>
          <w:sz w:val="28"/>
          <w:szCs w:val="28"/>
        </w:rPr>
      </w:pPr>
    </w:p>
    <w:p w14:paraId="7188F45D"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Исполнение ГП в 2024 году в разрезе структурных элементов и включенных в их состав региональных проектов представлено в таблице.</w:t>
      </w:r>
    </w:p>
    <w:p w14:paraId="2E13829B"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lang w:eastAsia="ru-RU"/>
        </w:rPr>
      </w:pPr>
    </w:p>
    <w:tbl>
      <w:tblPr>
        <w:tblW w:w="9700" w:type="dxa"/>
        <w:tblInd w:w="-147" w:type="dxa"/>
        <w:tblLook w:val="04A0" w:firstRow="1" w:lastRow="0" w:firstColumn="1" w:lastColumn="0" w:noHBand="0" w:noVBand="1"/>
      </w:tblPr>
      <w:tblGrid>
        <w:gridCol w:w="3119"/>
        <w:gridCol w:w="1559"/>
        <w:gridCol w:w="1897"/>
        <w:gridCol w:w="1722"/>
        <w:gridCol w:w="1403"/>
      </w:tblGrid>
      <w:tr w:rsidR="00E47AA9" w:rsidRPr="00E47AA9" w14:paraId="626B70C1" w14:textId="77777777" w:rsidTr="00845A54">
        <w:trPr>
          <w:trHeight w:val="269"/>
          <w:tblHeader/>
        </w:trPr>
        <w:tc>
          <w:tcPr>
            <w:tcW w:w="9700" w:type="dxa"/>
            <w:gridSpan w:val="5"/>
            <w:tcBorders>
              <w:bottom w:val="single" w:sz="4" w:space="0" w:color="auto"/>
            </w:tcBorders>
            <w:shd w:val="clear" w:color="auto" w:fill="auto"/>
            <w:vAlign w:val="center"/>
          </w:tcPr>
          <w:p w14:paraId="3D8640A9" w14:textId="77777777" w:rsidR="000711E6" w:rsidRPr="00E47AA9" w:rsidRDefault="000711E6" w:rsidP="00845A54">
            <w:pPr>
              <w:spacing w:after="0" w:line="240" w:lineRule="auto"/>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2EAF47A8" w14:textId="77777777" w:rsidTr="00845A54">
        <w:trPr>
          <w:trHeight w:val="509"/>
          <w:tblHeader/>
        </w:trPr>
        <w:tc>
          <w:tcPr>
            <w:tcW w:w="31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D18264"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Наименование </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840DD8"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Уточненные бюджетные назначения </w:t>
            </w:r>
          </w:p>
          <w:p w14:paraId="2313F74E"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 2024 год</w:t>
            </w:r>
          </w:p>
        </w:tc>
        <w:tc>
          <w:tcPr>
            <w:tcW w:w="18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032B06"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Исполнено </w:t>
            </w:r>
          </w:p>
          <w:p w14:paraId="24966E28"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за 2024 год</w:t>
            </w:r>
          </w:p>
        </w:tc>
        <w:tc>
          <w:tcPr>
            <w:tcW w:w="17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0CBA5D"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Неисполненные бюджетные назначения</w:t>
            </w:r>
          </w:p>
        </w:tc>
        <w:tc>
          <w:tcPr>
            <w:tcW w:w="14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5666B7" w14:textId="77777777" w:rsidR="000711E6" w:rsidRPr="00E47AA9" w:rsidRDefault="000711E6" w:rsidP="00845A5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исполнения</w:t>
            </w:r>
          </w:p>
        </w:tc>
      </w:tr>
      <w:tr w:rsidR="00E47AA9" w:rsidRPr="00E47AA9" w14:paraId="155C0A27" w14:textId="77777777" w:rsidTr="00845A54">
        <w:trPr>
          <w:trHeight w:val="509"/>
          <w:tblHeader/>
        </w:trPr>
        <w:tc>
          <w:tcPr>
            <w:tcW w:w="3119" w:type="dxa"/>
            <w:vMerge/>
            <w:tcBorders>
              <w:top w:val="single" w:sz="4" w:space="0" w:color="auto"/>
              <w:left w:val="single" w:sz="4" w:space="0" w:color="auto"/>
              <w:bottom w:val="single" w:sz="4" w:space="0" w:color="auto"/>
              <w:right w:val="single" w:sz="4" w:space="0" w:color="auto"/>
            </w:tcBorders>
            <w:vAlign w:val="center"/>
            <w:hideMark/>
          </w:tcPr>
          <w:p w14:paraId="155CD552" w14:textId="77777777" w:rsidR="000711E6" w:rsidRPr="00E47AA9" w:rsidRDefault="000711E6" w:rsidP="00845A54">
            <w:pPr>
              <w:spacing w:after="0" w:line="240" w:lineRule="auto"/>
              <w:rPr>
                <w:rFonts w:ascii="Times New Roman" w:eastAsia="Times New Roman" w:hAnsi="Times New Roman" w:cs="Times New Roman"/>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57063BD" w14:textId="77777777" w:rsidR="000711E6" w:rsidRPr="00E47AA9" w:rsidRDefault="000711E6" w:rsidP="00845A54">
            <w:pPr>
              <w:spacing w:after="0" w:line="240" w:lineRule="auto"/>
              <w:rPr>
                <w:rFonts w:ascii="Times New Roman" w:eastAsia="Times New Roman" w:hAnsi="Times New Roman" w:cs="Times New Roman"/>
                <w:sz w:val="20"/>
                <w:szCs w:val="20"/>
                <w:lang w:eastAsia="ru-RU"/>
              </w:rPr>
            </w:pPr>
          </w:p>
        </w:tc>
        <w:tc>
          <w:tcPr>
            <w:tcW w:w="1897" w:type="dxa"/>
            <w:vMerge/>
            <w:tcBorders>
              <w:top w:val="single" w:sz="4" w:space="0" w:color="auto"/>
              <w:left w:val="single" w:sz="4" w:space="0" w:color="auto"/>
              <w:bottom w:val="single" w:sz="4" w:space="0" w:color="auto"/>
              <w:right w:val="single" w:sz="4" w:space="0" w:color="auto"/>
            </w:tcBorders>
            <w:vAlign w:val="center"/>
            <w:hideMark/>
          </w:tcPr>
          <w:p w14:paraId="63AEFEEF" w14:textId="77777777" w:rsidR="000711E6" w:rsidRPr="00E47AA9" w:rsidRDefault="000711E6" w:rsidP="00845A54">
            <w:pPr>
              <w:spacing w:after="0" w:line="240" w:lineRule="auto"/>
              <w:rPr>
                <w:rFonts w:ascii="Times New Roman" w:eastAsia="Times New Roman" w:hAnsi="Times New Roman" w:cs="Times New Roman"/>
                <w:sz w:val="20"/>
                <w:szCs w:val="20"/>
                <w:lang w:eastAsia="ru-RU"/>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B76F648" w14:textId="77777777" w:rsidR="000711E6" w:rsidRPr="00E47AA9" w:rsidRDefault="000711E6" w:rsidP="00845A54">
            <w:pPr>
              <w:spacing w:after="0" w:line="240" w:lineRule="auto"/>
              <w:rPr>
                <w:rFonts w:ascii="Times New Roman" w:eastAsia="Times New Roman" w:hAnsi="Times New Roman" w:cs="Times New Roman"/>
                <w:sz w:val="20"/>
                <w:szCs w:val="20"/>
                <w:lang w:eastAsia="ru-RU"/>
              </w:rPr>
            </w:pPr>
          </w:p>
        </w:tc>
        <w:tc>
          <w:tcPr>
            <w:tcW w:w="1403" w:type="dxa"/>
            <w:vMerge/>
            <w:tcBorders>
              <w:top w:val="single" w:sz="4" w:space="0" w:color="auto"/>
              <w:left w:val="single" w:sz="4" w:space="0" w:color="auto"/>
              <w:bottom w:val="single" w:sz="4" w:space="0" w:color="auto"/>
              <w:right w:val="single" w:sz="4" w:space="0" w:color="auto"/>
            </w:tcBorders>
            <w:vAlign w:val="center"/>
            <w:hideMark/>
          </w:tcPr>
          <w:p w14:paraId="2DD311BB" w14:textId="77777777" w:rsidR="000711E6" w:rsidRPr="00E47AA9" w:rsidRDefault="000711E6" w:rsidP="00845A54">
            <w:pPr>
              <w:spacing w:after="0" w:line="240" w:lineRule="auto"/>
              <w:rPr>
                <w:rFonts w:ascii="Times New Roman" w:eastAsia="Times New Roman" w:hAnsi="Times New Roman" w:cs="Times New Roman"/>
                <w:sz w:val="20"/>
                <w:szCs w:val="20"/>
                <w:lang w:eastAsia="ru-RU"/>
              </w:rPr>
            </w:pPr>
          </w:p>
        </w:tc>
      </w:tr>
      <w:tr w:rsidR="00E47AA9" w:rsidRPr="00E47AA9" w14:paraId="5849AF57" w14:textId="77777777" w:rsidTr="00845A54">
        <w:trPr>
          <w:trHeight w:val="167"/>
        </w:trPr>
        <w:tc>
          <w:tcPr>
            <w:tcW w:w="3119" w:type="dxa"/>
            <w:tcBorders>
              <w:top w:val="single" w:sz="4" w:space="0" w:color="auto"/>
              <w:left w:val="single" w:sz="4" w:space="0" w:color="auto"/>
              <w:bottom w:val="single" w:sz="4" w:space="0" w:color="auto"/>
              <w:right w:val="single" w:sz="4" w:space="0" w:color="auto"/>
            </w:tcBorders>
            <w:shd w:val="clear" w:color="auto" w:fill="auto"/>
          </w:tcPr>
          <w:p w14:paraId="06FE3E22" w14:textId="77777777" w:rsidR="000711E6" w:rsidRPr="00E47AA9" w:rsidRDefault="000711E6" w:rsidP="00845A54">
            <w:pPr>
              <w:spacing w:after="0" w:line="240" w:lineRule="auto"/>
              <w:rPr>
                <w:rFonts w:ascii="Times New Roman" w:hAnsi="Times New Roman" w:cs="Times New Roman"/>
                <w:b/>
                <w:bCs/>
              </w:rPr>
            </w:pPr>
            <w:r w:rsidRPr="00E47AA9">
              <w:rPr>
                <w:rFonts w:ascii="Times New Roman" w:hAnsi="Times New Roman" w:cs="Times New Roman"/>
                <w:b/>
                <w:bCs/>
              </w:rPr>
              <w:t>Расходы по ГП всего,</w:t>
            </w:r>
          </w:p>
          <w:p w14:paraId="62A24829" w14:textId="77777777" w:rsidR="000711E6" w:rsidRPr="00E47AA9" w:rsidRDefault="000711E6" w:rsidP="00845A54">
            <w:pPr>
              <w:spacing w:after="0" w:line="240" w:lineRule="auto"/>
              <w:rPr>
                <w:rFonts w:ascii="Times New Roman" w:hAnsi="Times New Roman" w:cs="Times New Roman"/>
                <w:bCs/>
              </w:rPr>
            </w:pPr>
            <w:r w:rsidRPr="00E47AA9">
              <w:rPr>
                <w:rFonts w:ascii="Times New Roman" w:hAnsi="Times New Roman" w:cs="Times New Roman"/>
                <w:bCs/>
              </w:rPr>
              <w:t>в том числе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14:paraId="06B73460" w14:textId="77777777" w:rsidR="000711E6" w:rsidRPr="00E47AA9" w:rsidRDefault="000711E6" w:rsidP="00845A54">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1 112,52</w:t>
            </w:r>
          </w:p>
        </w:tc>
        <w:tc>
          <w:tcPr>
            <w:tcW w:w="1897" w:type="dxa"/>
            <w:tcBorders>
              <w:top w:val="single" w:sz="4" w:space="0" w:color="auto"/>
              <w:left w:val="single" w:sz="4" w:space="0" w:color="auto"/>
              <w:bottom w:val="single" w:sz="4" w:space="0" w:color="auto"/>
              <w:right w:val="single" w:sz="4" w:space="0" w:color="auto"/>
            </w:tcBorders>
            <w:shd w:val="clear" w:color="auto" w:fill="auto"/>
            <w:vAlign w:val="bottom"/>
          </w:tcPr>
          <w:p w14:paraId="3D60F46F" w14:textId="77777777" w:rsidR="000711E6" w:rsidRPr="00E47AA9" w:rsidRDefault="000711E6" w:rsidP="00845A54">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1 093,41</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bottom"/>
          </w:tcPr>
          <w:p w14:paraId="4B8E0A95" w14:textId="77777777" w:rsidR="000711E6" w:rsidRPr="00E47AA9" w:rsidRDefault="000711E6" w:rsidP="00845A54">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19,11</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bottom"/>
          </w:tcPr>
          <w:p w14:paraId="2338E22D" w14:textId="77777777" w:rsidR="000711E6" w:rsidRPr="00E47AA9" w:rsidRDefault="000711E6" w:rsidP="00845A54">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98,28</w:t>
            </w:r>
          </w:p>
        </w:tc>
      </w:tr>
      <w:tr w:rsidR="00E47AA9" w:rsidRPr="00E47AA9" w14:paraId="39A7E910" w14:textId="77777777" w:rsidTr="00845A54">
        <w:trPr>
          <w:trHeight w:val="287"/>
        </w:trPr>
        <w:tc>
          <w:tcPr>
            <w:tcW w:w="3119" w:type="dxa"/>
            <w:tcBorders>
              <w:top w:val="single" w:sz="4" w:space="0" w:color="auto"/>
              <w:left w:val="single" w:sz="4" w:space="0" w:color="auto"/>
              <w:bottom w:val="single" w:sz="4" w:space="0" w:color="auto"/>
              <w:right w:val="single" w:sz="4" w:space="0" w:color="auto"/>
            </w:tcBorders>
            <w:shd w:val="clear" w:color="000000" w:fill="FFFFFF"/>
          </w:tcPr>
          <w:p w14:paraId="1DD87207" w14:textId="77777777" w:rsidR="000711E6" w:rsidRPr="00E47AA9" w:rsidRDefault="000711E6" w:rsidP="00845A54">
            <w:pPr>
              <w:spacing w:after="0" w:line="240" w:lineRule="auto"/>
              <w:rPr>
                <w:rFonts w:ascii="Times New Roman" w:hAnsi="Times New Roman" w:cs="Times New Roman"/>
                <w:b/>
                <w:bCs/>
              </w:rPr>
            </w:pPr>
            <w:r w:rsidRPr="00E47AA9">
              <w:rPr>
                <w:rFonts w:ascii="Times New Roman" w:hAnsi="Times New Roman" w:cs="Times New Roman"/>
                <w:b/>
                <w:bCs/>
              </w:rPr>
              <w:t xml:space="preserve">проектные мероприятия </w:t>
            </w:r>
          </w:p>
        </w:tc>
        <w:tc>
          <w:tcPr>
            <w:tcW w:w="1559" w:type="dxa"/>
            <w:tcBorders>
              <w:top w:val="single" w:sz="4" w:space="0" w:color="auto"/>
              <w:left w:val="nil"/>
              <w:bottom w:val="single" w:sz="4" w:space="0" w:color="auto"/>
              <w:right w:val="single" w:sz="4" w:space="0" w:color="auto"/>
            </w:tcBorders>
            <w:shd w:val="clear" w:color="auto" w:fill="auto"/>
            <w:vAlign w:val="bottom"/>
          </w:tcPr>
          <w:p w14:paraId="139B2CB8"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170,73</w:t>
            </w:r>
          </w:p>
        </w:tc>
        <w:tc>
          <w:tcPr>
            <w:tcW w:w="1897" w:type="dxa"/>
            <w:tcBorders>
              <w:top w:val="single" w:sz="4" w:space="0" w:color="auto"/>
              <w:left w:val="single" w:sz="4" w:space="0" w:color="auto"/>
              <w:bottom w:val="single" w:sz="4" w:space="0" w:color="auto"/>
              <w:right w:val="single" w:sz="4" w:space="0" w:color="auto"/>
            </w:tcBorders>
            <w:shd w:val="clear" w:color="auto" w:fill="auto"/>
            <w:vAlign w:val="bottom"/>
          </w:tcPr>
          <w:p w14:paraId="430F4ED5"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170,73</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bottom"/>
          </w:tcPr>
          <w:p w14:paraId="3D501FDD"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bottom"/>
          </w:tcPr>
          <w:p w14:paraId="45E33CFF"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3CA71A50" w14:textId="77777777" w:rsidTr="00845A54">
        <w:trPr>
          <w:trHeight w:val="279"/>
        </w:trPr>
        <w:tc>
          <w:tcPr>
            <w:tcW w:w="3119" w:type="dxa"/>
            <w:tcBorders>
              <w:top w:val="single" w:sz="4" w:space="0" w:color="auto"/>
              <w:left w:val="single" w:sz="4" w:space="0" w:color="auto"/>
              <w:bottom w:val="single" w:sz="4" w:space="0" w:color="auto"/>
              <w:right w:val="single" w:sz="4" w:space="0" w:color="auto"/>
            </w:tcBorders>
            <w:shd w:val="clear" w:color="000000" w:fill="FFFFFF"/>
          </w:tcPr>
          <w:p w14:paraId="79A4F043" w14:textId="77777777" w:rsidR="000711E6" w:rsidRPr="00E47AA9" w:rsidRDefault="000711E6" w:rsidP="00845A54">
            <w:pPr>
              <w:spacing w:after="0" w:line="240" w:lineRule="auto"/>
              <w:rPr>
                <w:rFonts w:ascii="Times New Roman" w:hAnsi="Times New Roman" w:cs="Times New Roman"/>
                <w:b/>
                <w:i/>
                <w:iCs/>
              </w:rPr>
            </w:pPr>
            <w:r w:rsidRPr="00E47AA9">
              <w:rPr>
                <w:rFonts w:ascii="Times New Roman" w:hAnsi="Times New Roman" w:cs="Times New Roman"/>
                <w:b/>
                <w:i/>
                <w:iCs/>
              </w:rPr>
              <w:t>РП, входящие в состав НП</w:t>
            </w:r>
          </w:p>
        </w:tc>
        <w:tc>
          <w:tcPr>
            <w:tcW w:w="1559" w:type="dxa"/>
            <w:tcBorders>
              <w:top w:val="single" w:sz="4" w:space="0" w:color="auto"/>
              <w:left w:val="nil"/>
              <w:bottom w:val="single" w:sz="4" w:space="0" w:color="auto"/>
              <w:right w:val="single" w:sz="4" w:space="0" w:color="auto"/>
            </w:tcBorders>
            <w:shd w:val="clear" w:color="auto" w:fill="auto"/>
            <w:vAlign w:val="bottom"/>
          </w:tcPr>
          <w:p w14:paraId="47A2384B"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170,73</w:t>
            </w:r>
          </w:p>
        </w:tc>
        <w:tc>
          <w:tcPr>
            <w:tcW w:w="1897" w:type="dxa"/>
            <w:tcBorders>
              <w:top w:val="single" w:sz="4" w:space="0" w:color="auto"/>
              <w:left w:val="single" w:sz="4" w:space="0" w:color="auto"/>
              <w:bottom w:val="single" w:sz="4" w:space="0" w:color="auto"/>
              <w:right w:val="single" w:sz="4" w:space="0" w:color="auto"/>
            </w:tcBorders>
            <w:shd w:val="clear" w:color="auto" w:fill="auto"/>
            <w:vAlign w:val="bottom"/>
          </w:tcPr>
          <w:p w14:paraId="35567C20"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170,73</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bottom"/>
          </w:tcPr>
          <w:p w14:paraId="51E49A29"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bottom"/>
          </w:tcPr>
          <w:p w14:paraId="49FAFC1F"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671EB424" w14:textId="77777777" w:rsidTr="00845A54">
        <w:trPr>
          <w:trHeight w:val="533"/>
        </w:trPr>
        <w:tc>
          <w:tcPr>
            <w:tcW w:w="3119" w:type="dxa"/>
            <w:tcBorders>
              <w:top w:val="single" w:sz="4" w:space="0" w:color="auto"/>
              <w:left w:val="single" w:sz="4" w:space="0" w:color="auto"/>
              <w:bottom w:val="single" w:sz="4" w:space="0" w:color="auto"/>
              <w:right w:val="single" w:sz="4" w:space="0" w:color="auto"/>
            </w:tcBorders>
            <w:shd w:val="clear" w:color="000000" w:fill="FFFFFF"/>
          </w:tcPr>
          <w:p w14:paraId="71A93BDC" w14:textId="77777777" w:rsidR="000711E6" w:rsidRPr="00E47AA9" w:rsidRDefault="000711E6" w:rsidP="00845A54">
            <w:pPr>
              <w:spacing w:after="0" w:line="240" w:lineRule="auto"/>
              <w:rPr>
                <w:rFonts w:ascii="Times New Roman" w:hAnsi="Times New Roman" w:cs="Times New Roman"/>
                <w:b/>
                <w:i/>
              </w:rPr>
            </w:pPr>
            <w:r w:rsidRPr="00E47AA9">
              <w:rPr>
                <w:rFonts w:ascii="Times New Roman" w:hAnsi="Times New Roman" w:cs="Times New Roman"/>
                <w:b/>
                <w:i/>
              </w:rPr>
              <w:t>НП "Туризм и индустрия гостеприимства"</w:t>
            </w:r>
          </w:p>
        </w:tc>
        <w:tc>
          <w:tcPr>
            <w:tcW w:w="1559" w:type="dxa"/>
            <w:tcBorders>
              <w:top w:val="single" w:sz="4" w:space="0" w:color="auto"/>
              <w:left w:val="nil"/>
              <w:bottom w:val="single" w:sz="4" w:space="0" w:color="auto"/>
              <w:right w:val="single" w:sz="4" w:space="0" w:color="auto"/>
            </w:tcBorders>
            <w:shd w:val="clear" w:color="auto" w:fill="auto"/>
            <w:vAlign w:val="bottom"/>
          </w:tcPr>
          <w:p w14:paraId="046A6E19"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170,73</w:t>
            </w:r>
          </w:p>
        </w:tc>
        <w:tc>
          <w:tcPr>
            <w:tcW w:w="1897" w:type="dxa"/>
            <w:tcBorders>
              <w:top w:val="single" w:sz="4" w:space="0" w:color="auto"/>
              <w:left w:val="single" w:sz="4" w:space="0" w:color="auto"/>
              <w:bottom w:val="single" w:sz="4" w:space="0" w:color="auto"/>
              <w:right w:val="single" w:sz="4" w:space="0" w:color="auto"/>
            </w:tcBorders>
            <w:shd w:val="clear" w:color="auto" w:fill="auto"/>
            <w:vAlign w:val="bottom"/>
          </w:tcPr>
          <w:p w14:paraId="020E5C46"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170,73</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bottom"/>
          </w:tcPr>
          <w:p w14:paraId="7BF69CD4"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bottom"/>
          </w:tcPr>
          <w:p w14:paraId="3EEB6216"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1EB79BD4" w14:textId="77777777" w:rsidTr="00845A54">
        <w:trPr>
          <w:trHeight w:val="533"/>
        </w:trPr>
        <w:tc>
          <w:tcPr>
            <w:tcW w:w="3119" w:type="dxa"/>
            <w:tcBorders>
              <w:top w:val="single" w:sz="4" w:space="0" w:color="auto"/>
              <w:left w:val="single" w:sz="4" w:space="0" w:color="auto"/>
              <w:bottom w:val="single" w:sz="4" w:space="0" w:color="auto"/>
              <w:right w:val="single" w:sz="4" w:space="0" w:color="auto"/>
            </w:tcBorders>
            <w:shd w:val="clear" w:color="000000" w:fill="FFFFFF"/>
          </w:tcPr>
          <w:p w14:paraId="1FF1B43A" w14:textId="77777777" w:rsidR="000711E6" w:rsidRPr="00E47AA9" w:rsidRDefault="000711E6" w:rsidP="00845A54">
            <w:pPr>
              <w:spacing w:after="0" w:line="240" w:lineRule="auto"/>
              <w:rPr>
                <w:rFonts w:ascii="Times New Roman" w:hAnsi="Times New Roman" w:cs="Times New Roman"/>
              </w:rPr>
            </w:pPr>
            <w:r w:rsidRPr="00E47AA9">
              <w:rPr>
                <w:rFonts w:ascii="Times New Roman" w:hAnsi="Times New Roman" w:cs="Times New Roman"/>
              </w:rPr>
              <w:t>региональный проект "Развитие туристической инфраструктуры"</w:t>
            </w:r>
          </w:p>
        </w:tc>
        <w:tc>
          <w:tcPr>
            <w:tcW w:w="1559" w:type="dxa"/>
            <w:tcBorders>
              <w:top w:val="single" w:sz="4" w:space="0" w:color="auto"/>
              <w:left w:val="nil"/>
              <w:bottom w:val="single" w:sz="4" w:space="0" w:color="auto"/>
              <w:right w:val="single" w:sz="4" w:space="0" w:color="auto"/>
            </w:tcBorders>
            <w:shd w:val="clear" w:color="auto" w:fill="auto"/>
            <w:vAlign w:val="bottom"/>
          </w:tcPr>
          <w:p w14:paraId="169BE52C"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170,73</w:t>
            </w:r>
          </w:p>
        </w:tc>
        <w:tc>
          <w:tcPr>
            <w:tcW w:w="1897" w:type="dxa"/>
            <w:tcBorders>
              <w:top w:val="single" w:sz="4" w:space="0" w:color="auto"/>
              <w:left w:val="single" w:sz="4" w:space="0" w:color="auto"/>
              <w:bottom w:val="single" w:sz="4" w:space="0" w:color="auto"/>
              <w:right w:val="single" w:sz="4" w:space="0" w:color="auto"/>
            </w:tcBorders>
            <w:shd w:val="clear" w:color="auto" w:fill="auto"/>
            <w:vAlign w:val="bottom"/>
          </w:tcPr>
          <w:p w14:paraId="75B38320"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170,73</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bottom"/>
          </w:tcPr>
          <w:p w14:paraId="02BA6108"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bottom"/>
          </w:tcPr>
          <w:p w14:paraId="432933DE"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455629CE" w14:textId="77777777" w:rsidTr="00845A54">
        <w:trPr>
          <w:trHeight w:val="410"/>
        </w:trPr>
        <w:tc>
          <w:tcPr>
            <w:tcW w:w="3119" w:type="dxa"/>
            <w:tcBorders>
              <w:top w:val="single" w:sz="4" w:space="0" w:color="auto"/>
              <w:left w:val="single" w:sz="4" w:space="0" w:color="auto"/>
              <w:bottom w:val="single" w:sz="4" w:space="0" w:color="auto"/>
              <w:right w:val="single" w:sz="4" w:space="0" w:color="auto"/>
            </w:tcBorders>
            <w:shd w:val="clear" w:color="000000" w:fill="FFFFFF"/>
          </w:tcPr>
          <w:p w14:paraId="04E1C5C6" w14:textId="77777777" w:rsidR="000711E6" w:rsidRPr="00E47AA9" w:rsidRDefault="000711E6" w:rsidP="00845A54">
            <w:pPr>
              <w:spacing w:after="0" w:line="240" w:lineRule="auto"/>
              <w:rPr>
                <w:rFonts w:ascii="Times New Roman" w:hAnsi="Times New Roman" w:cs="Times New Roman"/>
                <w:b/>
                <w:bCs/>
              </w:rPr>
            </w:pPr>
            <w:r w:rsidRPr="00E47AA9">
              <w:rPr>
                <w:rFonts w:ascii="Times New Roman" w:hAnsi="Times New Roman" w:cs="Times New Roman"/>
                <w:b/>
                <w:bCs/>
              </w:rPr>
              <w:t>комплексы процессных мероприятий</w:t>
            </w:r>
          </w:p>
        </w:tc>
        <w:tc>
          <w:tcPr>
            <w:tcW w:w="1559" w:type="dxa"/>
            <w:tcBorders>
              <w:top w:val="single" w:sz="4" w:space="0" w:color="auto"/>
              <w:left w:val="nil"/>
              <w:bottom w:val="single" w:sz="4" w:space="0" w:color="auto"/>
              <w:right w:val="single" w:sz="4" w:space="0" w:color="auto"/>
            </w:tcBorders>
            <w:shd w:val="clear" w:color="auto" w:fill="auto"/>
            <w:vAlign w:val="bottom"/>
          </w:tcPr>
          <w:p w14:paraId="646CE16B"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941,79</w:t>
            </w:r>
          </w:p>
        </w:tc>
        <w:tc>
          <w:tcPr>
            <w:tcW w:w="1897" w:type="dxa"/>
            <w:tcBorders>
              <w:top w:val="single" w:sz="4" w:space="0" w:color="auto"/>
              <w:left w:val="single" w:sz="4" w:space="0" w:color="auto"/>
              <w:bottom w:val="single" w:sz="4" w:space="0" w:color="auto"/>
              <w:right w:val="single" w:sz="4" w:space="0" w:color="auto"/>
            </w:tcBorders>
            <w:shd w:val="clear" w:color="auto" w:fill="auto"/>
            <w:vAlign w:val="bottom"/>
          </w:tcPr>
          <w:p w14:paraId="4010B152"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922,68</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bottom"/>
          </w:tcPr>
          <w:p w14:paraId="5B6F5C65"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19,11</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bottom"/>
          </w:tcPr>
          <w:p w14:paraId="5A388514" w14:textId="77777777" w:rsidR="000711E6" w:rsidRPr="00E47AA9" w:rsidRDefault="000711E6" w:rsidP="00845A54">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97,97</w:t>
            </w:r>
          </w:p>
        </w:tc>
      </w:tr>
    </w:tbl>
    <w:p w14:paraId="158EA000"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p>
    <w:p w14:paraId="6D9E1418" w14:textId="2A8408DB" w:rsidR="00AB51B2" w:rsidRPr="00E47AA9" w:rsidRDefault="00AB51B2"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Согласно Сводному годовому докладу:</w:t>
      </w:r>
    </w:p>
    <w:p w14:paraId="26549426" w14:textId="1A7902F9" w:rsidR="00AB51B2" w:rsidRPr="00E47AA9" w:rsidRDefault="004F4858"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sz w:val="28"/>
          <w:szCs w:val="28"/>
        </w:rPr>
        <w:t>и</w:t>
      </w:r>
      <w:r w:rsidR="00C430BC" w:rsidRPr="00E47AA9">
        <w:rPr>
          <w:rFonts w:ascii="Times New Roman" w:eastAsia="Calibri" w:hAnsi="Times New Roman" w:cs="Times New Roman"/>
          <w:sz w:val="28"/>
          <w:szCs w:val="28"/>
        </w:rPr>
        <w:t>з 26 мероприятий государственной программы, запланированных</w:t>
      </w:r>
      <w:r w:rsidR="00C430BC" w:rsidRPr="00E47AA9">
        <w:rPr>
          <w:rFonts w:ascii="Times New Roman" w:eastAsia="Calibri" w:hAnsi="Times New Roman" w:cs="Times New Roman"/>
          <w:sz w:val="28"/>
          <w:szCs w:val="28"/>
        </w:rPr>
        <w:br/>
        <w:t xml:space="preserve">к выполнению в 2024 году, </w:t>
      </w:r>
      <w:r w:rsidR="00C430BC" w:rsidRPr="00E47AA9">
        <w:rPr>
          <w:rFonts w:ascii="Times New Roman" w:eastAsia="Times New Roman" w:hAnsi="Times New Roman" w:cs="Times New Roman"/>
          <w:sz w:val="28"/>
          <w:szCs w:val="28"/>
          <w:lang w:eastAsia="ru-RU"/>
        </w:rPr>
        <w:t xml:space="preserve">выполнены в полном объеме </w:t>
      </w:r>
      <w:r w:rsidR="00C430BC" w:rsidRPr="00E47AA9">
        <w:rPr>
          <w:rFonts w:ascii="Times New Roman" w:eastAsia="Times New Roman" w:hAnsi="Times New Roman" w:cs="Times New Roman"/>
          <w:bCs/>
          <w:sz w:val="28"/>
          <w:szCs w:val="28"/>
          <w:lang w:eastAsia="ru-RU"/>
        </w:rPr>
        <w:t>22</w:t>
      </w:r>
      <w:r w:rsidR="00C430BC" w:rsidRPr="00E47AA9">
        <w:rPr>
          <w:rFonts w:ascii="Times New Roman" w:eastAsia="Times New Roman" w:hAnsi="Times New Roman" w:cs="Times New Roman"/>
          <w:sz w:val="28"/>
          <w:szCs w:val="28"/>
          <w:lang w:eastAsia="ru-RU"/>
        </w:rPr>
        <w:t xml:space="preserve"> мероприятия,</w:t>
      </w:r>
      <w:r w:rsidR="00C430BC" w:rsidRPr="00E47AA9">
        <w:rPr>
          <w:rFonts w:ascii="Times New Roman" w:eastAsia="Times New Roman" w:hAnsi="Times New Roman" w:cs="Times New Roman"/>
          <w:sz w:val="28"/>
          <w:szCs w:val="28"/>
          <w:lang w:eastAsia="ru-RU"/>
        </w:rPr>
        <w:br/>
      </w:r>
      <w:r w:rsidR="00C430BC" w:rsidRPr="00E47AA9">
        <w:rPr>
          <w:rFonts w:ascii="Times New Roman" w:eastAsia="Times New Roman" w:hAnsi="Times New Roman" w:cs="Times New Roman"/>
          <w:bCs/>
          <w:sz w:val="28"/>
          <w:szCs w:val="28"/>
          <w:lang w:eastAsia="ru-RU"/>
        </w:rPr>
        <w:t>3</w:t>
      </w:r>
      <w:r w:rsidR="00C430BC" w:rsidRPr="00E47AA9">
        <w:rPr>
          <w:rFonts w:ascii="Times New Roman" w:eastAsia="Times New Roman" w:hAnsi="Times New Roman" w:cs="Times New Roman"/>
          <w:sz w:val="28"/>
          <w:szCs w:val="28"/>
          <w:lang w:eastAsia="ru-RU"/>
        </w:rPr>
        <w:t xml:space="preserve"> мероприятия не выполнены, </w:t>
      </w:r>
      <w:r w:rsidR="00C430BC" w:rsidRPr="00E47AA9">
        <w:rPr>
          <w:rFonts w:ascii="Times New Roman" w:eastAsia="Times New Roman" w:hAnsi="Times New Roman" w:cs="Times New Roman"/>
          <w:bCs/>
          <w:sz w:val="28"/>
          <w:szCs w:val="28"/>
          <w:lang w:eastAsia="ru-RU"/>
        </w:rPr>
        <w:t>1</w:t>
      </w:r>
      <w:r w:rsidR="00C430BC" w:rsidRPr="00E47AA9">
        <w:rPr>
          <w:rFonts w:ascii="Times New Roman" w:eastAsia="Times New Roman" w:hAnsi="Times New Roman" w:cs="Times New Roman"/>
          <w:sz w:val="28"/>
          <w:szCs w:val="28"/>
          <w:lang w:eastAsia="ru-RU"/>
        </w:rPr>
        <w:t xml:space="preserve"> мероприятие исключено из плана реализации;</w:t>
      </w:r>
    </w:p>
    <w:p w14:paraId="1F93AA72" w14:textId="766849AC" w:rsidR="00C430BC" w:rsidRPr="00E47AA9" w:rsidRDefault="004F4858"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и</w:t>
      </w:r>
      <w:r w:rsidR="00C430BC" w:rsidRPr="00E47AA9">
        <w:rPr>
          <w:rFonts w:ascii="Times New Roman" w:eastAsia="Times New Roman" w:hAnsi="Times New Roman" w:cs="Times New Roman"/>
          <w:sz w:val="28"/>
          <w:szCs w:val="28"/>
          <w:lang w:eastAsia="ru-RU"/>
        </w:rPr>
        <w:t>з 10 показателей государственной программы 9 достигли планового значения, 1 показатель достигнут не в полном объеме</w:t>
      </w:r>
      <w:r w:rsidRPr="00E47AA9">
        <w:rPr>
          <w:rFonts w:ascii="Times New Roman" w:eastAsia="Times New Roman" w:hAnsi="Times New Roman" w:cs="Times New Roman"/>
          <w:sz w:val="28"/>
          <w:szCs w:val="28"/>
          <w:lang w:eastAsia="ru-RU"/>
        </w:rPr>
        <w:t>;</w:t>
      </w:r>
    </w:p>
    <w:p w14:paraId="7EFE936E" w14:textId="4F02E1CB" w:rsidR="00C430BC" w:rsidRPr="00E47AA9" w:rsidRDefault="00C430BC"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эффективность реализации государственной программы составила 97,4</w:t>
      </w:r>
      <w:r w:rsidR="00613EC5"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 (высокая).</w:t>
      </w:r>
    </w:p>
    <w:p w14:paraId="1B9CE383" w14:textId="77777777" w:rsidR="000711E6" w:rsidRPr="00E47AA9" w:rsidRDefault="000711E6" w:rsidP="000711E6">
      <w:pPr>
        <w:spacing w:after="0" w:line="240" w:lineRule="auto"/>
        <w:ind w:firstLine="708"/>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rPr>
        <w:t>П</w:t>
      </w:r>
      <w:r w:rsidRPr="00E47AA9">
        <w:rPr>
          <w:rFonts w:ascii="Times New Roman" w:eastAsia="Times New Roman" w:hAnsi="Times New Roman" w:cs="Times New Roman"/>
          <w:b/>
          <w:sz w:val="28"/>
          <w:szCs w:val="28"/>
          <w:lang w:eastAsia="ru-RU"/>
        </w:rPr>
        <w:t>одпрограмма "Развитие туристско-рекреационного комплекса на территории Приморского края"</w:t>
      </w:r>
    </w:p>
    <w:p w14:paraId="6CD0E550" w14:textId="77777777" w:rsidR="000711E6" w:rsidRPr="00E47AA9" w:rsidRDefault="000711E6" w:rsidP="000711E6">
      <w:pPr>
        <w:spacing w:after="0" w:line="240" w:lineRule="auto"/>
        <w:ind w:firstLine="708"/>
        <w:jc w:val="both"/>
        <w:rPr>
          <w:rFonts w:ascii="Times New Roman" w:eastAsia="Times New Roman" w:hAnsi="Times New Roman" w:cs="Times New Roman"/>
          <w:b/>
          <w:i/>
          <w:sz w:val="28"/>
          <w:szCs w:val="28"/>
        </w:rPr>
      </w:pPr>
      <w:r w:rsidRPr="00E47AA9">
        <w:rPr>
          <w:rFonts w:ascii="Times New Roman" w:eastAsia="Times New Roman" w:hAnsi="Times New Roman" w:cs="Times New Roman"/>
          <w:b/>
          <w:i/>
          <w:sz w:val="28"/>
          <w:szCs w:val="28"/>
        </w:rPr>
        <w:t>Региональные проекты, входящие в состав национальных проектов</w:t>
      </w:r>
    </w:p>
    <w:p w14:paraId="24FA2E44" w14:textId="77777777" w:rsidR="000711E6" w:rsidRPr="00E47AA9" w:rsidRDefault="000711E6" w:rsidP="000711E6">
      <w:pPr>
        <w:spacing w:after="0" w:line="240" w:lineRule="auto"/>
        <w:ind w:firstLine="708"/>
        <w:jc w:val="both"/>
        <w:rPr>
          <w:rFonts w:ascii="Times New Roman" w:eastAsia="Times New Roman" w:hAnsi="Times New Roman" w:cs="Times New Roman"/>
          <w:i/>
          <w:sz w:val="28"/>
          <w:szCs w:val="28"/>
        </w:rPr>
      </w:pPr>
      <w:r w:rsidRPr="00E47AA9">
        <w:rPr>
          <w:rFonts w:ascii="Times New Roman" w:eastAsia="Times New Roman" w:hAnsi="Times New Roman" w:cs="Times New Roman"/>
          <w:sz w:val="28"/>
          <w:szCs w:val="28"/>
        </w:rPr>
        <w:t xml:space="preserve"> Основной объем средств по подпрограмме занимают средства в рамках </w:t>
      </w:r>
      <w:r w:rsidRPr="00E47AA9">
        <w:rPr>
          <w:rFonts w:ascii="Times New Roman" w:eastAsia="Times New Roman" w:hAnsi="Times New Roman" w:cs="Times New Roman"/>
          <w:i/>
          <w:sz w:val="28"/>
          <w:szCs w:val="28"/>
        </w:rPr>
        <w:t xml:space="preserve">РП "Развитие туристической инфраструктуры" </w:t>
      </w:r>
      <w:r w:rsidRPr="00E47AA9">
        <w:rPr>
          <w:rFonts w:ascii="Times New Roman" w:eastAsia="Times New Roman" w:hAnsi="Times New Roman" w:cs="Times New Roman"/>
          <w:sz w:val="28"/>
          <w:szCs w:val="28"/>
        </w:rPr>
        <w:t>НП "Туризм и индустрия гостеприимства". Исполнение за отчетный год составило 170,73, млн рублей, (в полном объеме плановых назначений). Подробная информация представлена в приложении 3 к заключению.</w:t>
      </w:r>
    </w:p>
    <w:p w14:paraId="2CCDB874" w14:textId="4A439A1F"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u w:val="single"/>
          <w:lang w:eastAsia="ru-RU"/>
        </w:rPr>
        <w:t xml:space="preserve">Министерством туризма Приморского края </w:t>
      </w:r>
      <w:r w:rsidRPr="00E47AA9">
        <w:rPr>
          <w:rFonts w:ascii="Times New Roman" w:eastAsia="Times New Roman" w:hAnsi="Times New Roman" w:cs="Times New Roman"/>
          <w:sz w:val="28"/>
          <w:szCs w:val="28"/>
          <w:lang w:eastAsia="ru-RU"/>
        </w:rPr>
        <w:t xml:space="preserve">в рамках </w:t>
      </w:r>
      <w:r w:rsidR="00542874" w:rsidRPr="00E47AA9">
        <w:rPr>
          <w:rFonts w:ascii="Times New Roman" w:eastAsia="Times New Roman" w:hAnsi="Times New Roman" w:cs="Times New Roman"/>
          <w:i/>
          <w:iCs/>
          <w:sz w:val="28"/>
          <w:szCs w:val="28"/>
          <w:lang w:eastAsia="ru-RU"/>
        </w:rPr>
        <w:t>КПМ</w:t>
      </w:r>
      <w:r w:rsidR="005428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bCs/>
          <w:i/>
          <w:sz w:val="28"/>
          <w:szCs w:val="28"/>
          <w:lang w:eastAsia="ru-RU"/>
        </w:rPr>
        <w:t>"Развитие туристско-рекреационного потенциала Приморского края"</w:t>
      </w:r>
      <w:r w:rsidRPr="00E47AA9">
        <w:rPr>
          <w:rFonts w:ascii="Times New Roman" w:eastAsia="Times New Roman" w:hAnsi="Times New Roman" w:cs="Times New Roman"/>
          <w:b/>
          <w:i/>
          <w:sz w:val="28"/>
          <w:szCs w:val="28"/>
          <w:lang w:eastAsia="ru-RU"/>
        </w:rPr>
        <w:t xml:space="preserve"> </w:t>
      </w:r>
      <w:r w:rsidRPr="00E47AA9">
        <w:rPr>
          <w:rFonts w:ascii="Times New Roman" w:eastAsia="Times New Roman" w:hAnsi="Times New Roman" w:cs="Times New Roman"/>
          <w:sz w:val="28"/>
          <w:szCs w:val="28"/>
          <w:lang w:eastAsia="ru-RU"/>
        </w:rPr>
        <w:t>запланированы мероприятия на сумму 371,89 млн рублей, освоено 353,06 млн рублей, или 94,94 %, из них на:</w:t>
      </w:r>
    </w:p>
    <w:p w14:paraId="6B29F422"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развитие туристских территорий Приморского края – 18,89 млн рублей (в полном объеме плановых назначений). В данной сумме предоставлена субсидия </w:t>
      </w:r>
      <w:proofErr w:type="spellStart"/>
      <w:r w:rsidRPr="00E47AA9">
        <w:rPr>
          <w:rFonts w:ascii="Times New Roman" w:eastAsia="Times New Roman" w:hAnsi="Times New Roman" w:cs="Times New Roman"/>
          <w:sz w:val="28"/>
          <w:szCs w:val="28"/>
          <w:lang w:eastAsia="ru-RU"/>
        </w:rPr>
        <w:t>Хасанскому</w:t>
      </w:r>
      <w:proofErr w:type="spellEnd"/>
      <w:r w:rsidRPr="00E47AA9">
        <w:rPr>
          <w:rFonts w:ascii="Times New Roman" w:eastAsia="Times New Roman" w:hAnsi="Times New Roman" w:cs="Times New Roman"/>
          <w:sz w:val="28"/>
          <w:szCs w:val="28"/>
          <w:lang w:eastAsia="ru-RU"/>
        </w:rPr>
        <w:t xml:space="preserve"> муниципальному округу на подготовку проектов документов территориального планирования. В рамках второго этапа контракта в 2024 году закончены проекты местных нормативов градостроительного проектирования; </w:t>
      </w:r>
    </w:p>
    <w:p w14:paraId="4387ACD2" w14:textId="677BBF52"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благоустройство мест туристского показа – 19,96 млн рублей, или </w:t>
      </w:r>
      <w:r w:rsidRPr="00E47AA9">
        <w:rPr>
          <w:rFonts w:ascii="Times New Roman" w:eastAsia="Times New Roman" w:hAnsi="Times New Roman" w:cs="Times New Roman"/>
          <w:sz w:val="28"/>
          <w:szCs w:val="28"/>
          <w:lang w:eastAsia="ru-RU"/>
        </w:rPr>
        <w:br/>
        <w:t xml:space="preserve">99,82 % от плана 20,00 млн рублей. Предоставлены субсидии из краевого бюджета субъектам туристской индустрии Приморского края: ООО "Александрийский клуб" </w:t>
      </w:r>
      <w:r w:rsidR="00B228EF"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9,96 млн рублей на благоустройство пляжа "Золотари" в бухте Козина и ООО "Рай" в размере 10,00 млн рублей на благоустройство объекта придорожного сервиса на мысе </w:t>
      </w:r>
      <w:proofErr w:type="spellStart"/>
      <w:r w:rsidRPr="00E47AA9">
        <w:rPr>
          <w:rFonts w:ascii="Times New Roman" w:eastAsia="Times New Roman" w:hAnsi="Times New Roman" w:cs="Times New Roman"/>
          <w:sz w:val="28"/>
          <w:szCs w:val="28"/>
          <w:lang w:eastAsia="ru-RU"/>
        </w:rPr>
        <w:t>Пещурова</w:t>
      </w:r>
      <w:proofErr w:type="spellEnd"/>
      <w:r w:rsidRPr="00E47AA9">
        <w:rPr>
          <w:rFonts w:ascii="Times New Roman" w:eastAsia="Times New Roman" w:hAnsi="Times New Roman" w:cs="Times New Roman"/>
          <w:sz w:val="28"/>
          <w:szCs w:val="28"/>
          <w:lang w:eastAsia="ru-RU"/>
        </w:rPr>
        <w:t>, поселок Южно-Морской;</w:t>
      </w:r>
    </w:p>
    <w:p w14:paraId="46FDC07E" w14:textId="22063501"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поддержку туристических клубов Приморского края – 6,00 млн рублей (в полном объеме плановых назначений). Субсидия предоставлена МБОУ ДО "Центр внешкольной работы"</w:t>
      </w:r>
      <w:r w:rsidR="00B228EF"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МБОУ "СОШ № 22 г. Владивостока"</w:t>
      </w:r>
      <w:r w:rsidR="00B228EF"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МБОУ "СОШ № 40 г. Владивостока". Приобретено индивидуальное и групповое туристическое снаряжение, оборудование для проведения виртуальных экскурсий, осуществлено информационно-техническое и материальное обеспечение мероприятий;</w:t>
      </w:r>
    </w:p>
    <w:p w14:paraId="0FCE7133"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благоустройство туристских троп федеральному государственному бюджетному учреждению науки Ботаническому саду-институту Дальневосточного отделения Российской академии наук – 27,66 млн рублей (в полном объеме плановых назначений). Проведен комплекс мероприятий по созданию, реконструкции и ремонту элементов туристских троп; </w:t>
      </w:r>
    </w:p>
    <w:p w14:paraId="7DD979AE" w14:textId="358C450E"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благоустройство территорий, прилегающих к местам туристского показа</w:t>
      </w:r>
      <w:r w:rsidR="004C2867" w:rsidRPr="00E47AA9">
        <w:rPr>
          <w:rFonts w:ascii="Times New Roman" w:eastAsia="Times New Roman" w:hAnsi="Times New Roman" w:cs="Times New Roman"/>
          <w:sz w:val="28"/>
          <w:szCs w:val="28"/>
          <w:lang w:eastAsia="ru-RU"/>
        </w:rPr>
        <w:t>,</w:t>
      </w:r>
      <w:r w:rsidR="00B228EF"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xml:space="preserve">– 132,34 млн рублей, или 94,73 % от плана 139,69 млн рублей. В полном объеме плановых назначений муниципальными образованиями </w:t>
      </w:r>
      <w:r w:rsidRPr="00E47AA9">
        <w:rPr>
          <w:rFonts w:ascii="Times New Roman" w:eastAsia="Times New Roman" w:hAnsi="Times New Roman" w:cs="Times New Roman"/>
          <w:sz w:val="28"/>
          <w:szCs w:val="28"/>
          <w:lang w:eastAsia="ru-RU"/>
        </w:rPr>
        <w:lastRenderedPageBreak/>
        <w:t xml:space="preserve">использованы средства на благоустройство пляжных территорий и точек придорожного сервиса при ключевых туристических маршрутах: Артемовским городским округом (14,04 млн рублей), Владивостокским городским округом (4,11 млн рублей), Находкинским городским округом (78,55 млн рублей), Партизанским городским округом (5,00 млн рублей), Кировским муниципальным районом (5,00 млн рублей). В связи с невозможностью проведения работ из-за низких температур </w:t>
      </w:r>
      <w:proofErr w:type="spellStart"/>
      <w:r w:rsidRPr="00E47AA9">
        <w:rPr>
          <w:rFonts w:ascii="Times New Roman" w:eastAsia="Times New Roman" w:hAnsi="Times New Roman" w:cs="Times New Roman"/>
          <w:sz w:val="28"/>
          <w:szCs w:val="28"/>
          <w:lang w:eastAsia="ru-RU"/>
        </w:rPr>
        <w:t>Хасанским</w:t>
      </w:r>
      <w:proofErr w:type="spellEnd"/>
      <w:r w:rsidRPr="00E47AA9">
        <w:rPr>
          <w:rFonts w:ascii="Times New Roman" w:eastAsia="Times New Roman" w:hAnsi="Times New Roman" w:cs="Times New Roman"/>
          <w:sz w:val="28"/>
          <w:szCs w:val="28"/>
          <w:lang w:eastAsia="ru-RU"/>
        </w:rPr>
        <w:t xml:space="preserve"> муниципальным округом средства использованы в сумме 25,65 млн рублей, или 77,72 % от плана 33,00 млн рублей; </w:t>
      </w:r>
    </w:p>
    <w:p w14:paraId="1B1E0558" w14:textId="7DD2BF41"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субсидии юридическим лицам и индивидуальным предпринимателям на возмещение части затрат на создание модульных некапитальных средств размещения и на оборудование мест для размещения </w:t>
      </w:r>
      <w:proofErr w:type="spellStart"/>
      <w:r w:rsidRPr="00E47AA9">
        <w:rPr>
          <w:rFonts w:ascii="Times New Roman" w:eastAsia="Times New Roman" w:hAnsi="Times New Roman" w:cs="Times New Roman"/>
          <w:sz w:val="28"/>
          <w:szCs w:val="28"/>
          <w:lang w:eastAsia="ru-RU"/>
        </w:rPr>
        <w:t>автокемпингов</w:t>
      </w:r>
      <w:proofErr w:type="spellEnd"/>
      <w:r w:rsidRPr="00E47AA9">
        <w:rPr>
          <w:rFonts w:ascii="Times New Roman" w:eastAsia="Times New Roman" w:hAnsi="Times New Roman" w:cs="Times New Roman"/>
          <w:sz w:val="28"/>
          <w:szCs w:val="28"/>
          <w:lang w:eastAsia="ru-RU"/>
        </w:rPr>
        <w:t xml:space="preserve"> – 88,19 млн рублей, или 96,76 % от плана 91,14 млн рублей. В целях увеличения доступного номерного фонда по соглашениям от 23.12.2024 предоставлены субсидии юридическим лицам и индивидуальным предпринимателям на возмещение части затрат на создание модульных некапитальных средств размещения и на оборудование мест для размещения </w:t>
      </w:r>
      <w:proofErr w:type="spellStart"/>
      <w:r w:rsidRPr="00E47AA9">
        <w:rPr>
          <w:rFonts w:ascii="Times New Roman" w:eastAsia="Times New Roman" w:hAnsi="Times New Roman" w:cs="Times New Roman"/>
          <w:sz w:val="28"/>
          <w:szCs w:val="28"/>
          <w:lang w:eastAsia="ru-RU"/>
        </w:rPr>
        <w:t>автокемпингов</w:t>
      </w:r>
      <w:proofErr w:type="spellEnd"/>
      <w:r w:rsidRPr="00E47AA9">
        <w:rPr>
          <w:rFonts w:ascii="Times New Roman" w:eastAsia="Times New Roman" w:hAnsi="Times New Roman" w:cs="Times New Roman"/>
          <w:sz w:val="28"/>
          <w:szCs w:val="28"/>
          <w:lang w:eastAsia="ru-RU"/>
        </w:rPr>
        <w:t xml:space="preserve">: ИП КИМ ЕН ХИ </w:t>
      </w:r>
      <w:r w:rsidR="004C286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15,00 млн рублей</w:t>
      </w:r>
      <w:r w:rsidR="004C286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ИП Конных В.А. </w:t>
      </w:r>
      <w:r w:rsidR="004C286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30,00 млн рублей</w:t>
      </w:r>
      <w:r w:rsidR="004C286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br/>
        <w:t xml:space="preserve">ИП </w:t>
      </w:r>
      <w:proofErr w:type="spellStart"/>
      <w:r w:rsidRPr="00E47AA9">
        <w:rPr>
          <w:rFonts w:ascii="Times New Roman" w:eastAsia="Times New Roman" w:hAnsi="Times New Roman" w:cs="Times New Roman"/>
          <w:sz w:val="28"/>
          <w:szCs w:val="28"/>
          <w:lang w:eastAsia="ru-RU"/>
        </w:rPr>
        <w:t>Мурсалинова</w:t>
      </w:r>
      <w:proofErr w:type="spellEnd"/>
      <w:r w:rsidRPr="00E47AA9">
        <w:rPr>
          <w:rFonts w:ascii="Times New Roman" w:eastAsia="Times New Roman" w:hAnsi="Times New Roman" w:cs="Times New Roman"/>
          <w:sz w:val="28"/>
          <w:szCs w:val="28"/>
          <w:lang w:eastAsia="ru-RU"/>
        </w:rPr>
        <w:t xml:space="preserve"> И.Э. </w:t>
      </w:r>
      <w:r w:rsidR="004C286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5,00 млн рублей</w:t>
      </w:r>
      <w:r w:rsidR="004C2867" w:rsidRPr="00E47AA9">
        <w:rPr>
          <w:rFonts w:ascii="Times New Roman" w:eastAsia="Times New Roman" w:hAnsi="Times New Roman" w:cs="Times New Roman"/>
          <w:sz w:val="28"/>
          <w:szCs w:val="28"/>
          <w:lang w:eastAsia="ru-RU"/>
        </w:rPr>
        <w:t>, ИП Силантьева О.И.,</w:t>
      </w:r>
      <w:r w:rsidRPr="00E47AA9">
        <w:rPr>
          <w:rFonts w:ascii="Times New Roman" w:eastAsia="Times New Roman" w:hAnsi="Times New Roman" w:cs="Times New Roman"/>
          <w:sz w:val="28"/>
          <w:szCs w:val="28"/>
          <w:lang w:eastAsia="ru-RU"/>
        </w:rPr>
        <w:t xml:space="preserve"> 4,55 млн рублей</w:t>
      </w:r>
      <w:r w:rsidR="004C286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ООО "</w:t>
      </w:r>
      <w:proofErr w:type="spellStart"/>
      <w:r w:rsidRPr="00E47AA9">
        <w:rPr>
          <w:rFonts w:ascii="Times New Roman" w:eastAsia="Times New Roman" w:hAnsi="Times New Roman" w:cs="Times New Roman"/>
          <w:sz w:val="28"/>
          <w:szCs w:val="28"/>
          <w:lang w:eastAsia="ru-RU"/>
        </w:rPr>
        <w:t>Самала</w:t>
      </w:r>
      <w:proofErr w:type="spellEnd"/>
      <w:r w:rsidRPr="00E47AA9">
        <w:rPr>
          <w:rFonts w:ascii="Times New Roman" w:eastAsia="Times New Roman" w:hAnsi="Times New Roman" w:cs="Times New Roman"/>
          <w:sz w:val="28"/>
          <w:szCs w:val="28"/>
          <w:lang w:eastAsia="ru-RU"/>
        </w:rPr>
        <w:t xml:space="preserve">" </w:t>
      </w:r>
      <w:r w:rsidR="004C286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1,14 млн рублей; ООО "Трава" </w:t>
      </w:r>
      <w:r w:rsidR="004C286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32,50 млн рублей.</w:t>
      </w:r>
    </w:p>
    <w:p w14:paraId="69BFC1A1"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u w:val="single"/>
          <w:lang w:eastAsia="ru-RU"/>
        </w:rPr>
        <w:t xml:space="preserve">Министерством транспорта и дорожного хозяйства Приморского края </w:t>
      </w:r>
      <w:r w:rsidRPr="00E47AA9">
        <w:rPr>
          <w:rFonts w:ascii="Times New Roman" w:eastAsia="Times New Roman" w:hAnsi="Times New Roman" w:cs="Times New Roman"/>
          <w:sz w:val="28"/>
          <w:szCs w:val="28"/>
          <w:lang w:eastAsia="ru-RU"/>
        </w:rPr>
        <w:t xml:space="preserve">в рамках данного комплекса средства в полном объеме плановых назначений 55,00 млн рублей предоставлены акционерному обществу "Корпорация развития Приморского края" в целях создания объектов транспортной инфраструктуры интегрированного развлекательного курорта "Приморье". </w:t>
      </w:r>
    </w:p>
    <w:p w14:paraId="7C743452" w14:textId="77777777" w:rsidR="000711E6" w:rsidRPr="00E47AA9" w:rsidRDefault="000711E6" w:rsidP="000711E6">
      <w:pPr>
        <w:spacing w:after="0" w:line="240" w:lineRule="auto"/>
        <w:ind w:firstLine="708"/>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Подпрограмма "Повышение доступности туристических продуктов и совершенствование управления в сфере туризма"</w:t>
      </w:r>
    </w:p>
    <w:p w14:paraId="11083124"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u w:val="single"/>
          <w:lang w:eastAsia="ru-RU"/>
        </w:rPr>
        <w:t>Министерством туризма Приморского края</w:t>
      </w:r>
      <w:r w:rsidRPr="00E47AA9">
        <w:rPr>
          <w:rFonts w:ascii="Times New Roman" w:eastAsia="Times New Roman" w:hAnsi="Times New Roman" w:cs="Times New Roman"/>
          <w:sz w:val="28"/>
          <w:szCs w:val="28"/>
          <w:lang w:eastAsia="ru-RU"/>
        </w:rPr>
        <w:t xml:space="preserve"> на</w:t>
      </w:r>
      <w:r w:rsidRPr="00E47AA9">
        <w:rPr>
          <w:rFonts w:ascii="Times New Roman" w:eastAsia="Times New Roman" w:hAnsi="Times New Roman" w:cs="Times New Roman"/>
          <w:b/>
          <w:sz w:val="28"/>
          <w:szCs w:val="28"/>
          <w:lang w:eastAsia="ru-RU"/>
        </w:rPr>
        <w:t xml:space="preserve"> </w:t>
      </w:r>
      <w:r w:rsidRPr="00E47AA9">
        <w:rPr>
          <w:rFonts w:ascii="Times New Roman" w:eastAsia="Times New Roman" w:hAnsi="Times New Roman" w:cs="Times New Roman"/>
          <w:i/>
          <w:sz w:val="28"/>
          <w:szCs w:val="28"/>
          <w:lang w:eastAsia="ru-RU"/>
        </w:rPr>
        <w:t>КПМ "Презентация туристского потенциала Приморского края на российском и международном уровнях"</w:t>
      </w:r>
      <w:r w:rsidRPr="00E47AA9">
        <w:rPr>
          <w:rFonts w:ascii="Times New Roman" w:eastAsia="Times New Roman" w:hAnsi="Times New Roman" w:cs="Times New Roman"/>
          <w:b/>
          <w:i/>
          <w:sz w:val="28"/>
          <w:szCs w:val="28"/>
          <w:lang w:eastAsia="ru-RU"/>
        </w:rPr>
        <w:t xml:space="preserve"> </w:t>
      </w:r>
      <w:r w:rsidRPr="00E47AA9">
        <w:rPr>
          <w:rFonts w:ascii="Times New Roman" w:eastAsia="Times New Roman" w:hAnsi="Times New Roman" w:cs="Times New Roman"/>
          <w:sz w:val="28"/>
          <w:szCs w:val="28"/>
          <w:lang w:eastAsia="ru-RU"/>
        </w:rPr>
        <w:t xml:space="preserve">направлены в полном объеме плановых назначений 468,01 млн рублей, из которых 447,30 млн рублей предоставлены АНО "Туристско-информационный центр Приморского края" на осуществление уставной деятельности. Указанным Центром организовано 139 мероприятий (проектов) по продвижению туристического потенциала Приморского края; проведено обучение туристической полиции и волонтеров; оказано содействие в проведении 11 пресс-туров, </w:t>
      </w:r>
      <w:proofErr w:type="spellStart"/>
      <w:r w:rsidRPr="00E47AA9">
        <w:rPr>
          <w:rFonts w:ascii="Times New Roman" w:eastAsia="Times New Roman" w:hAnsi="Times New Roman" w:cs="Times New Roman"/>
          <w:sz w:val="28"/>
          <w:szCs w:val="28"/>
          <w:lang w:eastAsia="ru-RU"/>
        </w:rPr>
        <w:t>фам</w:t>
      </w:r>
      <w:proofErr w:type="spellEnd"/>
      <w:r w:rsidRPr="00E47AA9">
        <w:rPr>
          <w:rFonts w:ascii="Times New Roman" w:eastAsia="Times New Roman" w:hAnsi="Times New Roman" w:cs="Times New Roman"/>
          <w:sz w:val="28"/>
          <w:szCs w:val="28"/>
          <w:lang w:eastAsia="ru-RU"/>
        </w:rPr>
        <w:t>-туров, ознакомительных туров. Для повышения узнаваемости Приморского края на внешнем и внутреннем туристских рынках, а также для создания комфортной информационной среды активно пополняется информация о достопримечательностях, маршрутах, ресторанах и кафе, гостиницах и отелей, театров, музеев и галерей, тематические парков, фестивалей и новостей на туристическом портале Приморского края www.visit-primorye.ru.</w:t>
      </w:r>
    </w:p>
    <w:p w14:paraId="0251F598"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полном объеме плановых назначений предоставлены:</w:t>
      </w:r>
    </w:p>
    <w:p w14:paraId="1D476E96" w14:textId="7907632F"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гранты в форме субсидий из краевого бюджета некоммерческим организациям на финансовое обеспечение затрат</w:t>
      </w:r>
      <w:r w:rsidR="004C286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связанных с организацией и проведением событийных мероприятий в сфере туризма (9,32 млн рублей).</w:t>
      </w:r>
      <w:r w:rsidRPr="00E47AA9">
        <w:t xml:space="preserve"> </w:t>
      </w:r>
      <w:r w:rsidRPr="00E47AA9">
        <w:rPr>
          <w:rFonts w:ascii="Times New Roman" w:eastAsia="Times New Roman" w:hAnsi="Times New Roman" w:cs="Times New Roman"/>
          <w:sz w:val="28"/>
          <w:szCs w:val="28"/>
          <w:lang w:eastAsia="ru-RU"/>
        </w:rPr>
        <w:t>Проведено 5 событийных мероприятий в сфере туризма, на которых побывало более 8400 человек: "Корни: Близкий Дальний"</w:t>
      </w:r>
      <w:r w:rsidR="004C286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"Неделя музыки во Владивостоке"</w:t>
      </w:r>
      <w:r w:rsidR="004C286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"Семейный фестиваль "Ты-рыбачка, Я-рыбак"</w:t>
      </w:r>
      <w:r w:rsidR="004C286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w:t>
      </w:r>
      <w:proofErr w:type="spellStart"/>
      <w:r w:rsidRPr="00E47AA9">
        <w:rPr>
          <w:rFonts w:ascii="Times New Roman" w:eastAsia="Times New Roman" w:hAnsi="Times New Roman" w:cs="Times New Roman"/>
          <w:sz w:val="28"/>
          <w:szCs w:val="28"/>
          <w:lang w:eastAsia="ru-RU"/>
        </w:rPr>
        <w:t>ТигрФест</w:t>
      </w:r>
      <w:proofErr w:type="spellEnd"/>
      <w:r w:rsidRPr="00E47AA9">
        <w:rPr>
          <w:rFonts w:ascii="Times New Roman" w:eastAsia="Times New Roman" w:hAnsi="Times New Roman" w:cs="Times New Roman"/>
          <w:sz w:val="28"/>
          <w:szCs w:val="28"/>
          <w:lang w:eastAsia="ru-RU"/>
        </w:rPr>
        <w:t>"</w:t>
      </w:r>
      <w:r w:rsidR="004C286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"Музыкальные мосты. Из Крыма во Владивосток";</w:t>
      </w:r>
    </w:p>
    <w:p w14:paraId="586A23F8" w14:textId="2B74E8F4"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субсидии организациям кинематографии на возмещение части затрат, связанных с производством национальных фильмов на территории Приморского края, в целях повышения туристской привлекательности Приморского края (11,38 млн рублей).</w:t>
      </w:r>
      <w:r w:rsidRPr="00E47AA9">
        <w:t xml:space="preserve"> </w:t>
      </w:r>
      <w:r w:rsidRPr="00E47AA9">
        <w:rPr>
          <w:rFonts w:ascii="Times New Roman" w:eastAsia="Times New Roman" w:hAnsi="Times New Roman" w:cs="Times New Roman"/>
          <w:sz w:val="28"/>
          <w:szCs w:val="28"/>
          <w:lang w:eastAsia="ru-RU"/>
        </w:rPr>
        <w:t>По результатам отбора оказана поддержка съемки на территории Приморского края фильма "Большая Земля". 40</w:t>
      </w:r>
      <w:r w:rsidR="004C2867"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 затрат, связанных с производством национальных фильмов на территории Приморского края, возмещены ООО "Стар Медиа </w:t>
      </w:r>
      <w:proofErr w:type="spellStart"/>
      <w:r w:rsidRPr="00E47AA9">
        <w:rPr>
          <w:rFonts w:ascii="Times New Roman" w:eastAsia="Times New Roman" w:hAnsi="Times New Roman" w:cs="Times New Roman"/>
          <w:sz w:val="28"/>
          <w:szCs w:val="28"/>
          <w:lang w:eastAsia="ru-RU"/>
        </w:rPr>
        <w:t>Дистрибьюшн</w:t>
      </w:r>
      <w:proofErr w:type="spellEnd"/>
      <w:r w:rsidRPr="00E47AA9">
        <w:rPr>
          <w:rFonts w:ascii="Times New Roman" w:eastAsia="Times New Roman" w:hAnsi="Times New Roman" w:cs="Times New Roman"/>
          <w:sz w:val="28"/>
          <w:szCs w:val="28"/>
          <w:lang w:eastAsia="ru-RU"/>
        </w:rPr>
        <w:t>".</w:t>
      </w:r>
    </w:p>
    <w:p w14:paraId="7AF2C9C4" w14:textId="77777777" w:rsidR="000711E6" w:rsidRPr="00E47AA9" w:rsidRDefault="000711E6" w:rsidP="000711E6">
      <w:pPr>
        <w:spacing w:after="0" w:line="240" w:lineRule="auto"/>
        <w:ind w:firstLine="708"/>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Подпрограмма "Государственное управление в сфере международных связей Приморского края"</w:t>
      </w:r>
    </w:p>
    <w:p w14:paraId="4F335AE4" w14:textId="4A163BD2"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"Государственное управление в сфере международного сотрудничества"</w:t>
      </w:r>
      <w:r w:rsidRPr="00E47AA9">
        <w:rPr>
          <w:rFonts w:ascii="Times New Roman" w:eastAsia="Times New Roman" w:hAnsi="Times New Roman" w:cs="Times New Roman"/>
          <w:sz w:val="28"/>
          <w:szCs w:val="28"/>
          <w:lang w:eastAsia="ru-RU"/>
        </w:rPr>
        <w:t xml:space="preserve"> реализуется </w:t>
      </w:r>
      <w:r w:rsidRPr="00E47AA9">
        <w:rPr>
          <w:rFonts w:ascii="Times New Roman" w:eastAsia="Times New Roman" w:hAnsi="Times New Roman" w:cs="Times New Roman"/>
          <w:sz w:val="28"/>
          <w:szCs w:val="28"/>
          <w:u w:val="single"/>
          <w:lang w:eastAsia="ru-RU"/>
        </w:rPr>
        <w:t>агентством международного сотрудничества Приморского края</w:t>
      </w:r>
      <w:r w:rsidRPr="00E47AA9">
        <w:rPr>
          <w:rFonts w:ascii="Times New Roman" w:eastAsia="Times New Roman" w:hAnsi="Times New Roman" w:cs="Times New Roman"/>
          <w:sz w:val="28"/>
          <w:szCs w:val="28"/>
          <w:lang w:eastAsia="ru-RU"/>
        </w:rPr>
        <w:t xml:space="preserve">. Исполнено 46,46 млн рублей (план </w:t>
      </w:r>
      <w:r w:rsidR="00576C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46,74 млн рублей). Основной объем занимают средства на содержание агентства (44,01 млн рублей). </w:t>
      </w:r>
    </w:p>
    <w:p w14:paraId="0032ABE2"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обеспечение международной деятельности Приморского края направлено 2,45 млн рублей. Обеспечены сувенирной продукцией 124 международных мероприятия, протокольные встречи, зарубежные визиты.  Осуществлено лингвистическое обеспечение 22 международных встреч и мероприятий, прием и обслуживание 22 делегаций иностранных государств, прибывающих в Приморский край.</w:t>
      </w:r>
    </w:p>
    <w:p w14:paraId="32F8A26B" w14:textId="77777777" w:rsidR="000711E6" w:rsidRPr="00E47AA9" w:rsidRDefault="000711E6" w:rsidP="000711E6">
      <w:pPr>
        <w:tabs>
          <w:tab w:val="left" w:pos="1560"/>
          <w:tab w:val="left" w:pos="2410"/>
          <w:tab w:val="left" w:pos="8505"/>
        </w:tabs>
        <w:spacing w:after="0" w:line="240" w:lineRule="auto"/>
        <w:ind w:firstLine="709"/>
        <w:jc w:val="both"/>
        <w:rPr>
          <w:rFonts w:ascii="Times New Roman" w:eastAsia="Times New Roman" w:hAnsi="Times New Roman" w:cs="Times New Roman"/>
          <w:sz w:val="28"/>
          <w:szCs w:val="28"/>
        </w:rPr>
      </w:pPr>
    </w:p>
    <w:p w14:paraId="077BA7E3" w14:textId="77777777" w:rsidR="000711E6" w:rsidRPr="00E47AA9" w:rsidRDefault="000711E6" w:rsidP="000711E6">
      <w:pPr>
        <w:spacing w:after="0" w:line="240" w:lineRule="auto"/>
        <w:ind w:firstLine="709"/>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noProof/>
          <w:sz w:val="20"/>
          <w:szCs w:val="20"/>
          <w:lang w:eastAsia="ru-RU"/>
        </w:rPr>
        <w:drawing>
          <wp:anchor distT="0" distB="0" distL="114300" distR="114300" simplePos="0" relativeHeight="251685888" behindDoc="0" locked="0" layoutInCell="1" allowOverlap="1" wp14:anchorId="71674025" wp14:editId="2114B6E4">
            <wp:simplePos x="0" y="0"/>
            <wp:positionH relativeFrom="column">
              <wp:posOffset>-22134</wp:posOffset>
            </wp:positionH>
            <wp:positionV relativeFrom="paragraph">
              <wp:posOffset>57240</wp:posOffset>
            </wp:positionV>
            <wp:extent cx="1200785" cy="1128395"/>
            <wp:effectExtent l="0" t="0" r="0" b="0"/>
            <wp:wrapSquare wrapText="bothSides"/>
            <wp:docPr id="56" name="Рисунок 56" descr="C:\Users\zavzyataya_sv\Desktop\Картинки к исполнению\journalists-taking-interview-from-a-politician_3446-6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avzyataya_sv\Desktop\Картинки к исполнению\journalists-taking-interview-from-a-politician_3446-685.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00785" cy="11283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AA9">
        <w:rPr>
          <w:rFonts w:ascii="Times New Roman" w:eastAsia="Times New Roman" w:hAnsi="Times New Roman" w:cs="Times New Roman"/>
          <w:b/>
          <w:sz w:val="28"/>
          <w:szCs w:val="28"/>
        </w:rPr>
        <w:t xml:space="preserve">5.2.11. Государственная программа Приморского края "Информационное общество" </w:t>
      </w:r>
    </w:p>
    <w:p w14:paraId="2DE45621" w14:textId="77777777" w:rsidR="00BE0C6A" w:rsidRPr="00E47AA9" w:rsidRDefault="00BE0C6A" w:rsidP="00FD476E">
      <w:pPr>
        <w:spacing w:after="0" w:line="240" w:lineRule="auto"/>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Уточненные бюджетные назначения на 2024 год </w:t>
      </w:r>
      <w:r w:rsidRPr="00E47AA9">
        <w:rPr>
          <w:rFonts w:ascii="Times New Roman" w:eastAsia="Times New Roman" w:hAnsi="Times New Roman" w:cs="Times New Roman"/>
          <w:sz w:val="28"/>
          <w:szCs w:val="28"/>
        </w:rPr>
        <w:br/>
        <w:t>на реализацию ГП составили 4470,37 млн рублей</w:t>
      </w:r>
      <w:r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rPr>
        <w:t xml:space="preserve">Исполнено расходов </w:t>
      </w:r>
      <w:r w:rsidRPr="00E47AA9">
        <w:rPr>
          <w:rFonts w:ascii="Times New Roman" w:eastAsia="Times New Roman" w:hAnsi="Times New Roman" w:cs="Times New Roman"/>
          <w:sz w:val="28"/>
          <w:szCs w:val="28"/>
          <w:lang w:eastAsia="ru-RU"/>
        </w:rPr>
        <w:t>за счет краевого бюджета</w:t>
      </w:r>
      <w:r w:rsidRPr="00E47AA9">
        <w:rPr>
          <w:rFonts w:ascii="Times New Roman" w:eastAsia="Times New Roman" w:hAnsi="Times New Roman" w:cs="Times New Roman"/>
          <w:sz w:val="28"/>
          <w:szCs w:val="28"/>
        </w:rPr>
        <w:t xml:space="preserve"> в сумме </w:t>
      </w:r>
      <w:r w:rsidRPr="00E47AA9">
        <w:rPr>
          <w:rFonts w:ascii="Times New Roman" w:eastAsia="Times New Roman" w:hAnsi="Times New Roman" w:cs="Times New Roman"/>
          <w:sz w:val="28"/>
          <w:szCs w:val="28"/>
        </w:rPr>
        <w:br/>
        <w:t>4466,64 млн рублей, или 99,92 %</w:t>
      </w:r>
      <w:r w:rsidRPr="00E47AA9">
        <w:rPr>
          <w:rFonts w:ascii="Times New Roman" w:eastAsia="Times New Roman" w:hAnsi="Times New Roman" w:cs="Times New Roman"/>
          <w:sz w:val="28"/>
          <w:szCs w:val="28"/>
          <w:lang w:eastAsia="ru-RU"/>
        </w:rPr>
        <w:t>.</w:t>
      </w:r>
    </w:p>
    <w:p w14:paraId="2BC8FF57" w14:textId="493CCE1D" w:rsidR="00BE0C6A" w:rsidRPr="00E47AA9" w:rsidRDefault="00BE0C6A" w:rsidP="00BE0C6A">
      <w:pPr>
        <w:spacing w:after="0" w:line="240" w:lineRule="auto"/>
        <w:ind w:firstLine="709"/>
        <w:jc w:val="both"/>
        <w:rPr>
          <w:rFonts w:ascii="Times New Roman" w:eastAsia="Calibri" w:hAnsi="Times New Roman" w:cs="Times New Roman"/>
          <w:sz w:val="28"/>
          <w:szCs w:val="28"/>
        </w:rPr>
      </w:pPr>
      <w:r w:rsidRPr="00E47AA9">
        <w:rPr>
          <w:rFonts w:ascii="Times New Roman" w:eastAsia="Times New Roman" w:hAnsi="Times New Roman" w:cs="Times New Roman"/>
          <w:sz w:val="28"/>
          <w:szCs w:val="28"/>
        </w:rPr>
        <w:t xml:space="preserve">Ответственный исполнитель ГП – </w:t>
      </w:r>
      <w:r w:rsidRPr="00E47AA9">
        <w:rPr>
          <w:rFonts w:ascii="Times New Roman" w:eastAsia="Calibri" w:hAnsi="Times New Roman" w:cs="Times New Roman"/>
          <w:sz w:val="28"/>
          <w:szCs w:val="28"/>
        </w:rPr>
        <w:t xml:space="preserve">министерство цифрового развития </w:t>
      </w:r>
      <w:r w:rsidRPr="00E47AA9">
        <w:rPr>
          <w:rFonts w:ascii="Times New Roman" w:eastAsia="Calibri" w:hAnsi="Times New Roman" w:cs="Times New Roman"/>
          <w:sz w:val="28"/>
          <w:szCs w:val="28"/>
        </w:rPr>
        <w:br/>
        <w:t xml:space="preserve">и связи Приморского края. Соисполнители </w:t>
      </w:r>
      <w:r w:rsidR="004C2867"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министерство образования Приморского края</w:t>
      </w:r>
      <w:r w:rsidR="004C2867"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министерство труда и социальной политики Приморского края</w:t>
      </w:r>
      <w:r w:rsidR="004C2867"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министерство профессионального образования и занятости населения Приморского края</w:t>
      </w:r>
      <w:r w:rsidR="004C2867"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департамент информационной политики Приморского края.</w:t>
      </w:r>
      <w:r w:rsidR="001828A9" w:rsidRPr="00E47AA9">
        <w:rPr>
          <w:rFonts w:ascii="Times New Roman" w:eastAsia="Calibri" w:hAnsi="Times New Roman" w:cs="Times New Roman"/>
          <w:sz w:val="28"/>
          <w:szCs w:val="28"/>
        </w:rPr>
        <w:t xml:space="preserve"> </w:t>
      </w:r>
    </w:p>
    <w:p w14:paraId="79AF5E07" w14:textId="57B71BD1" w:rsidR="00042E24" w:rsidRDefault="00BE0C6A" w:rsidP="00042E24">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Исполнение расходов ГП в 2024 году в разрезе главных распорядителей средств краевого бюджета приведено в таблице.</w:t>
      </w:r>
      <w:r w:rsidR="00A82D1E" w:rsidRPr="00E47AA9">
        <w:rPr>
          <w:rFonts w:ascii="Times New Roman" w:eastAsia="Times New Roman" w:hAnsi="Times New Roman" w:cs="Times New Roman"/>
          <w:sz w:val="28"/>
          <w:szCs w:val="28"/>
        </w:rPr>
        <w:t xml:space="preserve"> </w:t>
      </w:r>
      <w:r w:rsidR="00042E24">
        <w:rPr>
          <w:rFonts w:ascii="Times New Roman" w:eastAsia="Times New Roman" w:hAnsi="Times New Roman" w:cs="Times New Roman"/>
          <w:sz w:val="28"/>
          <w:szCs w:val="28"/>
        </w:rPr>
        <w:br w:type="page"/>
      </w:r>
    </w:p>
    <w:p w14:paraId="1E954B2B" w14:textId="77777777" w:rsidR="00BE0C6A" w:rsidRPr="00E47AA9" w:rsidRDefault="00BE0C6A" w:rsidP="00F35FEF">
      <w:pPr>
        <w:spacing w:after="0" w:line="240" w:lineRule="auto"/>
        <w:ind w:firstLine="709"/>
        <w:jc w:val="both"/>
        <w:rPr>
          <w:rFonts w:ascii="Times New Roman" w:eastAsia="Times New Roman" w:hAnsi="Times New Roman" w:cs="Times New Roman"/>
          <w:sz w:val="24"/>
          <w:szCs w:val="24"/>
        </w:rPr>
      </w:pPr>
    </w:p>
    <w:tbl>
      <w:tblPr>
        <w:tblW w:w="9356" w:type="dxa"/>
        <w:tblInd w:w="-5" w:type="dxa"/>
        <w:tblLook w:val="04A0" w:firstRow="1" w:lastRow="0" w:firstColumn="1" w:lastColumn="0" w:noHBand="0" w:noVBand="1"/>
      </w:tblPr>
      <w:tblGrid>
        <w:gridCol w:w="3402"/>
        <w:gridCol w:w="552"/>
        <w:gridCol w:w="1279"/>
        <w:gridCol w:w="1162"/>
        <w:gridCol w:w="1119"/>
        <w:gridCol w:w="771"/>
        <w:gridCol w:w="1071"/>
      </w:tblGrid>
      <w:tr w:rsidR="00E47AA9" w:rsidRPr="00E47AA9" w14:paraId="3B2A409A" w14:textId="77777777" w:rsidTr="00D24735">
        <w:trPr>
          <w:trHeight w:val="120"/>
        </w:trPr>
        <w:tc>
          <w:tcPr>
            <w:tcW w:w="3402" w:type="dxa"/>
            <w:tcBorders>
              <w:bottom w:val="single" w:sz="4" w:space="0" w:color="auto"/>
            </w:tcBorders>
            <w:shd w:val="clear" w:color="auto" w:fill="auto"/>
            <w:vAlign w:val="center"/>
          </w:tcPr>
          <w:p w14:paraId="7CC8305A"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p>
        </w:tc>
        <w:tc>
          <w:tcPr>
            <w:tcW w:w="552" w:type="dxa"/>
            <w:tcBorders>
              <w:bottom w:val="single" w:sz="4" w:space="0" w:color="auto"/>
            </w:tcBorders>
            <w:shd w:val="clear" w:color="auto" w:fill="auto"/>
            <w:textDirection w:val="btLr"/>
            <w:vAlign w:val="center"/>
          </w:tcPr>
          <w:p w14:paraId="26F3D91E"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p>
        </w:tc>
        <w:tc>
          <w:tcPr>
            <w:tcW w:w="1279" w:type="dxa"/>
            <w:tcBorders>
              <w:bottom w:val="single" w:sz="4" w:space="0" w:color="auto"/>
            </w:tcBorders>
            <w:shd w:val="clear" w:color="auto" w:fill="auto"/>
            <w:vAlign w:val="center"/>
          </w:tcPr>
          <w:p w14:paraId="73DD2771"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p>
        </w:tc>
        <w:tc>
          <w:tcPr>
            <w:tcW w:w="4123" w:type="dxa"/>
            <w:gridSpan w:val="4"/>
            <w:tcBorders>
              <w:bottom w:val="single" w:sz="4" w:space="0" w:color="auto"/>
            </w:tcBorders>
            <w:shd w:val="clear" w:color="auto" w:fill="auto"/>
            <w:vAlign w:val="center"/>
          </w:tcPr>
          <w:p w14:paraId="063F0833" w14:textId="6078E439" w:rsidR="00BE0C6A" w:rsidRPr="00E47AA9" w:rsidRDefault="00AF55CD" w:rsidP="00D24735">
            <w:pPr>
              <w:spacing w:after="0" w:line="240" w:lineRule="auto"/>
              <w:ind w:left="-112" w:right="-104"/>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rPr>
              <w:t>(</w:t>
            </w:r>
            <w:r w:rsidR="00BE0C6A" w:rsidRPr="00E47AA9">
              <w:rPr>
                <w:rFonts w:ascii="Times New Roman" w:eastAsia="Times New Roman" w:hAnsi="Times New Roman" w:cs="Times New Roman"/>
                <w:sz w:val="24"/>
                <w:szCs w:val="20"/>
              </w:rPr>
              <w:t>млн рублей)</w:t>
            </w:r>
          </w:p>
        </w:tc>
      </w:tr>
      <w:tr w:rsidR="00E47AA9" w:rsidRPr="00E47AA9" w14:paraId="2C1F1995" w14:textId="77777777" w:rsidTr="00D24735">
        <w:trPr>
          <w:trHeight w:val="407"/>
        </w:trPr>
        <w:tc>
          <w:tcPr>
            <w:tcW w:w="34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FD3700"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показателя</w:t>
            </w:r>
          </w:p>
        </w:tc>
        <w:tc>
          <w:tcPr>
            <w:tcW w:w="552"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333D9C9"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Ведомство</w:t>
            </w:r>
          </w:p>
        </w:tc>
        <w:tc>
          <w:tcPr>
            <w:tcW w:w="12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36C53D"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3052" w:type="dxa"/>
            <w:gridSpan w:val="3"/>
            <w:tcBorders>
              <w:top w:val="single" w:sz="4" w:space="0" w:color="auto"/>
              <w:left w:val="nil"/>
              <w:bottom w:val="single" w:sz="4" w:space="0" w:color="auto"/>
              <w:right w:val="single" w:sz="4" w:space="0" w:color="auto"/>
            </w:tcBorders>
            <w:shd w:val="clear" w:color="auto" w:fill="auto"/>
            <w:vAlign w:val="center"/>
            <w:hideMark/>
          </w:tcPr>
          <w:p w14:paraId="3B39B178"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0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5A092F" w14:textId="77777777" w:rsidR="00BE0C6A" w:rsidRPr="00E47AA9" w:rsidRDefault="00BE0C6A" w:rsidP="00D24735">
            <w:pPr>
              <w:spacing w:after="0" w:line="240" w:lineRule="auto"/>
              <w:ind w:left="-112" w:right="-104"/>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r>
      <w:tr w:rsidR="00E47AA9" w:rsidRPr="00E47AA9" w14:paraId="1867221C" w14:textId="77777777" w:rsidTr="00D24735">
        <w:trPr>
          <w:trHeight w:val="756"/>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402523DF" w14:textId="77777777" w:rsidR="00BE0C6A" w:rsidRPr="00E47AA9" w:rsidRDefault="00BE0C6A" w:rsidP="00D24735">
            <w:pPr>
              <w:spacing w:after="0" w:line="240" w:lineRule="auto"/>
              <w:rPr>
                <w:rFonts w:ascii="Times New Roman" w:eastAsia="Times New Roman" w:hAnsi="Times New Roman" w:cs="Times New Roman"/>
                <w:sz w:val="20"/>
                <w:szCs w:val="20"/>
                <w:lang w:eastAsia="ru-RU"/>
              </w:rPr>
            </w:pPr>
          </w:p>
        </w:tc>
        <w:tc>
          <w:tcPr>
            <w:tcW w:w="552" w:type="dxa"/>
            <w:vMerge/>
            <w:tcBorders>
              <w:top w:val="single" w:sz="4" w:space="0" w:color="auto"/>
              <w:left w:val="single" w:sz="4" w:space="0" w:color="auto"/>
              <w:bottom w:val="single" w:sz="4" w:space="0" w:color="auto"/>
              <w:right w:val="single" w:sz="4" w:space="0" w:color="auto"/>
            </w:tcBorders>
            <w:vAlign w:val="center"/>
            <w:hideMark/>
          </w:tcPr>
          <w:p w14:paraId="6BDE0B6F" w14:textId="77777777" w:rsidR="00BE0C6A" w:rsidRPr="00E47AA9" w:rsidRDefault="00BE0C6A" w:rsidP="00D24735">
            <w:pPr>
              <w:spacing w:after="0" w:line="240" w:lineRule="auto"/>
              <w:rPr>
                <w:rFonts w:ascii="Times New Roman" w:eastAsia="Times New Roman" w:hAnsi="Times New Roman" w:cs="Times New Roman"/>
                <w:sz w:val="20"/>
                <w:szCs w:val="20"/>
                <w:lang w:eastAsia="ru-RU"/>
              </w:rPr>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406990F8" w14:textId="77777777" w:rsidR="00BE0C6A" w:rsidRPr="00E47AA9" w:rsidRDefault="00BE0C6A" w:rsidP="00D24735">
            <w:pPr>
              <w:spacing w:after="0" w:line="240" w:lineRule="auto"/>
              <w:rPr>
                <w:rFonts w:ascii="Times New Roman" w:eastAsia="Times New Roman" w:hAnsi="Times New Roman" w:cs="Times New Roman"/>
                <w:sz w:val="20"/>
                <w:szCs w:val="20"/>
                <w:lang w:eastAsia="ru-RU"/>
              </w:rPr>
            </w:pPr>
          </w:p>
        </w:tc>
        <w:tc>
          <w:tcPr>
            <w:tcW w:w="1162" w:type="dxa"/>
            <w:tcBorders>
              <w:top w:val="nil"/>
              <w:left w:val="nil"/>
              <w:bottom w:val="single" w:sz="4" w:space="0" w:color="auto"/>
              <w:right w:val="single" w:sz="4" w:space="0" w:color="auto"/>
            </w:tcBorders>
            <w:shd w:val="clear" w:color="auto" w:fill="auto"/>
            <w:vAlign w:val="center"/>
            <w:hideMark/>
          </w:tcPr>
          <w:p w14:paraId="2CEB4672"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сумма</w:t>
            </w:r>
          </w:p>
        </w:tc>
        <w:tc>
          <w:tcPr>
            <w:tcW w:w="1119" w:type="dxa"/>
            <w:tcBorders>
              <w:top w:val="nil"/>
              <w:left w:val="nil"/>
              <w:bottom w:val="single" w:sz="4" w:space="0" w:color="auto"/>
              <w:right w:val="single" w:sz="4" w:space="0" w:color="auto"/>
            </w:tcBorders>
            <w:shd w:val="clear" w:color="auto" w:fill="auto"/>
            <w:vAlign w:val="center"/>
            <w:hideMark/>
          </w:tcPr>
          <w:p w14:paraId="58FA60C6" w14:textId="77777777" w:rsidR="00BE0C6A" w:rsidRPr="00E47AA9" w:rsidRDefault="00BE0C6A" w:rsidP="00D24735">
            <w:pPr>
              <w:spacing w:after="0" w:line="240" w:lineRule="auto"/>
              <w:ind w:left="-166" w:right="-106" w:hanging="87"/>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 </w:t>
            </w:r>
          </w:p>
          <w:p w14:paraId="185F7236" w14:textId="77777777" w:rsidR="00BE0C6A" w:rsidRPr="00E47AA9" w:rsidRDefault="00BE0C6A" w:rsidP="00D24735">
            <w:pPr>
              <w:spacing w:after="0" w:line="240" w:lineRule="auto"/>
              <w:ind w:left="-166" w:right="-106" w:hanging="87"/>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исполнения</w:t>
            </w:r>
          </w:p>
        </w:tc>
        <w:tc>
          <w:tcPr>
            <w:tcW w:w="771" w:type="dxa"/>
            <w:tcBorders>
              <w:top w:val="nil"/>
              <w:left w:val="nil"/>
              <w:bottom w:val="single" w:sz="4" w:space="0" w:color="auto"/>
              <w:right w:val="single" w:sz="4" w:space="0" w:color="auto"/>
            </w:tcBorders>
            <w:shd w:val="clear" w:color="auto" w:fill="auto"/>
            <w:vAlign w:val="center"/>
            <w:hideMark/>
          </w:tcPr>
          <w:p w14:paraId="20AD32C6"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удель-ный</w:t>
            </w:r>
            <w:proofErr w:type="spellEnd"/>
            <w:proofErr w:type="gramEnd"/>
            <w:r w:rsidRPr="00E47AA9">
              <w:rPr>
                <w:rFonts w:ascii="Times New Roman" w:eastAsia="Times New Roman" w:hAnsi="Times New Roman" w:cs="Times New Roman"/>
                <w:sz w:val="20"/>
                <w:szCs w:val="20"/>
                <w:lang w:eastAsia="ru-RU"/>
              </w:rPr>
              <w:t xml:space="preserve"> вес, %</w:t>
            </w:r>
          </w:p>
        </w:tc>
        <w:tc>
          <w:tcPr>
            <w:tcW w:w="1071" w:type="dxa"/>
            <w:vMerge/>
            <w:tcBorders>
              <w:top w:val="single" w:sz="4" w:space="0" w:color="auto"/>
              <w:left w:val="single" w:sz="4" w:space="0" w:color="auto"/>
              <w:bottom w:val="single" w:sz="4" w:space="0" w:color="auto"/>
              <w:right w:val="single" w:sz="4" w:space="0" w:color="auto"/>
            </w:tcBorders>
            <w:vAlign w:val="center"/>
            <w:hideMark/>
          </w:tcPr>
          <w:p w14:paraId="2F818F67" w14:textId="77777777" w:rsidR="00BE0C6A" w:rsidRPr="00E47AA9" w:rsidRDefault="00BE0C6A" w:rsidP="00D24735">
            <w:pPr>
              <w:spacing w:after="0" w:line="240" w:lineRule="auto"/>
              <w:rPr>
                <w:rFonts w:ascii="Times New Roman" w:eastAsia="Times New Roman" w:hAnsi="Times New Roman" w:cs="Times New Roman"/>
                <w:sz w:val="20"/>
                <w:szCs w:val="20"/>
                <w:lang w:eastAsia="ru-RU"/>
              </w:rPr>
            </w:pPr>
          </w:p>
        </w:tc>
      </w:tr>
      <w:tr w:rsidR="00E47AA9" w:rsidRPr="00E47AA9" w14:paraId="7BFE2EFB" w14:textId="77777777" w:rsidTr="00D24735">
        <w:trPr>
          <w:trHeight w:val="282"/>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47944EC8" w14:textId="77777777" w:rsidR="00BE0C6A" w:rsidRPr="00E47AA9" w:rsidRDefault="00BE0C6A" w:rsidP="00D24735">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Расходы по ГП всего,</w:t>
            </w:r>
          </w:p>
          <w:p w14:paraId="1F9F3ADB" w14:textId="107283D9" w:rsidR="00BE0C6A" w:rsidRPr="00E47AA9" w:rsidRDefault="00BE0C6A" w:rsidP="004C2867">
            <w:pPr>
              <w:spacing w:after="0" w:line="240" w:lineRule="auto"/>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в том числе</w:t>
            </w:r>
            <w:r w:rsidRPr="00E47AA9">
              <w:rPr>
                <w:rFonts w:ascii="Times New Roman" w:eastAsia="Times New Roman" w:hAnsi="Times New Roman" w:cs="Times New Roman"/>
                <w:sz w:val="20"/>
                <w:szCs w:val="20"/>
                <w:lang w:eastAsia="ru-RU"/>
              </w:rPr>
              <w:t xml:space="preserve"> по ведомствам</w:t>
            </w:r>
          </w:p>
        </w:tc>
        <w:tc>
          <w:tcPr>
            <w:tcW w:w="552" w:type="dxa"/>
            <w:tcBorders>
              <w:top w:val="nil"/>
              <w:left w:val="single" w:sz="4" w:space="0" w:color="auto"/>
              <w:bottom w:val="single" w:sz="4" w:space="0" w:color="auto"/>
              <w:right w:val="single" w:sz="4" w:space="0" w:color="auto"/>
            </w:tcBorders>
            <w:shd w:val="clear" w:color="auto" w:fill="auto"/>
            <w:textDirection w:val="btLr"/>
            <w:vAlign w:val="center"/>
            <w:hideMark/>
          </w:tcPr>
          <w:p w14:paraId="3AA1A220"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w:t>
            </w:r>
          </w:p>
        </w:tc>
        <w:tc>
          <w:tcPr>
            <w:tcW w:w="1279" w:type="dxa"/>
            <w:tcBorders>
              <w:top w:val="nil"/>
              <w:left w:val="single" w:sz="4" w:space="0" w:color="auto"/>
              <w:bottom w:val="single" w:sz="4" w:space="0" w:color="auto"/>
              <w:right w:val="single" w:sz="4" w:space="0" w:color="auto"/>
            </w:tcBorders>
            <w:shd w:val="clear" w:color="auto" w:fill="auto"/>
            <w:vAlign w:val="center"/>
            <w:hideMark/>
          </w:tcPr>
          <w:p w14:paraId="65D572CD"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4 470,37</w:t>
            </w:r>
          </w:p>
        </w:tc>
        <w:tc>
          <w:tcPr>
            <w:tcW w:w="1162" w:type="dxa"/>
            <w:tcBorders>
              <w:top w:val="nil"/>
              <w:left w:val="single" w:sz="4" w:space="0" w:color="auto"/>
              <w:bottom w:val="single" w:sz="4" w:space="0" w:color="auto"/>
              <w:right w:val="single" w:sz="4" w:space="0" w:color="auto"/>
            </w:tcBorders>
            <w:shd w:val="clear" w:color="auto" w:fill="auto"/>
            <w:vAlign w:val="center"/>
            <w:hideMark/>
          </w:tcPr>
          <w:p w14:paraId="48A1FFC2"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4 466,64</w:t>
            </w:r>
          </w:p>
        </w:tc>
        <w:tc>
          <w:tcPr>
            <w:tcW w:w="1119" w:type="dxa"/>
            <w:tcBorders>
              <w:top w:val="nil"/>
              <w:left w:val="single" w:sz="4" w:space="0" w:color="auto"/>
              <w:bottom w:val="single" w:sz="4" w:space="0" w:color="auto"/>
              <w:right w:val="single" w:sz="4" w:space="0" w:color="auto"/>
            </w:tcBorders>
            <w:shd w:val="clear" w:color="auto" w:fill="auto"/>
            <w:vAlign w:val="center"/>
            <w:hideMark/>
          </w:tcPr>
          <w:p w14:paraId="09DD94CA"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99,92</w:t>
            </w:r>
          </w:p>
        </w:tc>
        <w:tc>
          <w:tcPr>
            <w:tcW w:w="771" w:type="dxa"/>
            <w:tcBorders>
              <w:top w:val="nil"/>
              <w:left w:val="single" w:sz="4" w:space="0" w:color="auto"/>
              <w:bottom w:val="single" w:sz="4" w:space="0" w:color="auto"/>
              <w:right w:val="single" w:sz="4" w:space="0" w:color="auto"/>
            </w:tcBorders>
            <w:shd w:val="clear" w:color="auto" w:fill="auto"/>
            <w:vAlign w:val="center"/>
            <w:hideMark/>
          </w:tcPr>
          <w:p w14:paraId="14A1BEA9"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w:t>
            </w:r>
          </w:p>
        </w:tc>
        <w:tc>
          <w:tcPr>
            <w:tcW w:w="1071" w:type="dxa"/>
            <w:tcBorders>
              <w:top w:val="nil"/>
              <w:left w:val="single" w:sz="4" w:space="0" w:color="auto"/>
              <w:bottom w:val="single" w:sz="4" w:space="0" w:color="auto"/>
              <w:right w:val="single" w:sz="4" w:space="0" w:color="auto"/>
            </w:tcBorders>
            <w:shd w:val="clear" w:color="auto" w:fill="auto"/>
            <w:vAlign w:val="center"/>
            <w:hideMark/>
          </w:tcPr>
          <w:p w14:paraId="1C1C127E"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3,73</w:t>
            </w:r>
          </w:p>
        </w:tc>
      </w:tr>
      <w:tr w:rsidR="00E47AA9" w:rsidRPr="00E47AA9" w14:paraId="6CAEED5E" w14:textId="77777777" w:rsidTr="00D24735">
        <w:trPr>
          <w:trHeight w:val="461"/>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615D50C3" w14:textId="77777777" w:rsidR="00BE0C6A" w:rsidRPr="00E47AA9" w:rsidRDefault="00BE0C6A" w:rsidP="00D24735">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цифрового развития и связи Приморского края</w:t>
            </w:r>
          </w:p>
        </w:tc>
        <w:tc>
          <w:tcPr>
            <w:tcW w:w="552" w:type="dxa"/>
            <w:tcBorders>
              <w:top w:val="nil"/>
              <w:left w:val="nil"/>
              <w:bottom w:val="single" w:sz="4" w:space="0" w:color="auto"/>
              <w:right w:val="single" w:sz="4" w:space="0" w:color="auto"/>
            </w:tcBorders>
            <w:shd w:val="clear" w:color="auto" w:fill="auto"/>
            <w:vAlign w:val="center"/>
            <w:hideMark/>
          </w:tcPr>
          <w:p w14:paraId="53F0332A"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755</w:t>
            </w:r>
          </w:p>
        </w:tc>
        <w:tc>
          <w:tcPr>
            <w:tcW w:w="1279" w:type="dxa"/>
            <w:tcBorders>
              <w:top w:val="nil"/>
              <w:left w:val="nil"/>
              <w:bottom w:val="single" w:sz="4" w:space="0" w:color="auto"/>
              <w:right w:val="single" w:sz="4" w:space="0" w:color="auto"/>
            </w:tcBorders>
            <w:shd w:val="clear" w:color="auto" w:fill="auto"/>
            <w:noWrap/>
            <w:vAlign w:val="center"/>
            <w:hideMark/>
          </w:tcPr>
          <w:p w14:paraId="40E7A26E"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3 866,16</w:t>
            </w:r>
          </w:p>
        </w:tc>
        <w:tc>
          <w:tcPr>
            <w:tcW w:w="1162" w:type="dxa"/>
            <w:tcBorders>
              <w:top w:val="nil"/>
              <w:left w:val="nil"/>
              <w:bottom w:val="single" w:sz="4" w:space="0" w:color="auto"/>
              <w:right w:val="single" w:sz="4" w:space="0" w:color="auto"/>
            </w:tcBorders>
            <w:shd w:val="clear" w:color="auto" w:fill="auto"/>
            <w:noWrap/>
            <w:vAlign w:val="center"/>
            <w:hideMark/>
          </w:tcPr>
          <w:p w14:paraId="114F3D71"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3 863,87</w:t>
            </w:r>
          </w:p>
        </w:tc>
        <w:tc>
          <w:tcPr>
            <w:tcW w:w="1119" w:type="dxa"/>
            <w:tcBorders>
              <w:top w:val="nil"/>
              <w:left w:val="nil"/>
              <w:bottom w:val="single" w:sz="4" w:space="0" w:color="auto"/>
              <w:right w:val="single" w:sz="4" w:space="0" w:color="auto"/>
            </w:tcBorders>
            <w:shd w:val="clear" w:color="auto" w:fill="auto"/>
            <w:vAlign w:val="center"/>
            <w:hideMark/>
          </w:tcPr>
          <w:p w14:paraId="27F4C59C"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99,94</w:t>
            </w:r>
          </w:p>
        </w:tc>
        <w:tc>
          <w:tcPr>
            <w:tcW w:w="771" w:type="dxa"/>
            <w:tcBorders>
              <w:top w:val="nil"/>
              <w:left w:val="nil"/>
              <w:bottom w:val="single" w:sz="4" w:space="0" w:color="auto"/>
              <w:right w:val="single" w:sz="4" w:space="0" w:color="auto"/>
            </w:tcBorders>
            <w:shd w:val="clear" w:color="auto" w:fill="auto"/>
            <w:vAlign w:val="center"/>
            <w:hideMark/>
          </w:tcPr>
          <w:p w14:paraId="744DB5EE"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86,51</w:t>
            </w:r>
          </w:p>
        </w:tc>
        <w:tc>
          <w:tcPr>
            <w:tcW w:w="1071" w:type="dxa"/>
            <w:tcBorders>
              <w:top w:val="nil"/>
              <w:left w:val="nil"/>
              <w:bottom w:val="single" w:sz="4" w:space="0" w:color="auto"/>
              <w:right w:val="single" w:sz="4" w:space="0" w:color="auto"/>
            </w:tcBorders>
            <w:shd w:val="clear" w:color="auto" w:fill="auto"/>
            <w:vAlign w:val="center"/>
            <w:hideMark/>
          </w:tcPr>
          <w:p w14:paraId="64495781"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2,29</w:t>
            </w:r>
          </w:p>
        </w:tc>
      </w:tr>
      <w:tr w:rsidR="00E47AA9" w:rsidRPr="00E47AA9" w14:paraId="70A046DA" w14:textId="77777777" w:rsidTr="00D24735">
        <w:trPr>
          <w:trHeight w:val="425"/>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0DD51282" w14:textId="77777777" w:rsidR="00BE0C6A" w:rsidRPr="00E47AA9" w:rsidRDefault="00BE0C6A" w:rsidP="00D24735">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труда и социальной политики Приморского края</w:t>
            </w:r>
          </w:p>
        </w:tc>
        <w:tc>
          <w:tcPr>
            <w:tcW w:w="552" w:type="dxa"/>
            <w:tcBorders>
              <w:top w:val="nil"/>
              <w:left w:val="nil"/>
              <w:bottom w:val="single" w:sz="4" w:space="0" w:color="auto"/>
              <w:right w:val="single" w:sz="4" w:space="0" w:color="auto"/>
            </w:tcBorders>
            <w:shd w:val="clear" w:color="auto" w:fill="auto"/>
            <w:vAlign w:val="center"/>
            <w:hideMark/>
          </w:tcPr>
          <w:p w14:paraId="4233B34F"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760</w:t>
            </w:r>
          </w:p>
        </w:tc>
        <w:tc>
          <w:tcPr>
            <w:tcW w:w="1279" w:type="dxa"/>
            <w:tcBorders>
              <w:top w:val="nil"/>
              <w:left w:val="nil"/>
              <w:bottom w:val="single" w:sz="4" w:space="0" w:color="auto"/>
              <w:right w:val="single" w:sz="4" w:space="0" w:color="auto"/>
            </w:tcBorders>
            <w:shd w:val="clear" w:color="auto" w:fill="auto"/>
            <w:noWrap/>
            <w:vAlign w:val="center"/>
            <w:hideMark/>
          </w:tcPr>
          <w:p w14:paraId="5472AC5F"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39,70</w:t>
            </w:r>
          </w:p>
        </w:tc>
        <w:tc>
          <w:tcPr>
            <w:tcW w:w="1162" w:type="dxa"/>
            <w:tcBorders>
              <w:top w:val="nil"/>
              <w:left w:val="nil"/>
              <w:bottom w:val="single" w:sz="4" w:space="0" w:color="auto"/>
              <w:right w:val="single" w:sz="4" w:space="0" w:color="auto"/>
            </w:tcBorders>
            <w:shd w:val="clear" w:color="auto" w:fill="auto"/>
            <w:noWrap/>
            <w:vAlign w:val="center"/>
            <w:hideMark/>
          </w:tcPr>
          <w:p w14:paraId="4E4BAE13"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39,70</w:t>
            </w:r>
          </w:p>
        </w:tc>
        <w:tc>
          <w:tcPr>
            <w:tcW w:w="1119" w:type="dxa"/>
            <w:tcBorders>
              <w:top w:val="nil"/>
              <w:left w:val="nil"/>
              <w:bottom w:val="single" w:sz="4" w:space="0" w:color="auto"/>
              <w:right w:val="single" w:sz="4" w:space="0" w:color="auto"/>
            </w:tcBorders>
            <w:shd w:val="clear" w:color="auto" w:fill="auto"/>
            <w:vAlign w:val="center"/>
            <w:hideMark/>
          </w:tcPr>
          <w:p w14:paraId="4861E884"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771" w:type="dxa"/>
            <w:tcBorders>
              <w:top w:val="nil"/>
              <w:left w:val="nil"/>
              <w:bottom w:val="single" w:sz="4" w:space="0" w:color="auto"/>
              <w:right w:val="single" w:sz="4" w:space="0" w:color="auto"/>
            </w:tcBorders>
            <w:shd w:val="clear" w:color="auto" w:fill="auto"/>
            <w:vAlign w:val="center"/>
            <w:hideMark/>
          </w:tcPr>
          <w:p w14:paraId="6F21F315"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0,89</w:t>
            </w:r>
          </w:p>
        </w:tc>
        <w:tc>
          <w:tcPr>
            <w:tcW w:w="1071" w:type="dxa"/>
            <w:tcBorders>
              <w:top w:val="nil"/>
              <w:left w:val="nil"/>
              <w:bottom w:val="single" w:sz="4" w:space="0" w:color="auto"/>
              <w:right w:val="single" w:sz="4" w:space="0" w:color="auto"/>
            </w:tcBorders>
            <w:shd w:val="clear" w:color="auto" w:fill="auto"/>
            <w:vAlign w:val="center"/>
            <w:hideMark/>
          </w:tcPr>
          <w:p w14:paraId="04775263"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E47AA9" w:rsidRPr="00E47AA9" w14:paraId="33C248C4" w14:textId="77777777" w:rsidTr="00D24735">
        <w:trPr>
          <w:trHeight w:val="376"/>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4FCAFD73" w14:textId="77777777" w:rsidR="00BE0C6A" w:rsidRPr="00E47AA9" w:rsidRDefault="00BE0C6A" w:rsidP="00D24735">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Департамент информационной политики Приморского края</w:t>
            </w:r>
          </w:p>
        </w:tc>
        <w:tc>
          <w:tcPr>
            <w:tcW w:w="552" w:type="dxa"/>
            <w:tcBorders>
              <w:top w:val="nil"/>
              <w:left w:val="nil"/>
              <w:bottom w:val="single" w:sz="4" w:space="0" w:color="auto"/>
              <w:right w:val="single" w:sz="4" w:space="0" w:color="auto"/>
            </w:tcBorders>
            <w:shd w:val="clear" w:color="auto" w:fill="auto"/>
            <w:vAlign w:val="center"/>
            <w:hideMark/>
          </w:tcPr>
          <w:p w14:paraId="396A001E"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771</w:t>
            </w:r>
          </w:p>
        </w:tc>
        <w:tc>
          <w:tcPr>
            <w:tcW w:w="1279" w:type="dxa"/>
            <w:tcBorders>
              <w:top w:val="nil"/>
              <w:left w:val="nil"/>
              <w:bottom w:val="single" w:sz="4" w:space="0" w:color="auto"/>
              <w:right w:val="single" w:sz="4" w:space="0" w:color="auto"/>
            </w:tcBorders>
            <w:shd w:val="clear" w:color="auto" w:fill="auto"/>
            <w:noWrap/>
            <w:vAlign w:val="center"/>
            <w:hideMark/>
          </w:tcPr>
          <w:p w14:paraId="3293427C"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556,76</w:t>
            </w:r>
          </w:p>
        </w:tc>
        <w:tc>
          <w:tcPr>
            <w:tcW w:w="1162" w:type="dxa"/>
            <w:tcBorders>
              <w:top w:val="nil"/>
              <w:left w:val="nil"/>
              <w:bottom w:val="single" w:sz="4" w:space="0" w:color="auto"/>
              <w:right w:val="single" w:sz="4" w:space="0" w:color="auto"/>
            </w:tcBorders>
            <w:shd w:val="clear" w:color="auto" w:fill="auto"/>
            <w:noWrap/>
            <w:vAlign w:val="center"/>
            <w:hideMark/>
          </w:tcPr>
          <w:p w14:paraId="566A62BE"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555,32</w:t>
            </w:r>
          </w:p>
        </w:tc>
        <w:tc>
          <w:tcPr>
            <w:tcW w:w="1119" w:type="dxa"/>
            <w:tcBorders>
              <w:top w:val="nil"/>
              <w:left w:val="nil"/>
              <w:bottom w:val="single" w:sz="4" w:space="0" w:color="auto"/>
              <w:right w:val="single" w:sz="4" w:space="0" w:color="auto"/>
            </w:tcBorders>
            <w:shd w:val="clear" w:color="auto" w:fill="auto"/>
            <w:vAlign w:val="center"/>
            <w:hideMark/>
          </w:tcPr>
          <w:p w14:paraId="4A5AE8BE"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99,74</w:t>
            </w:r>
          </w:p>
        </w:tc>
        <w:tc>
          <w:tcPr>
            <w:tcW w:w="771" w:type="dxa"/>
            <w:tcBorders>
              <w:top w:val="nil"/>
              <w:left w:val="nil"/>
              <w:bottom w:val="single" w:sz="4" w:space="0" w:color="auto"/>
              <w:right w:val="single" w:sz="4" w:space="0" w:color="auto"/>
            </w:tcBorders>
            <w:shd w:val="clear" w:color="auto" w:fill="auto"/>
            <w:vAlign w:val="center"/>
            <w:hideMark/>
          </w:tcPr>
          <w:p w14:paraId="1C9F9313"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12,43</w:t>
            </w:r>
          </w:p>
        </w:tc>
        <w:tc>
          <w:tcPr>
            <w:tcW w:w="1071" w:type="dxa"/>
            <w:tcBorders>
              <w:top w:val="nil"/>
              <w:left w:val="nil"/>
              <w:bottom w:val="single" w:sz="4" w:space="0" w:color="auto"/>
              <w:right w:val="single" w:sz="4" w:space="0" w:color="auto"/>
            </w:tcBorders>
            <w:shd w:val="clear" w:color="auto" w:fill="auto"/>
            <w:vAlign w:val="center"/>
            <w:hideMark/>
          </w:tcPr>
          <w:p w14:paraId="30D9EF68"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1,44</w:t>
            </w:r>
          </w:p>
        </w:tc>
      </w:tr>
      <w:tr w:rsidR="00BE0C6A" w:rsidRPr="00E47AA9" w14:paraId="1B756DD8" w14:textId="77777777" w:rsidTr="00D24735">
        <w:trPr>
          <w:trHeight w:val="775"/>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3F6E54D4" w14:textId="77777777" w:rsidR="00BE0C6A" w:rsidRPr="00E47AA9" w:rsidRDefault="00BE0C6A" w:rsidP="00D24735">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профессионального образования и занятости населения Приморского края</w:t>
            </w:r>
          </w:p>
        </w:tc>
        <w:tc>
          <w:tcPr>
            <w:tcW w:w="552" w:type="dxa"/>
            <w:tcBorders>
              <w:top w:val="nil"/>
              <w:left w:val="nil"/>
              <w:bottom w:val="single" w:sz="4" w:space="0" w:color="auto"/>
              <w:right w:val="single" w:sz="4" w:space="0" w:color="auto"/>
            </w:tcBorders>
            <w:shd w:val="clear" w:color="auto" w:fill="auto"/>
            <w:vAlign w:val="center"/>
            <w:hideMark/>
          </w:tcPr>
          <w:p w14:paraId="06B929C0"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810</w:t>
            </w:r>
          </w:p>
        </w:tc>
        <w:tc>
          <w:tcPr>
            <w:tcW w:w="1279" w:type="dxa"/>
            <w:tcBorders>
              <w:top w:val="nil"/>
              <w:left w:val="nil"/>
              <w:bottom w:val="single" w:sz="4" w:space="0" w:color="auto"/>
              <w:right w:val="single" w:sz="4" w:space="0" w:color="auto"/>
            </w:tcBorders>
            <w:shd w:val="clear" w:color="auto" w:fill="auto"/>
            <w:noWrap/>
            <w:vAlign w:val="center"/>
            <w:hideMark/>
          </w:tcPr>
          <w:p w14:paraId="08837156"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7,75</w:t>
            </w:r>
          </w:p>
        </w:tc>
        <w:tc>
          <w:tcPr>
            <w:tcW w:w="1162" w:type="dxa"/>
            <w:tcBorders>
              <w:top w:val="nil"/>
              <w:left w:val="nil"/>
              <w:bottom w:val="single" w:sz="4" w:space="0" w:color="auto"/>
              <w:right w:val="single" w:sz="4" w:space="0" w:color="auto"/>
            </w:tcBorders>
            <w:shd w:val="clear" w:color="auto" w:fill="auto"/>
            <w:noWrap/>
            <w:vAlign w:val="center"/>
            <w:hideMark/>
          </w:tcPr>
          <w:p w14:paraId="359FA7C4"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7,75</w:t>
            </w:r>
          </w:p>
        </w:tc>
        <w:tc>
          <w:tcPr>
            <w:tcW w:w="1119" w:type="dxa"/>
            <w:tcBorders>
              <w:top w:val="nil"/>
              <w:left w:val="nil"/>
              <w:bottom w:val="single" w:sz="4" w:space="0" w:color="auto"/>
              <w:right w:val="single" w:sz="4" w:space="0" w:color="auto"/>
            </w:tcBorders>
            <w:shd w:val="clear" w:color="auto" w:fill="auto"/>
            <w:vAlign w:val="center"/>
            <w:hideMark/>
          </w:tcPr>
          <w:p w14:paraId="48F3D488"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771" w:type="dxa"/>
            <w:tcBorders>
              <w:top w:val="nil"/>
              <w:left w:val="nil"/>
              <w:bottom w:val="single" w:sz="4" w:space="0" w:color="auto"/>
              <w:right w:val="single" w:sz="4" w:space="0" w:color="auto"/>
            </w:tcBorders>
            <w:shd w:val="clear" w:color="auto" w:fill="auto"/>
            <w:vAlign w:val="center"/>
            <w:hideMark/>
          </w:tcPr>
          <w:p w14:paraId="4D2D4670"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0,17</w:t>
            </w:r>
          </w:p>
        </w:tc>
        <w:tc>
          <w:tcPr>
            <w:tcW w:w="1071" w:type="dxa"/>
            <w:tcBorders>
              <w:top w:val="nil"/>
              <w:left w:val="nil"/>
              <w:bottom w:val="single" w:sz="4" w:space="0" w:color="auto"/>
              <w:right w:val="single" w:sz="4" w:space="0" w:color="auto"/>
            </w:tcBorders>
            <w:shd w:val="clear" w:color="auto" w:fill="auto"/>
            <w:vAlign w:val="center"/>
            <w:hideMark/>
          </w:tcPr>
          <w:p w14:paraId="5CF41924"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bl>
    <w:p w14:paraId="0303C34D" w14:textId="77777777" w:rsidR="00BE0C6A" w:rsidRPr="00E47AA9" w:rsidRDefault="00BE0C6A" w:rsidP="00BE0C6A">
      <w:pPr>
        <w:spacing w:after="0" w:line="240" w:lineRule="auto"/>
        <w:ind w:firstLine="709"/>
        <w:jc w:val="both"/>
        <w:rPr>
          <w:rFonts w:ascii="Times New Roman" w:eastAsia="Times New Roman" w:hAnsi="Times New Roman" w:cs="Times New Roman"/>
          <w:sz w:val="20"/>
          <w:szCs w:val="20"/>
          <w:lang w:eastAsia="ru-RU"/>
        </w:rPr>
      </w:pPr>
    </w:p>
    <w:p w14:paraId="42680D8E" w14:textId="77777777" w:rsidR="00BE0C6A" w:rsidRPr="00E47AA9" w:rsidRDefault="00BE0C6A" w:rsidP="00BE0C6A">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Программные расходы за 2024 год исполнены в разрезе следующих структурных элементов. </w:t>
      </w:r>
    </w:p>
    <w:p w14:paraId="2CDCDD5A" w14:textId="77777777" w:rsidR="00BE0C6A" w:rsidRPr="00E47AA9" w:rsidRDefault="00BE0C6A" w:rsidP="00BE0C6A">
      <w:pPr>
        <w:spacing w:after="0" w:line="240" w:lineRule="auto"/>
        <w:ind w:firstLine="709"/>
        <w:jc w:val="right"/>
        <w:rPr>
          <w:rFonts w:ascii="Times New Roman" w:eastAsia="Times New Roman" w:hAnsi="Times New Roman" w:cs="Times New Roman"/>
          <w:sz w:val="24"/>
          <w:szCs w:val="24"/>
          <w:lang w:eastAsia="ru-RU"/>
        </w:rPr>
      </w:pPr>
    </w:p>
    <w:tbl>
      <w:tblPr>
        <w:tblW w:w="9356" w:type="dxa"/>
        <w:tblInd w:w="-5" w:type="dxa"/>
        <w:tblLook w:val="04A0" w:firstRow="1" w:lastRow="0" w:firstColumn="1" w:lastColumn="0" w:noHBand="0" w:noVBand="1"/>
      </w:tblPr>
      <w:tblGrid>
        <w:gridCol w:w="2932"/>
        <w:gridCol w:w="1279"/>
        <w:gridCol w:w="1160"/>
        <w:gridCol w:w="1198"/>
        <w:gridCol w:w="821"/>
        <w:gridCol w:w="1115"/>
        <w:gridCol w:w="851"/>
      </w:tblGrid>
      <w:tr w:rsidR="00E47AA9" w:rsidRPr="00E47AA9" w14:paraId="643B82C4" w14:textId="77777777" w:rsidTr="00B85F55">
        <w:trPr>
          <w:trHeight w:val="20"/>
          <w:tblHeader/>
        </w:trPr>
        <w:tc>
          <w:tcPr>
            <w:tcW w:w="2932" w:type="dxa"/>
            <w:tcBorders>
              <w:bottom w:val="single" w:sz="4" w:space="0" w:color="auto"/>
            </w:tcBorders>
            <w:shd w:val="clear" w:color="auto" w:fill="auto"/>
            <w:vAlign w:val="center"/>
          </w:tcPr>
          <w:p w14:paraId="30248B3B"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p>
        </w:tc>
        <w:tc>
          <w:tcPr>
            <w:tcW w:w="1279" w:type="dxa"/>
            <w:tcBorders>
              <w:bottom w:val="single" w:sz="4" w:space="0" w:color="auto"/>
            </w:tcBorders>
            <w:shd w:val="clear" w:color="auto" w:fill="auto"/>
            <w:vAlign w:val="center"/>
          </w:tcPr>
          <w:p w14:paraId="04FE1F7E"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p>
        </w:tc>
        <w:tc>
          <w:tcPr>
            <w:tcW w:w="1160" w:type="dxa"/>
            <w:tcBorders>
              <w:bottom w:val="single" w:sz="4" w:space="0" w:color="auto"/>
            </w:tcBorders>
            <w:shd w:val="clear" w:color="auto" w:fill="auto"/>
            <w:vAlign w:val="center"/>
          </w:tcPr>
          <w:p w14:paraId="240ADC13"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p>
        </w:tc>
        <w:tc>
          <w:tcPr>
            <w:tcW w:w="1198" w:type="dxa"/>
            <w:tcBorders>
              <w:bottom w:val="single" w:sz="4" w:space="0" w:color="auto"/>
            </w:tcBorders>
            <w:shd w:val="clear" w:color="auto" w:fill="auto"/>
            <w:vAlign w:val="center"/>
          </w:tcPr>
          <w:p w14:paraId="4FA97A53" w14:textId="77777777" w:rsidR="00BE0C6A" w:rsidRPr="00E47AA9" w:rsidRDefault="00BE0C6A" w:rsidP="00D24735">
            <w:pPr>
              <w:spacing w:after="0" w:line="240" w:lineRule="auto"/>
              <w:ind w:left="-67" w:right="-63"/>
              <w:jc w:val="center"/>
              <w:rPr>
                <w:rFonts w:ascii="Times New Roman" w:eastAsia="Times New Roman" w:hAnsi="Times New Roman" w:cs="Times New Roman"/>
                <w:sz w:val="20"/>
                <w:szCs w:val="20"/>
                <w:lang w:eastAsia="ru-RU"/>
              </w:rPr>
            </w:pPr>
          </w:p>
        </w:tc>
        <w:tc>
          <w:tcPr>
            <w:tcW w:w="821" w:type="dxa"/>
            <w:tcBorders>
              <w:bottom w:val="single" w:sz="4" w:space="0" w:color="auto"/>
            </w:tcBorders>
            <w:shd w:val="clear" w:color="auto" w:fill="auto"/>
            <w:vAlign w:val="center"/>
          </w:tcPr>
          <w:p w14:paraId="33C6AF8C"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p>
        </w:tc>
        <w:tc>
          <w:tcPr>
            <w:tcW w:w="1966" w:type="dxa"/>
            <w:gridSpan w:val="2"/>
            <w:tcBorders>
              <w:bottom w:val="single" w:sz="4" w:space="0" w:color="auto"/>
            </w:tcBorders>
            <w:shd w:val="clear" w:color="auto" w:fill="auto"/>
            <w:vAlign w:val="center"/>
          </w:tcPr>
          <w:p w14:paraId="68496F30" w14:textId="10C867A0" w:rsidR="00BE0C6A" w:rsidRPr="00E47AA9" w:rsidRDefault="00AF55CD" w:rsidP="00AF55CD">
            <w:pPr>
              <w:spacing w:after="0" w:line="240" w:lineRule="auto"/>
              <w:ind w:left="-123" w:right="-103"/>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4"/>
                <w:szCs w:val="20"/>
                <w:lang w:eastAsia="ru-RU"/>
              </w:rPr>
              <w:t>(</w:t>
            </w:r>
            <w:r w:rsidR="00BE0C6A" w:rsidRPr="00E47AA9">
              <w:rPr>
                <w:rFonts w:ascii="Times New Roman" w:eastAsia="Times New Roman" w:hAnsi="Times New Roman" w:cs="Times New Roman"/>
                <w:sz w:val="24"/>
                <w:szCs w:val="20"/>
                <w:lang w:eastAsia="ru-RU"/>
              </w:rPr>
              <w:t>млн рублей</w:t>
            </w:r>
            <w:r w:rsidRPr="00E47AA9">
              <w:rPr>
                <w:rFonts w:ascii="Times New Roman" w:eastAsia="Times New Roman" w:hAnsi="Times New Roman" w:cs="Times New Roman"/>
                <w:sz w:val="24"/>
                <w:szCs w:val="20"/>
                <w:lang w:eastAsia="ru-RU"/>
              </w:rPr>
              <w:t>)</w:t>
            </w:r>
          </w:p>
        </w:tc>
      </w:tr>
      <w:tr w:rsidR="00E47AA9" w:rsidRPr="00E47AA9" w14:paraId="321D32C3" w14:textId="77777777" w:rsidTr="00B85F55">
        <w:trPr>
          <w:trHeight w:val="20"/>
          <w:tblHeader/>
        </w:trPr>
        <w:tc>
          <w:tcPr>
            <w:tcW w:w="2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147C7B" w14:textId="73CCBF00"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ГП, типа структурного элемента</w:t>
            </w:r>
          </w:p>
        </w:tc>
        <w:tc>
          <w:tcPr>
            <w:tcW w:w="1279" w:type="dxa"/>
            <w:tcBorders>
              <w:top w:val="single" w:sz="4" w:space="0" w:color="auto"/>
              <w:left w:val="nil"/>
              <w:bottom w:val="single" w:sz="4" w:space="0" w:color="auto"/>
              <w:right w:val="single" w:sz="4" w:space="0" w:color="auto"/>
            </w:tcBorders>
            <w:shd w:val="clear" w:color="auto" w:fill="auto"/>
            <w:vAlign w:val="center"/>
            <w:hideMark/>
          </w:tcPr>
          <w:p w14:paraId="5EF86E5F"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14:paraId="7BAF1DBB"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Исполнено за </w:t>
            </w:r>
          </w:p>
          <w:p w14:paraId="08148C5E"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2024 год</w:t>
            </w:r>
          </w:p>
        </w:tc>
        <w:tc>
          <w:tcPr>
            <w:tcW w:w="1198" w:type="dxa"/>
            <w:tcBorders>
              <w:top w:val="single" w:sz="4" w:space="0" w:color="auto"/>
              <w:left w:val="nil"/>
              <w:bottom w:val="single" w:sz="4" w:space="0" w:color="auto"/>
              <w:right w:val="single" w:sz="4" w:space="0" w:color="auto"/>
            </w:tcBorders>
            <w:shd w:val="clear" w:color="auto" w:fill="auto"/>
            <w:vAlign w:val="center"/>
            <w:hideMark/>
          </w:tcPr>
          <w:p w14:paraId="1759A853" w14:textId="77777777" w:rsidR="00BE0C6A" w:rsidRPr="00E47AA9" w:rsidRDefault="00BE0C6A" w:rsidP="00D24735">
            <w:pPr>
              <w:spacing w:after="0" w:line="240" w:lineRule="auto"/>
              <w:ind w:left="-67" w:right="-63"/>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исполнения</w:t>
            </w:r>
          </w:p>
        </w:tc>
        <w:tc>
          <w:tcPr>
            <w:tcW w:w="821" w:type="dxa"/>
            <w:tcBorders>
              <w:top w:val="single" w:sz="4" w:space="0" w:color="auto"/>
              <w:left w:val="nil"/>
              <w:bottom w:val="single" w:sz="4" w:space="0" w:color="auto"/>
              <w:right w:val="single" w:sz="4" w:space="0" w:color="auto"/>
            </w:tcBorders>
            <w:shd w:val="clear" w:color="auto" w:fill="auto"/>
            <w:vAlign w:val="center"/>
            <w:hideMark/>
          </w:tcPr>
          <w:p w14:paraId="659B3824" w14:textId="77777777" w:rsidR="00BE0C6A" w:rsidRPr="00E47AA9" w:rsidRDefault="00BE0C6A" w:rsidP="00D24735">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Удель-ный</w:t>
            </w:r>
            <w:proofErr w:type="spellEnd"/>
            <w:proofErr w:type="gramEnd"/>
            <w:r w:rsidRPr="00E47AA9">
              <w:rPr>
                <w:rFonts w:ascii="Times New Roman" w:eastAsia="Times New Roman" w:hAnsi="Times New Roman" w:cs="Times New Roman"/>
                <w:sz w:val="20"/>
                <w:szCs w:val="20"/>
                <w:lang w:eastAsia="ru-RU"/>
              </w:rPr>
              <w:t xml:space="preserve"> вес, %</w:t>
            </w:r>
          </w:p>
        </w:tc>
        <w:tc>
          <w:tcPr>
            <w:tcW w:w="1115" w:type="dxa"/>
            <w:tcBorders>
              <w:top w:val="single" w:sz="4" w:space="0" w:color="auto"/>
              <w:left w:val="nil"/>
              <w:bottom w:val="single" w:sz="4" w:space="0" w:color="auto"/>
              <w:right w:val="single" w:sz="4" w:space="0" w:color="auto"/>
            </w:tcBorders>
            <w:shd w:val="clear" w:color="auto" w:fill="auto"/>
            <w:vAlign w:val="center"/>
            <w:hideMark/>
          </w:tcPr>
          <w:p w14:paraId="0EC59B91" w14:textId="77777777" w:rsidR="00BE0C6A" w:rsidRPr="00E47AA9" w:rsidRDefault="00BE0C6A" w:rsidP="00D24735">
            <w:pPr>
              <w:spacing w:after="0" w:line="240" w:lineRule="auto"/>
              <w:ind w:left="-68"/>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DEDBF06" w14:textId="77777777" w:rsidR="00BE0C6A" w:rsidRPr="00E47AA9" w:rsidRDefault="00BE0C6A" w:rsidP="00D24735">
            <w:pPr>
              <w:spacing w:after="0" w:line="240" w:lineRule="auto"/>
              <w:ind w:left="-123" w:right="-103"/>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Удель-ный</w:t>
            </w:r>
            <w:proofErr w:type="spellEnd"/>
            <w:proofErr w:type="gramEnd"/>
            <w:r w:rsidRPr="00E47AA9">
              <w:rPr>
                <w:rFonts w:ascii="Times New Roman" w:eastAsia="Times New Roman" w:hAnsi="Times New Roman" w:cs="Times New Roman"/>
                <w:sz w:val="20"/>
                <w:szCs w:val="20"/>
                <w:lang w:eastAsia="ru-RU"/>
              </w:rPr>
              <w:t xml:space="preserve"> </w:t>
            </w:r>
          </w:p>
          <w:p w14:paraId="34C62F9C" w14:textId="77777777" w:rsidR="00BE0C6A" w:rsidRPr="00E47AA9" w:rsidRDefault="00BE0C6A" w:rsidP="00D24735">
            <w:pPr>
              <w:spacing w:after="0" w:line="240" w:lineRule="auto"/>
              <w:ind w:left="-123" w:right="-103"/>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вес, %</w:t>
            </w:r>
          </w:p>
        </w:tc>
      </w:tr>
      <w:tr w:rsidR="00E47AA9" w:rsidRPr="00E47AA9" w14:paraId="087E6D5C" w14:textId="77777777" w:rsidTr="00B85F55">
        <w:trPr>
          <w:trHeight w:val="20"/>
        </w:trPr>
        <w:tc>
          <w:tcPr>
            <w:tcW w:w="2932" w:type="dxa"/>
            <w:tcBorders>
              <w:top w:val="nil"/>
              <w:left w:val="single" w:sz="4" w:space="0" w:color="auto"/>
              <w:bottom w:val="single" w:sz="4" w:space="0" w:color="auto"/>
              <w:right w:val="single" w:sz="4" w:space="0" w:color="auto"/>
            </w:tcBorders>
            <w:shd w:val="clear" w:color="auto" w:fill="auto"/>
            <w:vAlign w:val="center"/>
            <w:hideMark/>
          </w:tcPr>
          <w:p w14:paraId="25313A6F" w14:textId="1438E3FE" w:rsidR="00BE0C6A" w:rsidRPr="00E47AA9" w:rsidRDefault="00BE0C6A" w:rsidP="004C2867">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 xml:space="preserve">Расходы по ГП </w:t>
            </w:r>
            <w:proofErr w:type="gramStart"/>
            <w:r w:rsidRPr="00E47AA9">
              <w:rPr>
                <w:rFonts w:ascii="Times New Roman" w:eastAsia="Times New Roman" w:hAnsi="Times New Roman" w:cs="Times New Roman"/>
                <w:b/>
                <w:bCs/>
                <w:sz w:val="20"/>
                <w:szCs w:val="20"/>
                <w:lang w:eastAsia="ru-RU"/>
              </w:rPr>
              <w:t>всего,</w:t>
            </w:r>
            <w:r w:rsidRPr="00E47AA9">
              <w:rPr>
                <w:rFonts w:ascii="Times New Roman" w:eastAsia="Times New Roman" w:hAnsi="Times New Roman" w:cs="Times New Roman"/>
                <w:b/>
                <w:bCs/>
                <w:sz w:val="20"/>
                <w:szCs w:val="20"/>
                <w:lang w:eastAsia="ru-RU"/>
              </w:rPr>
              <w:br/>
            </w:r>
            <w:r w:rsidRPr="00E47AA9">
              <w:rPr>
                <w:rFonts w:ascii="Times New Roman" w:eastAsia="Times New Roman" w:hAnsi="Times New Roman" w:cs="Times New Roman"/>
                <w:bCs/>
                <w:sz w:val="20"/>
                <w:szCs w:val="20"/>
                <w:lang w:eastAsia="ru-RU"/>
              </w:rPr>
              <w:t>в</w:t>
            </w:r>
            <w:proofErr w:type="gramEnd"/>
            <w:r w:rsidRPr="00E47AA9">
              <w:rPr>
                <w:rFonts w:ascii="Times New Roman" w:eastAsia="Times New Roman" w:hAnsi="Times New Roman" w:cs="Times New Roman"/>
                <w:bCs/>
                <w:sz w:val="20"/>
                <w:szCs w:val="20"/>
                <w:lang w:eastAsia="ru-RU"/>
              </w:rPr>
              <w:t xml:space="preserve"> том числе</w:t>
            </w:r>
          </w:p>
        </w:tc>
        <w:tc>
          <w:tcPr>
            <w:tcW w:w="1279" w:type="dxa"/>
            <w:tcBorders>
              <w:top w:val="nil"/>
              <w:left w:val="nil"/>
              <w:bottom w:val="single" w:sz="4" w:space="0" w:color="auto"/>
              <w:right w:val="single" w:sz="4" w:space="0" w:color="auto"/>
            </w:tcBorders>
            <w:shd w:val="clear" w:color="000000" w:fill="FFFFFF"/>
            <w:vAlign w:val="center"/>
            <w:hideMark/>
          </w:tcPr>
          <w:p w14:paraId="6C9B74C3"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4470,37</w:t>
            </w:r>
          </w:p>
        </w:tc>
        <w:tc>
          <w:tcPr>
            <w:tcW w:w="1160" w:type="dxa"/>
            <w:tcBorders>
              <w:top w:val="nil"/>
              <w:left w:val="nil"/>
              <w:bottom w:val="single" w:sz="4" w:space="0" w:color="auto"/>
              <w:right w:val="single" w:sz="4" w:space="0" w:color="auto"/>
            </w:tcBorders>
            <w:shd w:val="clear" w:color="000000" w:fill="FFFFFF"/>
            <w:vAlign w:val="center"/>
            <w:hideMark/>
          </w:tcPr>
          <w:p w14:paraId="22DB3EC6"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4466,64</w:t>
            </w:r>
          </w:p>
        </w:tc>
        <w:tc>
          <w:tcPr>
            <w:tcW w:w="1198" w:type="dxa"/>
            <w:tcBorders>
              <w:top w:val="nil"/>
              <w:left w:val="nil"/>
              <w:bottom w:val="single" w:sz="4" w:space="0" w:color="auto"/>
              <w:right w:val="single" w:sz="4" w:space="0" w:color="auto"/>
            </w:tcBorders>
            <w:shd w:val="clear" w:color="000000" w:fill="FFFFFF"/>
            <w:vAlign w:val="center"/>
            <w:hideMark/>
          </w:tcPr>
          <w:p w14:paraId="5003F4FD"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99,92</w:t>
            </w:r>
          </w:p>
        </w:tc>
        <w:tc>
          <w:tcPr>
            <w:tcW w:w="821" w:type="dxa"/>
            <w:tcBorders>
              <w:top w:val="nil"/>
              <w:left w:val="nil"/>
              <w:bottom w:val="single" w:sz="4" w:space="0" w:color="auto"/>
              <w:right w:val="single" w:sz="4" w:space="0" w:color="auto"/>
            </w:tcBorders>
            <w:shd w:val="clear" w:color="000000" w:fill="FFFFFF"/>
            <w:vAlign w:val="center"/>
            <w:hideMark/>
          </w:tcPr>
          <w:p w14:paraId="42DA7D8E"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c>
          <w:tcPr>
            <w:tcW w:w="1115" w:type="dxa"/>
            <w:tcBorders>
              <w:top w:val="nil"/>
              <w:left w:val="nil"/>
              <w:bottom w:val="single" w:sz="4" w:space="0" w:color="auto"/>
              <w:right w:val="single" w:sz="4" w:space="0" w:color="auto"/>
            </w:tcBorders>
            <w:shd w:val="clear" w:color="000000" w:fill="FFFFFF"/>
            <w:vAlign w:val="center"/>
            <w:hideMark/>
          </w:tcPr>
          <w:p w14:paraId="530F7CCA"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3,73</w:t>
            </w:r>
          </w:p>
        </w:tc>
        <w:tc>
          <w:tcPr>
            <w:tcW w:w="851" w:type="dxa"/>
            <w:tcBorders>
              <w:top w:val="nil"/>
              <w:left w:val="nil"/>
              <w:bottom w:val="single" w:sz="4" w:space="0" w:color="auto"/>
              <w:right w:val="single" w:sz="4" w:space="0" w:color="auto"/>
            </w:tcBorders>
            <w:shd w:val="clear" w:color="000000" w:fill="FFFFFF"/>
            <w:vAlign w:val="center"/>
            <w:hideMark/>
          </w:tcPr>
          <w:p w14:paraId="143320CF"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r>
      <w:tr w:rsidR="00E47AA9" w:rsidRPr="00E47AA9" w14:paraId="34058455" w14:textId="77777777" w:rsidTr="00B85F55">
        <w:trPr>
          <w:trHeight w:val="20"/>
        </w:trPr>
        <w:tc>
          <w:tcPr>
            <w:tcW w:w="2932" w:type="dxa"/>
            <w:tcBorders>
              <w:top w:val="nil"/>
              <w:left w:val="single" w:sz="4" w:space="0" w:color="auto"/>
              <w:bottom w:val="single" w:sz="4" w:space="0" w:color="auto"/>
              <w:right w:val="single" w:sz="4" w:space="0" w:color="auto"/>
            </w:tcBorders>
            <w:shd w:val="clear" w:color="auto" w:fill="auto"/>
            <w:vAlign w:val="center"/>
            <w:hideMark/>
          </w:tcPr>
          <w:p w14:paraId="753612D3" w14:textId="77777777" w:rsidR="00BE0C6A" w:rsidRPr="00E47AA9" w:rsidRDefault="00BE0C6A" w:rsidP="00D24735">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проектные мероприятия, в том числе</w:t>
            </w:r>
          </w:p>
        </w:tc>
        <w:tc>
          <w:tcPr>
            <w:tcW w:w="1279" w:type="dxa"/>
            <w:tcBorders>
              <w:top w:val="nil"/>
              <w:left w:val="nil"/>
              <w:bottom w:val="single" w:sz="4" w:space="0" w:color="auto"/>
              <w:right w:val="single" w:sz="4" w:space="0" w:color="auto"/>
            </w:tcBorders>
            <w:shd w:val="clear" w:color="auto" w:fill="auto"/>
            <w:vAlign w:val="center"/>
            <w:hideMark/>
          </w:tcPr>
          <w:p w14:paraId="367D0F88"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100,33</w:t>
            </w:r>
          </w:p>
        </w:tc>
        <w:tc>
          <w:tcPr>
            <w:tcW w:w="1160" w:type="dxa"/>
            <w:tcBorders>
              <w:top w:val="nil"/>
              <w:left w:val="nil"/>
              <w:bottom w:val="single" w:sz="4" w:space="0" w:color="auto"/>
              <w:right w:val="single" w:sz="4" w:space="0" w:color="auto"/>
            </w:tcBorders>
            <w:shd w:val="clear" w:color="auto" w:fill="auto"/>
            <w:vAlign w:val="center"/>
            <w:hideMark/>
          </w:tcPr>
          <w:p w14:paraId="76C99704"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100,33</w:t>
            </w:r>
          </w:p>
        </w:tc>
        <w:tc>
          <w:tcPr>
            <w:tcW w:w="1198" w:type="dxa"/>
            <w:tcBorders>
              <w:top w:val="nil"/>
              <w:left w:val="nil"/>
              <w:bottom w:val="single" w:sz="4" w:space="0" w:color="auto"/>
              <w:right w:val="single" w:sz="4" w:space="0" w:color="auto"/>
            </w:tcBorders>
            <w:shd w:val="clear" w:color="auto" w:fill="auto"/>
            <w:vAlign w:val="center"/>
            <w:hideMark/>
          </w:tcPr>
          <w:p w14:paraId="2EB360A7"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c>
          <w:tcPr>
            <w:tcW w:w="821" w:type="dxa"/>
            <w:tcBorders>
              <w:top w:val="nil"/>
              <w:left w:val="nil"/>
              <w:bottom w:val="single" w:sz="4" w:space="0" w:color="auto"/>
              <w:right w:val="single" w:sz="4" w:space="0" w:color="auto"/>
            </w:tcBorders>
            <w:shd w:val="clear" w:color="auto" w:fill="auto"/>
            <w:vAlign w:val="center"/>
            <w:hideMark/>
          </w:tcPr>
          <w:p w14:paraId="328FA53C"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2,25</w:t>
            </w:r>
          </w:p>
        </w:tc>
        <w:tc>
          <w:tcPr>
            <w:tcW w:w="1115" w:type="dxa"/>
            <w:tcBorders>
              <w:top w:val="nil"/>
              <w:left w:val="nil"/>
              <w:bottom w:val="single" w:sz="4" w:space="0" w:color="auto"/>
              <w:right w:val="single" w:sz="4" w:space="0" w:color="auto"/>
            </w:tcBorders>
            <w:shd w:val="clear" w:color="auto" w:fill="auto"/>
            <w:vAlign w:val="center"/>
            <w:hideMark/>
          </w:tcPr>
          <w:p w14:paraId="4BC2BBF9"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08B21CBF"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0,00</w:t>
            </w:r>
          </w:p>
        </w:tc>
      </w:tr>
      <w:tr w:rsidR="00E47AA9" w:rsidRPr="00E47AA9" w14:paraId="574D8916" w14:textId="77777777" w:rsidTr="00B85F55">
        <w:trPr>
          <w:trHeight w:val="20"/>
        </w:trPr>
        <w:tc>
          <w:tcPr>
            <w:tcW w:w="2932" w:type="dxa"/>
            <w:tcBorders>
              <w:top w:val="nil"/>
              <w:left w:val="single" w:sz="4" w:space="0" w:color="auto"/>
              <w:bottom w:val="single" w:sz="4" w:space="0" w:color="auto"/>
              <w:right w:val="single" w:sz="4" w:space="0" w:color="auto"/>
            </w:tcBorders>
            <w:shd w:val="clear" w:color="auto" w:fill="auto"/>
            <w:vAlign w:val="center"/>
            <w:hideMark/>
          </w:tcPr>
          <w:p w14:paraId="52B28C84" w14:textId="77777777" w:rsidR="00BE0C6A" w:rsidRPr="00E47AA9" w:rsidRDefault="00BE0C6A" w:rsidP="00D24735">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b/>
                <w:bCs/>
                <w:sz w:val="20"/>
                <w:szCs w:val="20"/>
                <w:lang w:eastAsia="ru-RU"/>
              </w:rPr>
              <w:t>Ведомственный проект</w:t>
            </w:r>
            <w:r w:rsidRPr="00E47AA9">
              <w:rPr>
                <w:rFonts w:ascii="Times New Roman" w:eastAsia="Times New Roman" w:hAnsi="Times New Roman" w:cs="Times New Roman"/>
                <w:sz w:val="20"/>
                <w:szCs w:val="20"/>
                <w:lang w:eastAsia="ru-RU"/>
              </w:rPr>
              <w:t xml:space="preserve"> "Создание ИТ-кластера Приморского края, в рамках приоритетных направлений развития креативных индустрий Приморского края"</w:t>
            </w:r>
          </w:p>
        </w:tc>
        <w:tc>
          <w:tcPr>
            <w:tcW w:w="1279" w:type="dxa"/>
            <w:tcBorders>
              <w:top w:val="nil"/>
              <w:left w:val="nil"/>
              <w:bottom w:val="single" w:sz="4" w:space="0" w:color="auto"/>
              <w:right w:val="single" w:sz="4" w:space="0" w:color="auto"/>
            </w:tcBorders>
            <w:shd w:val="clear" w:color="auto" w:fill="auto"/>
            <w:vAlign w:val="center"/>
            <w:hideMark/>
          </w:tcPr>
          <w:p w14:paraId="26C5836A"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2,00</w:t>
            </w:r>
          </w:p>
        </w:tc>
        <w:tc>
          <w:tcPr>
            <w:tcW w:w="1160" w:type="dxa"/>
            <w:tcBorders>
              <w:top w:val="nil"/>
              <w:left w:val="nil"/>
              <w:bottom w:val="single" w:sz="4" w:space="0" w:color="auto"/>
              <w:right w:val="single" w:sz="4" w:space="0" w:color="auto"/>
            </w:tcBorders>
            <w:shd w:val="clear" w:color="auto" w:fill="auto"/>
            <w:vAlign w:val="center"/>
            <w:hideMark/>
          </w:tcPr>
          <w:p w14:paraId="024F3CB9"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2,00</w:t>
            </w:r>
          </w:p>
        </w:tc>
        <w:tc>
          <w:tcPr>
            <w:tcW w:w="1198" w:type="dxa"/>
            <w:tcBorders>
              <w:top w:val="nil"/>
              <w:left w:val="nil"/>
              <w:bottom w:val="single" w:sz="4" w:space="0" w:color="auto"/>
              <w:right w:val="single" w:sz="4" w:space="0" w:color="auto"/>
            </w:tcBorders>
            <w:shd w:val="clear" w:color="auto" w:fill="auto"/>
            <w:vAlign w:val="center"/>
            <w:hideMark/>
          </w:tcPr>
          <w:p w14:paraId="34D93610"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c>
          <w:tcPr>
            <w:tcW w:w="821" w:type="dxa"/>
            <w:tcBorders>
              <w:top w:val="nil"/>
              <w:left w:val="nil"/>
              <w:bottom w:val="single" w:sz="4" w:space="0" w:color="auto"/>
              <w:right w:val="single" w:sz="4" w:space="0" w:color="auto"/>
            </w:tcBorders>
            <w:shd w:val="clear" w:color="auto" w:fill="auto"/>
            <w:vAlign w:val="center"/>
            <w:hideMark/>
          </w:tcPr>
          <w:p w14:paraId="0BFBC7C7"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0,04</w:t>
            </w:r>
          </w:p>
        </w:tc>
        <w:tc>
          <w:tcPr>
            <w:tcW w:w="1115" w:type="dxa"/>
            <w:tcBorders>
              <w:top w:val="nil"/>
              <w:left w:val="nil"/>
              <w:bottom w:val="single" w:sz="4" w:space="0" w:color="auto"/>
              <w:right w:val="single" w:sz="4" w:space="0" w:color="auto"/>
            </w:tcBorders>
            <w:shd w:val="clear" w:color="auto" w:fill="auto"/>
            <w:vAlign w:val="center"/>
            <w:hideMark/>
          </w:tcPr>
          <w:p w14:paraId="552BDE1B"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0EF49039"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0,00</w:t>
            </w:r>
          </w:p>
        </w:tc>
      </w:tr>
      <w:tr w:rsidR="00E47AA9" w:rsidRPr="00E47AA9" w14:paraId="6C75AD99" w14:textId="77777777" w:rsidTr="00B85F55">
        <w:trPr>
          <w:trHeight w:val="20"/>
        </w:trPr>
        <w:tc>
          <w:tcPr>
            <w:tcW w:w="2932" w:type="dxa"/>
            <w:tcBorders>
              <w:top w:val="nil"/>
              <w:left w:val="single" w:sz="4" w:space="0" w:color="auto"/>
              <w:bottom w:val="single" w:sz="4" w:space="0" w:color="auto"/>
              <w:right w:val="single" w:sz="4" w:space="0" w:color="auto"/>
            </w:tcBorders>
            <w:shd w:val="clear" w:color="auto" w:fill="auto"/>
            <w:vAlign w:val="center"/>
            <w:hideMark/>
          </w:tcPr>
          <w:p w14:paraId="5490FB8A" w14:textId="77777777" w:rsidR="00BE0C6A" w:rsidRPr="00E47AA9" w:rsidRDefault="00BE0C6A" w:rsidP="00D24735">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РП, входящие в состав НП, "Национальная программа "Цифровая экономика Российской Федерации"</w:t>
            </w:r>
          </w:p>
        </w:tc>
        <w:tc>
          <w:tcPr>
            <w:tcW w:w="1279" w:type="dxa"/>
            <w:tcBorders>
              <w:top w:val="nil"/>
              <w:left w:val="nil"/>
              <w:bottom w:val="single" w:sz="4" w:space="0" w:color="auto"/>
              <w:right w:val="single" w:sz="4" w:space="0" w:color="auto"/>
            </w:tcBorders>
            <w:shd w:val="clear" w:color="auto" w:fill="auto"/>
            <w:vAlign w:val="center"/>
            <w:hideMark/>
          </w:tcPr>
          <w:p w14:paraId="590EC236"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98,33</w:t>
            </w:r>
          </w:p>
        </w:tc>
        <w:tc>
          <w:tcPr>
            <w:tcW w:w="1160" w:type="dxa"/>
            <w:tcBorders>
              <w:top w:val="nil"/>
              <w:left w:val="nil"/>
              <w:bottom w:val="single" w:sz="4" w:space="0" w:color="auto"/>
              <w:right w:val="single" w:sz="4" w:space="0" w:color="auto"/>
            </w:tcBorders>
            <w:shd w:val="clear" w:color="auto" w:fill="auto"/>
            <w:vAlign w:val="center"/>
            <w:hideMark/>
          </w:tcPr>
          <w:p w14:paraId="263D6CBB"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98,33</w:t>
            </w:r>
          </w:p>
        </w:tc>
        <w:tc>
          <w:tcPr>
            <w:tcW w:w="1198" w:type="dxa"/>
            <w:tcBorders>
              <w:top w:val="nil"/>
              <w:left w:val="nil"/>
              <w:bottom w:val="single" w:sz="4" w:space="0" w:color="auto"/>
              <w:right w:val="single" w:sz="4" w:space="0" w:color="auto"/>
            </w:tcBorders>
            <w:shd w:val="clear" w:color="auto" w:fill="auto"/>
            <w:vAlign w:val="center"/>
            <w:hideMark/>
          </w:tcPr>
          <w:p w14:paraId="1D8116FB"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c>
          <w:tcPr>
            <w:tcW w:w="821" w:type="dxa"/>
            <w:tcBorders>
              <w:top w:val="nil"/>
              <w:left w:val="nil"/>
              <w:bottom w:val="single" w:sz="4" w:space="0" w:color="auto"/>
              <w:right w:val="single" w:sz="4" w:space="0" w:color="auto"/>
            </w:tcBorders>
            <w:shd w:val="clear" w:color="auto" w:fill="auto"/>
            <w:vAlign w:val="center"/>
            <w:hideMark/>
          </w:tcPr>
          <w:p w14:paraId="7C5B54E0"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2,20</w:t>
            </w:r>
          </w:p>
        </w:tc>
        <w:tc>
          <w:tcPr>
            <w:tcW w:w="1115" w:type="dxa"/>
            <w:tcBorders>
              <w:top w:val="nil"/>
              <w:left w:val="nil"/>
              <w:bottom w:val="single" w:sz="4" w:space="0" w:color="auto"/>
              <w:right w:val="single" w:sz="4" w:space="0" w:color="auto"/>
            </w:tcBorders>
            <w:shd w:val="clear" w:color="auto" w:fill="auto"/>
            <w:vAlign w:val="center"/>
            <w:hideMark/>
          </w:tcPr>
          <w:p w14:paraId="56D41055"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20836991"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0,00</w:t>
            </w:r>
          </w:p>
        </w:tc>
      </w:tr>
      <w:tr w:rsidR="00E47AA9" w:rsidRPr="00E47AA9" w14:paraId="1BE0BA0E" w14:textId="77777777" w:rsidTr="00B85F55">
        <w:trPr>
          <w:trHeight w:val="20"/>
        </w:trPr>
        <w:tc>
          <w:tcPr>
            <w:tcW w:w="2932" w:type="dxa"/>
            <w:tcBorders>
              <w:top w:val="nil"/>
              <w:left w:val="single" w:sz="4" w:space="0" w:color="auto"/>
              <w:bottom w:val="single" w:sz="4" w:space="0" w:color="auto"/>
              <w:right w:val="single" w:sz="4" w:space="0" w:color="auto"/>
            </w:tcBorders>
            <w:shd w:val="clear" w:color="000000" w:fill="FFFFFF"/>
            <w:vAlign w:val="center"/>
            <w:hideMark/>
          </w:tcPr>
          <w:p w14:paraId="7991C32F" w14:textId="77777777" w:rsidR="00BE0C6A" w:rsidRPr="00E47AA9" w:rsidRDefault="00BE0C6A" w:rsidP="00D24735">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"Информационная безопасность"</w:t>
            </w:r>
          </w:p>
        </w:tc>
        <w:tc>
          <w:tcPr>
            <w:tcW w:w="1279" w:type="dxa"/>
            <w:tcBorders>
              <w:top w:val="nil"/>
              <w:left w:val="nil"/>
              <w:bottom w:val="single" w:sz="4" w:space="0" w:color="auto"/>
              <w:right w:val="single" w:sz="4" w:space="0" w:color="auto"/>
            </w:tcBorders>
            <w:shd w:val="clear" w:color="auto" w:fill="auto"/>
            <w:vAlign w:val="center"/>
            <w:hideMark/>
          </w:tcPr>
          <w:p w14:paraId="67F9E4F9"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57,07</w:t>
            </w:r>
          </w:p>
        </w:tc>
        <w:tc>
          <w:tcPr>
            <w:tcW w:w="1160" w:type="dxa"/>
            <w:tcBorders>
              <w:top w:val="nil"/>
              <w:left w:val="nil"/>
              <w:bottom w:val="single" w:sz="4" w:space="0" w:color="auto"/>
              <w:right w:val="single" w:sz="4" w:space="0" w:color="auto"/>
            </w:tcBorders>
            <w:shd w:val="clear" w:color="auto" w:fill="auto"/>
            <w:vAlign w:val="center"/>
            <w:hideMark/>
          </w:tcPr>
          <w:p w14:paraId="78D20AE2"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57,07</w:t>
            </w:r>
          </w:p>
        </w:tc>
        <w:tc>
          <w:tcPr>
            <w:tcW w:w="1198" w:type="dxa"/>
            <w:tcBorders>
              <w:top w:val="nil"/>
              <w:left w:val="nil"/>
              <w:bottom w:val="single" w:sz="4" w:space="0" w:color="auto"/>
              <w:right w:val="single" w:sz="4" w:space="0" w:color="auto"/>
            </w:tcBorders>
            <w:shd w:val="clear" w:color="auto" w:fill="auto"/>
            <w:vAlign w:val="center"/>
            <w:hideMark/>
          </w:tcPr>
          <w:p w14:paraId="2CF8658E"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821" w:type="dxa"/>
            <w:tcBorders>
              <w:top w:val="nil"/>
              <w:left w:val="nil"/>
              <w:bottom w:val="single" w:sz="4" w:space="0" w:color="auto"/>
              <w:right w:val="single" w:sz="4" w:space="0" w:color="auto"/>
            </w:tcBorders>
            <w:shd w:val="clear" w:color="auto" w:fill="auto"/>
            <w:vAlign w:val="center"/>
            <w:hideMark/>
          </w:tcPr>
          <w:p w14:paraId="505CD054"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1,28</w:t>
            </w:r>
          </w:p>
        </w:tc>
        <w:tc>
          <w:tcPr>
            <w:tcW w:w="1115" w:type="dxa"/>
            <w:tcBorders>
              <w:top w:val="nil"/>
              <w:left w:val="nil"/>
              <w:bottom w:val="single" w:sz="4" w:space="0" w:color="auto"/>
              <w:right w:val="single" w:sz="4" w:space="0" w:color="auto"/>
            </w:tcBorders>
            <w:shd w:val="clear" w:color="auto" w:fill="auto"/>
            <w:vAlign w:val="center"/>
            <w:hideMark/>
          </w:tcPr>
          <w:p w14:paraId="13B0F4E5"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06AFA885"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E47AA9" w:rsidRPr="00E47AA9" w14:paraId="48F05EF6" w14:textId="77777777" w:rsidTr="00B85F55">
        <w:trPr>
          <w:trHeight w:val="20"/>
        </w:trPr>
        <w:tc>
          <w:tcPr>
            <w:tcW w:w="2932" w:type="dxa"/>
            <w:tcBorders>
              <w:top w:val="nil"/>
              <w:left w:val="single" w:sz="4" w:space="0" w:color="auto"/>
              <w:bottom w:val="single" w:sz="4" w:space="0" w:color="auto"/>
              <w:right w:val="single" w:sz="4" w:space="0" w:color="auto"/>
            </w:tcBorders>
            <w:shd w:val="clear" w:color="000000" w:fill="FFFFFF"/>
            <w:vAlign w:val="center"/>
            <w:hideMark/>
          </w:tcPr>
          <w:p w14:paraId="174E665B" w14:textId="77777777" w:rsidR="00BE0C6A" w:rsidRPr="00E47AA9" w:rsidRDefault="00BE0C6A" w:rsidP="00D24735">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"Цифровое государственное управление"</w:t>
            </w:r>
          </w:p>
        </w:tc>
        <w:tc>
          <w:tcPr>
            <w:tcW w:w="1279" w:type="dxa"/>
            <w:tcBorders>
              <w:top w:val="nil"/>
              <w:left w:val="nil"/>
              <w:bottom w:val="single" w:sz="4" w:space="0" w:color="auto"/>
              <w:right w:val="single" w:sz="4" w:space="0" w:color="auto"/>
            </w:tcBorders>
            <w:shd w:val="clear" w:color="auto" w:fill="auto"/>
            <w:vAlign w:val="center"/>
            <w:hideMark/>
          </w:tcPr>
          <w:p w14:paraId="35B97E89"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41,26</w:t>
            </w:r>
          </w:p>
        </w:tc>
        <w:tc>
          <w:tcPr>
            <w:tcW w:w="1160" w:type="dxa"/>
            <w:tcBorders>
              <w:top w:val="nil"/>
              <w:left w:val="nil"/>
              <w:bottom w:val="single" w:sz="4" w:space="0" w:color="auto"/>
              <w:right w:val="single" w:sz="4" w:space="0" w:color="auto"/>
            </w:tcBorders>
            <w:shd w:val="clear" w:color="auto" w:fill="auto"/>
            <w:vAlign w:val="center"/>
            <w:hideMark/>
          </w:tcPr>
          <w:p w14:paraId="28382091"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41,26</w:t>
            </w:r>
          </w:p>
        </w:tc>
        <w:tc>
          <w:tcPr>
            <w:tcW w:w="1198" w:type="dxa"/>
            <w:tcBorders>
              <w:top w:val="nil"/>
              <w:left w:val="nil"/>
              <w:bottom w:val="single" w:sz="4" w:space="0" w:color="auto"/>
              <w:right w:val="single" w:sz="4" w:space="0" w:color="auto"/>
            </w:tcBorders>
            <w:shd w:val="clear" w:color="auto" w:fill="auto"/>
            <w:vAlign w:val="center"/>
            <w:hideMark/>
          </w:tcPr>
          <w:p w14:paraId="0C462981"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821" w:type="dxa"/>
            <w:tcBorders>
              <w:top w:val="nil"/>
              <w:left w:val="nil"/>
              <w:bottom w:val="single" w:sz="4" w:space="0" w:color="auto"/>
              <w:right w:val="single" w:sz="4" w:space="0" w:color="auto"/>
            </w:tcBorders>
            <w:shd w:val="clear" w:color="auto" w:fill="auto"/>
            <w:vAlign w:val="center"/>
            <w:hideMark/>
          </w:tcPr>
          <w:p w14:paraId="7AB2F0A2"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0,92</w:t>
            </w:r>
          </w:p>
        </w:tc>
        <w:tc>
          <w:tcPr>
            <w:tcW w:w="1115" w:type="dxa"/>
            <w:tcBorders>
              <w:top w:val="nil"/>
              <w:left w:val="nil"/>
              <w:bottom w:val="single" w:sz="4" w:space="0" w:color="auto"/>
              <w:right w:val="single" w:sz="4" w:space="0" w:color="auto"/>
            </w:tcBorders>
            <w:shd w:val="clear" w:color="auto" w:fill="auto"/>
            <w:vAlign w:val="center"/>
            <w:hideMark/>
          </w:tcPr>
          <w:p w14:paraId="3DC66E96"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008D5487" w14:textId="77777777" w:rsidR="00BE0C6A" w:rsidRPr="00E47AA9" w:rsidRDefault="00BE0C6A" w:rsidP="00D24735">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BE0C6A" w:rsidRPr="00E47AA9" w14:paraId="51D09077" w14:textId="77777777" w:rsidTr="00B85F55">
        <w:trPr>
          <w:trHeight w:val="20"/>
        </w:trPr>
        <w:tc>
          <w:tcPr>
            <w:tcW w:w="2932" w:type="dxa"/>
            <w:tcBorders>
              <w:top w:val="nil"/>
              <w:left w:val="single" w:sz="4" w:space="0" w:color="auto"/>
              <w:bottom w:val="single" w:sz="4" w:space="0" w:color="auto"/>
              <w:right w:val="single" w:sz="4" w:space="0" w:color="auto"/>
            </w:tcBorders>
            <w:shd w:val="clear" w:color="auto" w:fill="auto"/>
            <w:vAlign w:val="center"/>
            <w:hideMark/>
          </w:tcPr>
          <w:p w14:paraId="4877EBBE" w14:textId="77777777" w:rsidR="00BE0C6A" w:rsidRPr="00E47AA9" w:rsidRDefault="00BE0C6A" w:rsidP="00D24735">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комплексы процессных мероприятий</w:t>
            </w:r>
          </w:p>
        </w:tc>
        <w:tc>
          <w:tcPr>
            <w:tcW w:w="1279" w:type="dxa"/>
            <w:tcBorders>
              <w:top w:val="nil"/>
              <w:left w:val="nil"/>
              <w:bottom w:val="single" w:sz="4" w:space="0" w:color="auto"/>
              <w:right w:val="single" w:sz="4" w:space="0" w:color="auto"/>
            </w:tcBorders>
            <w:shd w:val="clear" w:color="auto" w:fill="auto"/>
            <w:vAlign w:val="center"/>
            <w:hideMark/>
          </w:tcPr>
          <w:p w14:paraId="3B9BBE4D"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4370,04</w:t>
            </w:r>
          </w:p>
        </w:tc>
        <w:tc>
          <w:tcPr>
            <w:tcW w:w="1160" w:type="dxa"/>
            <w:tcBorders>
              <w:top w:val="nil"/>
              <w:left w:val="nil"/>
              <w:bottom w:val="single" w:sz="4" w:space="0" w:color="auto"/>
              <w:right w:val="single" w:sz="4" w:space="0" w:color="auto"/>
            </w:tcBorders>
            <w:shd w:val="clear" w:color="auto" w:fill="auto"/>
            <w:vAlign w:val="center"/>
            <w:hideMark/>
          </w:tcPr>
          <w:p w14:paraId="60E0677D"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4366,31</w:t>
            </w:r>
          </w:p>
        </w:tc>
        <w:tc>
          <w:tcPr>
            <w:tcW w:w="1198" w:type="dxa"/>
            <w:tcBorders>
              <w:top w:val="nil"/>
              <w:left w:val="nil"/>
              <w:bottom w:val="single" w:sz="4" w:space="0" w:color="auto"/>
              <w:right w:val="single" w:sz="4" w:space="0" w:color="auto"/>
            </w:tcBorders>
            <w:shd w:val="clear" w:color="auto" w:fill="auto"/>
            <w:vAlign w:val="center"/>
            <w:hideMark/>
          </w:tcPr>
          <w:p w14:paraId="1BEF063F"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99,91</w:t>
            </w:r>
          </w:p>
        </w:tc>
        <w:tc>
          <w:tcPr>
            <w:tcW w:w="821" w:type="dxa"/>
            <w:tcBorders>
              <w:top w:val="nil"/>
              <w:left w:val="nil"/>
              <w:bottom w:val="single" w:sz="4" w:space="0" w:color="auto"/>
              <w:right w:val="single" w:sz="4" w:space="0" w:color="auto"/>
            </w:tcBorders>
            <w:shd w:val="clear" w:color="auto" w:fill="auto"/>
            <w:vAlign w:val="center"/>
            <w:hideMark/>
          </w:tcPr>
          <w:p w14:paraId="3BCF5E94"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97,75</w:t>
            </w:r>
          </w:p>
        </w:tc>
        <w:tc>
          <w:tcPr>
            <w:tcW w:w="1115" w:type="dxa"/>
            <w:tcBorders>
              <w:top w:val="nil"/>
              <w:left w:val="nil"/>
              <w:bottom w:val="single" w:sz="4" w:space="0" w:color="auto"/>
              <w:right w:val="single" w:sz="4" w:space="0" w:color="auto"/>
            </w:tcBorders>
            <w:shd w:val="clear" w:color="auto" w:fill="auto"/>
            <w:vAlign w:val="center"/>
            <w:hideMark/>
          </w:tcPr>
          <w:p w14:paraId="1D6C1661"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3,73</w:t>
            </w:r>
          </w:p>
        </w:tc>
        <w:tc>
          <w:tcPr>
            <w:tcW w:w="851" w:type="dxa"/>
            <w:tcBorders>
              <w:top w:val="nil"/>
              <w:left w:val="nil"/>
              <w:bottom w:val="single" w:sz="4" w:space="0" w:color="auto"/>
              <w:right w:val="single" w:sz="4" w:space="0" w:color="auto"/>
            </w:tcBorders>
            <w:shd w:val="clear" w:color="auto" w:fill="auto"/>
            <w:vAlign w:val="center"/>
            <w:hideMark/>
          </w:tcPr>
          <w:p w14:paraId="56A34D12" w14:textId="77777777" w:rsidR="00BE0C6A" w:rsidRPr="00E47AA9" w:rsidRDefault="00BE0C6A" w:rsidP="00D24735">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r>
    </w:tbl>
    <w:p w14:paraId="494318C5" w14:textId="77777777" w:rsidR="00BE0C6A" w:rsidRPr="00E47AA9" w:rsidRDefault="00BE0C6A" w:rsidP="00BE0C6A">
      <w:pPr>
        <w:spacing w:after="0" w:line="240" w:lineRule="auto"/>
        <w:jc w:val="both"/>
        <w:rPr>
          <w:rFonts w:ascii="Times New Roman" w:eastAsia="Times New Roman" w:hAnsi="Times New Roman" w:cs="Times New Roman"/>
          <w:sz w:val="20"/>
          <w:szCs w:val="20"/>
          <w:lang w:eastAsia="ru-RU"/>
        </w:rPr>
      </w:pPr>
    </w:p>
    <w:p w14:paraId="775EBF62" w14:textId="05AD94EA" w:rsidR="00BC1B8E" w:rsidRPr="00E47AA9" w:rsidRDefault="00613EC5" w:rsidP="00BC1B8E">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В соответствии со</w:t>
      </w:r>
      <w:r w:rsidR="00BC1B8E" w:rsidRPr="00E47AA9">
        <w:rPr>
          <w:rFonts w:ascii="Times New Roman" w:eastAsia="Calibri" w:hAnsi="Times New Roman" w:cs="Times New Roman"/>
          <w:sz w:val="28"/>
          <w:szCs w:val="28"/>
        </w:rPr>
        <w:t xml:space="preserve"> Сводн</w:t>
      </w:r>
      <w:r w:rsidRPr="00E47AA9">
        <w:rPr>
          <w:rFonts w:ascii="Times New Roman" w:eastAsia="Calibri" w:hAnsi="Times New Roman" w:cs="Times New Roman"/>
          <w:sz w:val="28"/>
          <w:szCs w:val="28"/>
        </w:rPr>
        <w:t>ым годовым</w:t>
      </w:r>
      <w:r w:rsidR="00BC1B8E" w:rsidRPr="00E47AA9">
        <w:rPr>
          <w:rFonts w:ascii="Times New Roman" w:eastAsia="Calibri" w:hAnsi="Times New Roman" w:cs="Times New Roman"/>
          <w:sz w:val="28"/>
          <w:szCs w:val="28"/>
        </w:rPr>
        <w:t xml:space="preserve"> доклад</w:t>
      </w:r>
      <w:r w:rsidRPr="00E47AA9">
        <w:rPr>
          <w:rFonts w:ascii="Times New Roman" w:eastAsia="Calibri" w:hAnsi="Times New Roman" w:cs="Times New Roman"/>
          <w:sz w:val="28"/>
          <w:szCs w:val="28"/>
        </w:rPr>
        <w:t>ом</w:t>
      </w:r>
      <w:r w:rsidR="00BC1B8E" w:rsidRPr="00E47AA9">
        <w:rPr>
          <w:rFonts w:ascii="Times New Roman" w:eastAsia="Calibri" w:hAnsi="Times New Roman" w:cs="Times New Roman"/>
          <w:sz w:val="28"/>
          <w:szCs w:val="28"/>
        </w:rPr>
        <w:t>:</w:t>
      </w:r>
    </w:p>
    <w:p w14:paraId="4205E2FD" w14:textId="19DF368F" w:rsidR="00BC1B8E" w:rsidRPr="00E47AA9" w:rsidRDefault="00BC1B8E" w:rsidP="00BC1B8E">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из 25 мероприятий государственной программы, запланированных к выполнению в 2024 году, в полном объеме выполнены 22 мероприятия, </w:t>
      </w:r>
      <w:r w:rsidR="004F4858" w:rsidRPr="00E47AA9">
        <w:rPr>
          <w:rFonts w:ascii="Times New Roman" w:eastAsia="Calibri" w:hAnsi="Times New Roman" w:cs="Times New Roman"/>
          <w:sz w:val="28"/>
          <w:szCs w:val="28"/>
        </w:rPr>
        <w:br/>
      </w:r>
      <w:r w:rsidRPr="00E47AA9">
        <w:rPr>
          <w:rFonts w:ascii="Times New Roman" w:eastAsia="Calibri" w:hAnsi="Times New Roman" w:cs="Times New Roman"/>
          <w:sz w:val="28"/>
          <w:szCs w:val="28"/>
        </w:rPr>
        <w:t>3 мероприятия выполнены не в полном объеме;</w:t>
      </w:r>
    </w:p>
    <w:p w14:paraId="6BA04803" w14:textId="50B6579D" w:rsidR="00BC1B8E" w:rsidRPr="00E47AA9" w:rsidRDefault="00BC1B8E" w:rsidP="00BC1B8E">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из 25 показателей государственной программы 23 достигли планового значения, 2 показателя достигнуты не в полном объеме.</w:t>
      </w:r>
    </w:p>
    <w:p w14:paraId="3CBBFFD5" w14:textId="3C9D13AC" w:rsidR="00BC1B8E" w:rsidRPr="00E47AA9" w:rsidRDefault="00BC1B8E" w:rsidP="00BE0C6A">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эффективность государственной программы составила 93,8</w:t>
      </w:r>
      <w:r w:rsidR="00613EC5"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(выше среднего уровня).</w:t>
      </w:r>
    </w:p>
    <w:p w14:paraId="2E1A1ADB" w14:textId="77777777" w:rsidR="00BE0C6A" w:rsidRPr="00E47AA9" w:rsidRDefault="00BE0C6A" w:rsidP="00BE0C6A">
      <w:pPr>
        <w:spacing w:after="0" w:line="240" w:lineRule="auto"/>
        <w:ind w:firstLine="709"/>
        <w:jc w:val="both"/>
        <w:rPr>
          <w:rFonts w:ascii="Times New Roman" w:eastAsia="Times New Roman" w:hAnsi="Times New Roman" w:cs="Times New Roman"/>
          <w:b/>
          <w:i/>
          <w:sz w:val="28"/>
          <w:szCs w:val="28"/>
          <w:lang w:eastAsia="ru-RU"/>
        </w:rPr>
      </w:pPr>
      <w:r w:rsidRPr="00E47AA9">
        <w:rPr>
          <w:rFonts w:ascii="Times New Roman" w:eastAsia="Times New Roman" w:hAnsi="Times New Roman" w:cs="Times New Roman"/>
          <w:b/>
          <w:sz w:val="28"/>
          <w:szCs w:val="28"/>
          <w:lang w:eastAsia="ru-RU"/>
        </w:rPr>
        <w:lastRenderedPageBreak/>
        <w:t>Подпрограмма "</w:t>
      </w:r>
      <w:r w:rsidRPr="00E47AA9">
        <w:rPr>
          <w:rFonts w:ascii="Times New Roman" w:eastAsia="Calibri" w:hAnsi="Times New Roman" w:cs="Times New Roman"/>
          <w:b/>
          <w:sz w:val="28"/>
          <w:szCs w:val="28"/>
        </w:rPr>
        <w:t>Развитие цифровой экономики в Приморском крае</w:t>
      </w:r>
      <w:r w:rsidRPr="00E47AA9">
        <w:rPr>
          <w:rFonts w:ascii="Times New Roman" w:eastAsia="Times New Roman" w:hAnsi="Times New Roman" w:cs="Times New Roman"/>
          <w:b/>
          <w:sz w:val="28"/>
          <w:szCs w:val="28"/>
          <w:lang w:eastAsia="ru-RU"/>
        </w:rPr>
        <w:t>"</w:t>
      </w:r>
      <w:r w:rsidRPr="00E47AA9">
        <w:rPr>
          <w:rFonts w:ascii="Times New Roman" w:eastAsia="Times New Roman" w:hAnsi="Times New Roman" w:cs="Times New Roman"/>
          <w:b/>
          <w:i/>
          <w:sz w:val="28"/>
          <w:szCs w:val="28"/>
          <w:lang w:eastAsia="ru-RU"/>
        </w:rPr>
        <w:t xml:space="preserve"> </w:t>
      </w:r>
    </w:p>
    <w:p w14:paraId="3A84FC81" w14:textId="658F37AD" w:rsidR="00BE0C6A" w:rsidRPr="00E47AA9" w:rsidRDefault="00BE0C6A" w:rsidP="00BE0C6A">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Реализация мероприятий</w:t>
      </w:r>
      <w:r w:rsidR="00542874" w:rsidRPr="00E47AA9">
        <w:rPr>
          <w:rFonts w:ascii="Times New Roman" w:eastAsia="Times New Roman" w:hAnsi="Times New Roman" w:cs="Times New Roman"/>
          <w:sz w:val="28"/>
          <w:szCs w:val="28"/>
          <w:lang w:eastAsia="ru-RU"/>
        </w:rPr>
        <w:t xml:space="preserve"> </w:t>
      </w:r>
      <w:r w:rsidR="00542874" w:rsidRPr="00E47AA9">
        <w:rPr>
          <w:rFonts w:ascii="Times New Roman" w:eastAsia="Times New Roman" w:hAnsi="Times New Roman" w:cs="Times New Roman"/>
          <w:i/>
          <w:iCs/>
          <w:sz w:val="28"/>
          <w:szCs w:val="28"/>
          <w:lang w:eastAsia="ru-RU"/>
        </w:rPr>
        <w:t>РП</w:t>
      </w:r>
      <w:r w:rsidRPr="00E47AA9">
        <w:rPr>
          <w:rFonts w:ascii="Times New Roman" w:eastAsia="Times New Roman" w:hAnsi="Times New Roman" w:cs="Times New Roman"/>
          <w:i/>
          <w:iCs/>
          <w:sz w:val="28"/>
          <w:szCs w:val="28"/>
          <w:lang w:eastAsia="ru-RU"/>
        </w:rPr>
        <w:t>, входящих в состав НП "Национальная программа "Цифровая экономика Российской Федерации"</w:t>
      </w:r>
      <w:r w:rsidR="004C2867" w:rsidRPr="00E47AA9">
        <w:rPr>
          <w:rFonts w:ascii="Times New Roman" w:eastAsia="Times New Roman" w:hAnsi="Times New Roman" w:cs="Times New Roman"/>
          <w:i/>
          <w:iCs/>
          <w:sz w:val="28"/>
          <w:szCs w:val="28"/>
          <w:lang w:eastAsia="ru-RU"/>
        </w:rPr>
        <w:t>,</w:t>
      </w:r>
      <w:r w:rsidRPr="00E47AA9">
        <w:rPr>
          <w:rFonts w:ascii="Times New Roman" w:eastAsia="Times New Roman" w:hAnsi="Times New Roman" w:cs="Times New Roman"/>
          <w:i/>
          <w:iCs/>
          <w:sz w:val="28"/>
          <w:szCs w:val="28"/>
          <w:lang w:eastAsia="ru-RU"/>
        </w:rPr>
        <w:t xml:space="preserve"> </w:t>
      </w:r>
      <w:r w:rsidRPr="00E47AA9">
        <w:rPr>
          <w:rFonts w:ascii="Times New Roman" w:eastAsia="Times New Roman" w:hAnsi="Times New Roman" w:cs="Times New Roman"/>
          <w:iCs/>
          <w:sz w:val="28"/>
          <w:szCs w:val="28"/>
          <w:lang w:eastAsia="ru-RU"/>
        </w:rPr>
        <w:t>осуществлялась</w:t>
      </w:r>
      <w:r w:rsidRPr="00E47AA9">
        <w:rPr>
          <w:rFonts w:ascii="Times New Roman" w:eastAsia="Times New Roman" w:hAnsi="Times New Roman" w:cs="Times New Roman"/>
          <w:i/>
          <w:iCs/>
          <w:sz w:val="28"/>
          <w:szCs w:val="28"/>
          <w:lang w:eastAsia="ru-RU"/>
        </w:rPr>
        <w:t xml:space="preserve"> </w:t>
      </w:r>
      <w:r w:rsidRPr="00E47AA9">
        <w:rPr>
          <w:rFonts w:ascii="Times New Roman" w:eastAsia="Times New Roman" w:hAnsi="Times New Roman" w:cs="Times New Roman"/>
          <w:iCs/>
          <w:sz w:val="28"/>
          <w:szCs w:val="28"/>
          <w:u w:val="single"/>
          <w:lang w:eastAsia="ru-RU"/>
        </w:rPr>
        <w:t>м</w:t>
      </w:r>
      <w:r w:rsidRPr="00E47AA9">
        <w:rPr>
          <w:rFonts w:ascii="Times New Roman" w:eastAsia="Times New Roman" w:hAnsi="Times New Roman" w:cs="Times New Roman"/>
          <w:sz w:val="28"/>
          <w:szCs w:val="28"/>
          <w:u w:val="single"/>
          <w:lang w:eastAsia="ru-RU"/>
        </w:rPr>
        <w:t>инистерством цифрового развития и связи Приморского края</w:t>
      </w:r>
      <w:r w:rsidRPr="00E47AA9">
        <w:rPr>
          <w:rFonts w:ascii="Times New Roman" w:eastAsia="Times New Roman" w:hAnsi="Times New Roman" w:cs="Times New Roman"/>
          <w:sz w:val="28"/>
          <w:szCs w:val="28"/>
          <w:lang w:eastAsia="ru-RU"/>
        </w:rPr>
        <w:t>. Плановые назначения освоены в полном объеме:</w:t>
      </w:r>
      <w:r w:rsidRPr="00E47AA9">
        <w:rPr>
          <w:rFonts w:ascii="Times New Roman" w:eastAsia="Times New Roman" w:hAnsi="Times New Roman" w:cs="Times New Roman"/>
          <w:i/>
          <w:iCs/>
          <w:sz w:val="28"/>
          <w:szCs w:val="28"/>
          <w:lang w:eastAsia="ru-RU"/>
        </w:rPr>
        <w:t xml:space="preserve"> РП "Информационная безопасность" </w:t>
      </w:r>
      <w:r w:rsidRPr="00E47AA9">
        <w:rPr>
          <w:rFonts w:ascii="Times New Roman" w:eastAsia="Times New Roman" w:hAnsi="Times New Roman" w:cs="Times New Roman"/>
          <w:iCs/>
          <w:sz w:val="28"/>
          <w:szCs w:val="28"/>
          <w:lang w:eastAsia="ru-RU"/>
        </w:rPr>
        <w:t>(исполнено 57,07 млн рублей)</w:t>
      </w:r>
      <w:r w:rsidRPr="00E47AA9">
        <w:rPr>
          <w:rFonts w:ascii="Times New Roman" w:eastAsia="Times New Roman" w:hAnsi="Times New Roman" w:cs="Times New Roman"/>
          <w:i/>
          <w:iCs/>
          <w:sz w:val="28"/>
          <w:szCs w:val="28"/>
          <w:lang w:eastAsia="ru-RU"/>
        </w:rPr>
        <w:t xml:space="preserve"> и РП "Цифровое государственное управление" </w:t>
      </w:r>
      <w:r w:rsidRPr="00E47AA9">
        <w:rPr>
          <w:rFonts w:ascii="Times New Roman" w:eastAsia="Times New Roman" w:hAnsi="Times New Roman" w:cs="Times New Roman"/>
          <w:iCs/>
          <w:sz w:val="28"/>
          <w:szCs w:val="28"/>
          <w:lang w:eastAsia="ru-RU"/>
        </w:rPr>
        <w:t>(41,26 млн рублей)</w:t>
      </w:r>
      <w:r w:rsidRPr="00E47AA9">
        <w:rPr>
          <w:rFonts w:ascii="Times New Roman" w:eastAsia="Times New Roman" w:hAnsi="Times New Roman" w:cs="Times New Roman"/>
          <w:i/>
          <w:iCs/>
          <w:sz w:val="28"/>
          <w:szCs w:val="28"/>
          <w:lang w:eastAsia="ru-RU"/>
        </w:rPr>
        <w:t>.</w:t>
      </w:r>
      <w:r w:rsidRPr="00E47AA9">
        <w:rPr>
          <w:rFonts w:ascii="Times New Roman" w:eastAsia="Times New Roman" w:hAnsi="Times New Roman" w:cs="Times New Roman"/>
          <w:sz w:val="28"/>
          <w:szCs w:val="28"/>
          <w:lang w:eastAsia="ru-RU"/>
        </w:rPr>
        <w:t xml:space="preserve"> Подробная информация в приложении 3 к Заключению.</w:t>
      </w:r>
    </w:p>
    <w:p w14:paraId="1AD7BC81" w14:textId="7A1281E0" w:rsidR="00BE0C6A" w:rsidRPr="00E47AA9" w:rsidRDefault="00BE0C6A" w:rsidP="00BE0C6A">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По ведомственному проекту </w:t>
      </w:r>
      <w:r w:rsidR="0018515F" w:rsidRPr="00E47AA9">
        <w:rPr>
          <w:rFonts w:ascii="Times New Roman" w:eastAsia="Times New Roman" w:hAnsi="Times New Roman" w:cs="Times New Roman"/>
          <w:sz w:val="28"/>
          <w:szCs w:val="28"/>
          <w:lang w:eastAsia="ru-RU"/>
        </w:rPr>
        <w:t xml:space="preserve">(далее – ВП) </w:t>
      </w:r>
      <w:r w:rsidRPr="00E47AA9">
        <w:rPr>
          <w:rFonts w:ascii="Times New Roman" w:eastAsia="Times New Roman" w:hAnsi="Times New Roman" w:cs="Times New Roman"/>
          <w:i/>
          <w:sz w:val="28"/>
          <w:szCs w:val="28"/>
          <w:lang w:eastAsia="ru-RU"/>
        </w:rPr>
        <w:t xml:space="preserve">"Создание условий для развития информационно и </w:t>
      </w:r>
      <w:proofErr w:type="spellStart"/>
      <w:r w:rsidRPr="00E47AA9">
        <w:rPr>
          <w:rFonts w:ascii="Times New Roman" w:eastAsia="Times New Roman" w:hAnsi="Times New Roman" w:cs="Times New Roman"/>
          <w:i/>
          <w:sz w:val="28"/>
          <w:szCs w:val="28"/>
          <w:lang w:eastAsia="ru-RU"/>
        </w:rPr>
        <w:t>инновационно</w:t>
      </w:r>
      <w:proofErr w:type="spellEnd"/>
      <w:r w:rsidRPr="00E47AA9">
        <w:rPr>
          <w:rFonts w:ascii="Times New Roman" w:eastAsia="Times New Roman" w:hAnsi="Times New Roman" w:cs="Times New Roman"/>
          <w:i/>
          <w:sz w:val="28"/>
          <w:szCs w:val="28"/>
          <w:lang w:eastAsia="ru-RU"/>
        </w:rPr>
        <w:t xml:space="preserve">-технологической индустрии </w:t>
      </w:r>
      <w:r w:rsidRPr="00E47AA9">
        <w:rPr>
          <w:rFonts w:ascii="Times New Roman" w:eastAsia="Times New Roman" w:hAnsi="Times New Roman" w:cs="Times New Roman"/>
          <w:i/>
          <w:sz w:val="28"/>
          <w:szCs w:val="28"/>
          <w:lang w:eastAsia="ru-RU"/>
        </w:rPr>
        <w:br/>
        <w:t xml:space="preserve">в Приморском крае, в рамках приоритетных направлений </w:t>
      </w:r>
      <w:r w:rsidRPr="00E47AA9">
        <w:rPr>
          <w:rFonts w:ascii="Times New Roman" w:eastAsia="Times New Roman" w:hAnsi="Times New Roman" w:cs="Times New Roman"/>
          <w:i/>
          <w:sz w:val="28"/>
          <w:szCs w:val="28"/>
          <w:lang w:eastAsia="ru-RU"/>
        </w:rPr>
        <w:br/>
        <w:t>развития креативных индустрий Приморского края"</w:t>
      </w:r>
      <w:r w:rsidRPr="00E47AA9">
        <w:rPr>
          <w:rFonts w:ascii="Times New Roman" w:eastAsia="Times New Roman" w:hAnsi="Times New Roman" w:cs="Times New Roman"/>
          <w:sz w:val="28"/>
          <w:szCs w:val="28"/>
          <w:lang w:eastAsia="ru-RU"/>
        </w:rPr>
        <w:t xml:space="preserve"> направлено </w:t>
      </w:r>
      <w:r w:rsidRPr="00E47AA9">
        <w:rPr>
          <w:rFonts w:ascii="Times New Roman" w:eastAsia="Times New Roman" w:hAnsi="Times New Roman" w:cs="Times New Roman"/>
          <w:sz w:val="28"/>
          <w:szCs w:val="28"/>
          <w:lang w:eastAsia="ru-RU"/>
        </w:rPr>
        <w:br/>
        <w:t xml:space="preserve">2,0 млн рублей (100 %) на предоставление грантов в форме субсидий </w:t>
      </w:r>
      <w:r w:rsidRPr="00E47AA9">
        <w:rPr>
          <w:rFonts w:ascii="Times New Roman" w:eastAsia="Times New Roman" w:hAnsi="Times New Roman" w:cs="Times New Roman"/>
          <w:sz w:val="28"/>
          <w:szCs w:val="28"/>
          <w:lang w:eastAsia="ru-RU"/>
        </w:rPr>
        <w:br/>
        <w:t>из краевого бюджета юридическим лицам (за исключением государственных (муниципальных) учреждений), индивидуальным предпринимателям, осуществляющим деятельность в области информационных технологий, на разработку и (или) внедрение отечественного программного продукта (решения) (далее – грант).</w:t>
      </w:r>
    </w:p>
    <w:p w14:paraId="616759F5" w14:textId="77777777" w:rsidR="00BE0C6A" w:rsidRPr="00E47AA9" w:rsidRDefault="00BE0C6A" w:rsidP="00BE0C6A">
      <w:pPr>
        <w:spacing w:after="0" w:line="240" w:lineRule="auto"/>
        <w:ind w:firstLine="697"/>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2024 году из краевого бюджета предоставлено два гранта </w:t>
      </w:r>
      <w:r w:rsidRPr="00E47AA9">
        <w:rPr>
          <w:rFonts w:ascii="Times New Roman" w:eastAsia="Times New Roman" w:hAnsi="Times New Roman" w:cs="Times New Roman"/>
          <w:sz w:val="28"/>
          <w:szCs w:val="28"/>
          <w:lang w:eastAsia="ru-RU"/>
        </w:rPr>
        <w:br/>
        <w:t>по 1,00 млн рублей, в том числе:</w:t>
      </w:r>
    </w:p>
    <w:p w14:paraId="54F2F594" w14:textId="77777777" w:rsidR="00BE0C6A" w:rsidRPr="00E47AA9" w:rsidRDefault="00BE0C6A" w:rsidP="00BE0C6A">
      <w:pPr>
        <w:spacing w:after="0" w:line="240" w:lineRule="auto"/>
        <w:ind w:firstLine="697"/>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на введение сервиса аналитики прогнозных показателей системы управления производственными процессами </w:t>
      </w:r>
      <w:proofErr w:type="spellStart"/>
      <w:r w:rsidRPr="00E47AA9">
        <w:rPr>
          <w:rFonts w:ascii="Times New Roman" w:eastAsia="Times New Roman" w:hAnsi="Times New Roman" w:cs="Times New Roman"/>
          <w:sz w:val="28"/>
          <w:szCs w:val="28"/>
          <w:lang w:eastAsia="ru-RU"/>
        </w:rPr>
        <w:t>web_scada</w:t>
      </w:r>
      <w:proofErr w:type="spellEnd"/>
      <w:r w:rsidRPr="00E47AA9">
        <w:rPr>
          <w:rFonts w:ascii="Times New Roman" w:eastAsia="Times New Roman" w:hAnsi="Times New Roman" w:cs="Times New Roman"/>
          <w:sz w:val="28"/>
          <w:szCs w:val="28"/>
          <w:lang w:eastAsia="ru-RU"/>
        </w:rPr>
        <w:t xml:space="preserve"> в промышленную эксплуатацию в рамках соглашения от 10.09.2024 № 30-2024-002936, заключенного с ООО "Автоматика"; </w:t>
      </w:r>
    </w:p>
    <w:p w14:paraId="07C405FC" w14:textId="6673FBFE" w:rsidR="00BE0C6A" w:rsidRPr="00E47AA9" w:rsidRDefault="00BE0C6A" w:rsidP="00BE0C6A">
      <w:pPr>
        <w:spacing w:after="0" w:line="240" w:lineRule="auto"/>
        <w:ind w:firstLine="697"/>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создание и регистраци</w:t>
      </w:r>
      <w:r w:rsidR="00AF55CD" w:rsidRPr="00E47AA9">
        <w:rPr>
          <w:rFonts w:ascii="Times New Roman" w:eastAsia="Times New Roman" w:hAnsi="Times New Roman" w:cs="Times New Roman"/>
          <w:sz w:val="28"/>
          <w:szCs w:val="28"/>
          <w:lang w:eastAsia="ru-RU"/>
        </w:rPr>
        <w:t>ю</w:t>
      </w:r>
      <w:r w:rsidRPr="00E47AA9">
        <w:rPr>
          <w:rFonts w:ascii="Times New Roman" w:eastAsia="Times New Roman" w:hAnsi="Times New Roman" w:cs="Times New Roman"/>
          <w:sz w:val="28"/>
          <w:szCs w:val="28"/>
          <w:lang w:eastAsia="ru-RU"/>
        </w:rPr>
        <w:t xml:space="preserve"> базы данных по проекту "Внедрение ИИ </w:t>
      </w:r>
      <w:r w:rsidRPr="00E47AA9">
        <w:rPr>
          <w:rFonts w:ascii="Times New Roman" w:eastAsia="Times New Roman" w:hAnsi="Times New Roman" w:cs="Times New Roman"/>
          <w:sz w:val="28"/>
          <w:szCs w:val="28"/>
          <w:lang w:eastAsia="ru-RU"/>
        </w:rPr>
        <w:br/>
        <w:t>в фото-щелевую лампу (офтальмология)" в рамках соглашения от 10.09.2024 № 30-2024-002930, заключенного с ООО "Инновации ДВ";</w:t>
      </w:r>
    </w:p>
    <w:p w14:paraId="06265883" w14:textId="2A324B74" w:rsidR="00BE0C6A" w:rsidRPr="00E47AA9" w:rsidRDefault="00BE0C6A" w:rsidP="00BE0C6A">
      <w:pPr>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sz w:val="28"/>
          <w:szCs w:val="28"/>
          <w:lang w:eastAsia="ru-RU"/>
        </w:rPr>
        <w:t>По</w:t>
      </w:r>
      <w:r w:rsidRPr="00E47AA9">
        <w:rPr>
          <w:rFonts w:ascii="Times New Roman" w:eastAsia="Times New Roman" w:hAnsi="Times New Roman" w:cs="Times New Roman"/>
          <w:b/>
          <w:i/>
          <w:sz w:val="28"/>
          <w:szCs w:val="28"/>
          <w:lang w:eastAsia="ru-RU"/>
        </w:rPr>
        <w:t xml:space="preserve"> </w:t>
      </w:r>
      <w:r w:rsidRPr="00E47AA9">
        <w:rPr>
          <w:rFonts w:ascii="Times New Roman" w:eastAsia="Times New Roman" w:hAnsi="Times New Roman" w:cs="Times New Roman"/>
          <w:bCs/>
          <w:i/>
          <w:sz w:val="28"/>
          <w:szCs w:val="28"/>
          <w:lang w:eastAsia="ru-RU"/>
        </w:rPr>
        <w:t>КПМ "Управление развитием информационного общества"</w:t>
      </w:r>
      <w:r w:rsidRPr="00E47AA9">
        <w:rPr>
          <w:rFonts w:ascii="Times New Roman" w:eastAsia="Times New Roman" w:hAnsi="Times New Roman" w:cs="Times New Roman"/>
          <w:b/>
          <w:i/>
          <w:sz w:val="28"/>
          <w:szCs w:val="28"/>
          <w:lang w:eastAsia="ru-RU"/>
        </w:rPr>
        <w:t xml:space="preserve"> </w:t>
      </w:r>
      <w:r w:rsidRPr="00E47AA9">
        <w:rPr>
          <w:rFonts w:ascii="Times New Roman" w:eastAsia="Times New Roman" w:hAnsi="Times New Roman" w:cs="Times New Roman"/>
          <w:sz w:val="28"/>
          <w:szCs w:val="28"/>
          <w:lang w:eastAsia="ru-RU"/>
        </w:rPr>
        <w:t xml:space="preserve">исполнение 858,53 млн рублей, или 96,75 % (план </w:t>
      </w:r>
      <w:r w:rsidR="00576C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860,65 млн рублей), из них:</w:t>
      </w:r>
      <w:r w:rsidRPr="00E47AA9">
        <w:rPr>
          <w:rFonts w:ascii="Times New Roman" w:eastAsia="Times New Roman" w:hAnsi="Times New Roman" w:cs="Times New Roman"/>
          <w:i/>
          <w:sz w:val="28"/>
          <w:szCs w:val="28"/>
          <w:lang w:eastAsia="ru-RU"/>
        </w:rPr>
        <w:t xml:space="preserve"> </w:t>
      </w:r>
    </w:p>
    <w:p w14:paraId="081E4367" w14:textId="262E2A80" w:rsidR="00BE0C6A" w:rsidRPr="00E47AA9" w:rsidRDefault="00BE0C6A" w:rsidP="00BE0C6A">
      <w:pPr>
        <w:widowControl w:val="0"/>
        <w:suppressAutoHyphen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694,23 млн рублей, или 99,7 % (план</w:t>
      </w:r>
      <w:r w:rsidR="00576C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 696,34 млн рублей) на выполнение функций КГКУ "Информационно технологический центр Приморского края" (далее – КГКУ "ИТЦ") по информационно-техническому обеспечению деятельности Правительства Приморского края, органов исполнительной власти Приморского края, аппарата Губернатора Приморского края и Правительства Приморского края; </w:t>
      </w:r>
    </w:p>
    <w:p w14:paraId="0C0C8789" w14:textId="715B7C52" w:rsidR="00BE0C6A" w:rsidRPr="00E47AA9" w:rsidRDefault="00BE0C6A" w:rsidP="00BE0C6A">
      <w:pPr>
        <w:widowControl w:val="0"/>
        <w:spacing w:after="0"/>
        <w:ind w:firstLine="700"/>
        <w:jc w:val="both"/>
        <w:rPr>
          <w:rFonts w:ascii="Times New Roman" w:hAnsi="Times New Roman" w:cs="Times New Roman"/>
          <w:sz w:val="28"/>
          <w:szCs w:val="28"/>
        </w:rPr>
      </w:pPr>
      <w:r w:rsidRPr="00E47AA9">
        <w:rPr>
          <w:rFonts w:ascii="Times New Roman" w:hAnsi="Times New Roman" w:cs="Times New Roman"/>
          <w:sz w:val="28"/>
          <w:szCs w:val="28"/>
        </w:rPr>
        <w:t xml:space="preserve">28,76 млн рублей в полном объеме </w:t>
      </w:r>
      <w:r w:rsidR="006A7A85" w:rsidRPr="00E47AA9">
        <w:rPr>
          <w:rFonts w:ascii="Times New Roman" w:hAnsi="Times New Roman" w:cs="Times New Roman"/>
          <w:sz w:val="28"/>
          <w:szCs w:val="28"/>
        </w:rPr>
        <w:t>–</w:t>
      </w:r>
      <w:r w:rsidRPr="00E47AA9">
        <w:rPr>
          <w:rFonts w:ascii="Times New Roman" w:hAnsi="Times New Roman" w:cs="Times New Roman"/>
          <w:sz w:val="28"/>
          <w:szCs w:val="28"/>
        </w:rPr>
        <w:t xml:space="preserve"> на создание условий для обеспечения услугами связи малочисленных и труднодоступных населенных пунктов Приморского края (исполнение в полном объеме). В рамках реализации мероприятия обеспечены услугами связи 4 населенных пункта Приморского края: д. </w:t>
      </w:r>
      <w:proofErr w:type="spellStart"/>
      <w:r w:rsidRPr="00E47AA9">
        <w:rPr>
          <w:rFonts w:ascii="Times New Roman" w:hAnsi="Times New Roman" w:cs="Times New Roman"/>
          <w:sz w:val="28"/>
          <w:szCs w:val="28"/>
        </w:rPr>
        <w:t>Кириловка</w:t>
      </w:r>
      <w:proofErr w:type="spellEnd"/>
      <w:r w:rsidRPr="00E47AA9">
        <w:rPr>
          <w:rFonts w:ascii="Times New Roman" w:hAnsi="Times New Roman" w:cs="Times New Roman"/>
          <w:sz w:val="28"/>
          <w:szCs w:val="28"/>
        </w:rPr>
        <w:t xml:space="preserve"> Партизанского МО, с. </w:t>
      </w:r>
      <w:proofErr w:type="spellStart"/>
      <w:r w:rsidRPr="00E47AA9">
        <w:rPr>
          <w:rFonts w:ascii="Times New Roman" w:hAnsi="Times New Roman" w:cs="Times New Roman"/>
          <w:sz w:val="28"/>
          <w:szCs w:val="28"/>
        </w:rPr>
        <w:t>Полыниха</w:t>
      </w:r>
      <w:proofErr w:type="spellEnd"/>
      <w:r w:rsidRPr="00E47AA9">
        <w:rPr>
          <w:rFonts w:ascii="Times New Roman" w:hAnsi="Times New Roman" w:cs="Times New Roman"/>
          <w:sz w:val="28"/>
          <w:szCs w:val="28"/>
        </w:rPr>
        <w:t xml:space="preserve"> и с. </w:t>
      </w:r>
      <w:proofErr w:type="spellStart"/>
      <w:r w:rsidRPr="00E47AA9">
        <w:rPr>
          <w:rFonts w:ascii="Times New Roman" w:hAnsi="Times New Roman" w:cs="Times New Roman"/>
          <w:sz w:val="28"/>
          <w:szCs w:val="28"/>
        </w:rPr>
        <w:t>Берёзовка</w:t>
      </w:r>
      <w:proofErr w:type="spellEnd"/>
      <w:r w:rsidRPr="00E47AA9">
        <w:rPr>
          <w:rFonts w:ascii="Times New Roman" w:hAnsi="Times New Roman" w:cs="Times New Roman"/>
          <w:sz w:val="28"/>
          <w:szCs w:val="28"/>
        </w:rPr>
        <w:t xml:space="preserve"> </w:t>
      </w:r>
      <w:proofErr w:type="spellStart"/>
      <w:r w:rsidRPr="00E47AA9">
        <w:rPr>
          <w:rFonts w:ascii="Times New Roman" w:hAnsi="Times New Roman" w:cs="Times New Roman"/>
          <w:sz w:val="28"/>
          <w:szCs w:val="28"/>
        </w:rPr>
        <w:t>Чугуевского</w:t>
      </w:r>
      <w:proofErr w:type="spellEnd"/>
      <w:r w:rsidRPr="00E47AA9">
        <w:rPr>
          <w:rFonts w:ascii="Times New Roman" w:hAnsi="Times New Roman" w:cs="Times New Roman"/>
          <w:sz w:val="28"/>
          <w:szCs w:val="28"/>
        </w:rPr>
        <w:t xml:space="preserve"> МО, с. Андреевка Яковлевского МО;</w:t>
      </w:r>
    </w:p>
    <w:p w14:paraId="57B84053" w14:textId="2B50B287" w:rsidR="00BE0C6A" w:rsidRPr="00E47AA9" w:rsidRDefault="00BE0C6A" w:rsidP="00BE0C6A">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31,64 млн рублей в полном объеме </w:t>
      </w:r>
      <w:r w:rsidR="006A7A85"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на создание условий для развития </w:t>
      </w:r>
      <w:r w:rsidRPr="00E47AA9">
        <w:rPr>
          <w:rFonts w:ascii="Times New Roman" w:eastAsia="Times New Roman" w:hAnsi="Times New Roman" w:cs="Times New Roman"/>
          <w:sz w:val="28"/>
          <w:szCs w:val="28"/>
          <w:lang w:eastAsia="ru-RU"/>
        </w:rPr>
        <w:lastRenderedPageBreak/>
        <w:t>услуг широкополосного доступа к информационно-телекоммуникационной сети Интернет в населенных пунктах Приморского края (исполнение в полном объеме). В рамках реализации мероприятия обеспечены услугами широкополосного доступа к информационно-телекоммуникационной сети Интернет 8 населенных пунктов: с. Береговое Владивостокского ГО, с. </w:t>
      </w:r>
      <w:proofErr w:type="spellStart"/>
      <w:r w:rsidRPr="00E47AA9">
        <w:rPr>
          <w:rFonts w:ascii="Times New Roman" w:eastAsia="Times New Roman" w:hAnsi="Times New Roman" w:cs="Times New Roman"/>
          <w:sz w:val="28"/>
          <w:szCs w:val="28"/>
          <w:lang w:eastAsia="ru-RU"/>
        </w:rPr>
        <w:t>Шекляево</w:t>
      </w:r>
      <w:proofErr w:type="spellEnd"/>
      <w:r w:rsidRPr="00E47AA9">
        <w:rPr>
          <w:rFonts w:ascii="Times New Roman" w:eastAsia="Times New Roman" w:hAnsi="Times New Roman" w:cs="Times New Roman"/>
          <w:sz w:val="28"/>
          <w:szCs w:val="28"/>
          <w:lang w:eastAsia="ru-RU"/>
        </w:rPr>
        <w:t xml:space="preserve"> Анучинского МО, с. </w:t>
      </w:r>
      <w:proofErr w:type="spellStart"/>
      <w:r w:rsidRPr="00E47AA9">
        <w:rPr>
          <w:rFonts w:ascii="Times New Roman" w:eastAsia="Times New Roman" w:hAnsi="Times New Roman" w:cs="Times New Roman"/>
          <w:sz w:val="28"/>
          <w:szCs w:val="28"/>
          <w:lang w:eastAsia="ru-RU"/>
        </w:rPr>
        <w:t>Душкино</w:t>
      </w:r>
      <w:proofErr w:type="spellEnd"/>
      <w:r w:rsidRPr="00E47AA9">
        <w:rPr>
          <w:rFonts w:ascii="Times New Roman" w:eastAsia="Times New Roman" w:hAnsi="Times New Roman" w:cs="Times New Roman"/>
          <w:sz w:val="28"/>
          <w:szCs w:val="28"/>
          <w:lang w:eastAsia="ru-RU"/>
        </w:rPr>
        <w:t xml:space="preserve"> Находкинского ГО, с. Фурманов, с. Лиственная и с. </w:t>
      </w:r>
      <w:proofErr w:type="spellStart"/>
      <w:r w:rsidRPr="00E47AA9">
        <w:rPr>
          <w:rFonts w:ascii="Times New Roman" w:eastAsia="Times New Roman" w:hAnsi="Times New Roman" w:cs="Times New Roman"/>
          <w:sz w:val="28"/>
          <w:szCs w:val="28"/>
          <w:lang w:eastAsia="ru-RU"/>
        </w:rPr>
        <w:t>Щербаковка</w:t>
      </w:r>
      <w:proofErr w:type="spellEnd"/>
      <w:r w:rsidRPr="00E47AA9">
        <w:rPr>
          <w:rFonts w:ascii="Times New Roman" w:eastAsia="Times New Roman" w:hAnsi="Times New Roman" w:cs="Times New Roman"/>
          <w:sz w:val="28"/>
          <w:szCs w:val="28"/>
          <w:lang w:eastAsia="ru-RU"/>
        </w:rPr>
        <w:t xml:space="preserve"> Ольгинского МО, с. </w:t>
      </w:r>
      <w:proofErr w:type="spellStart"/>
      <w:r w:rsidRPr="00E47AA9">
        <w:rPr>
          <w:rFonts w:ascii="Times New Roman" w:eastAsia="Times New Roman" w:hAnsi="Times New Roman" w:cs="Times New Roman"/>
          <w:sz w:val="28"/>
          <w:szCs w:val="28"/>
          <w:lang w:eastAsia="ru-RU"/>
        </w:rPr>
        <w:t>Жариково</w:t>
      </w:r>
      <w:proofErr w:type="spellEnd"/>
      <w:r w:rsidRPr="00E47AA9">
        <w:rPr>
          <w:rFonts w:ascii="Times New Roman" w:eastAsia="Times New Roman" w:hAnsi="Times New Roman" w:cs="Times New Roman"/>
          <w:sz w:val="28"/>
          <w:szCs w:val="28"/>
          <w:lang w:eastAsia="ru-RU"/>
        </w:rPr>
        <w:t xml:space="preserve"> Пограничного МО, с. </w:t>
      </w:r>
      <w:proofErr w:type="spellStart"/>
      <w:r w:rsidRPr="00E47AA9">
        <w:rPr>
          <w:rFonts w:ascii="Times New Roman" w:eastAsia="Times New Roman" w:hAnsi="Times New Roman" w:cs="Times New Roman"/>
          <w:sz w:val="28"/>
          <w:szCs w:val="28"/>
          <w:lang w:eastAsia="ru-RU"/>
        </w:rPr>
        <w:t>Утёсное</w:t>
      </w:r>
      <w:proofErr w:type="spellEnd"/>
      <w:r w:rsidRPr="00E47AA9">
        <w:rPr>
          <w:rFonts w:ascii="Times New Roman" w:eastAsia="Times New Roman" w:hAnsi="Times New Roman" w:cs="Times New Roman"/>
          <w:sz w:val="28"/>
          <w:szCs w:val="28"/>
          <w:lang w:eastAsia="ru-RU"/>
        </w:rPr>
        <w:t xml:space="preserve"> Уссурийского ГО;</w:t>
      </w:r>
    </w:p>
    <w:p w14:paraId="52889AC6" w14:textId="77777777" w:rsidR="00BE0C6A" w:rsidRPr="00E47AA9" w:rsidRDefault="00BE0C6A" w:rsidP="00BE0C6A">
      <w:pPr>
        <w:autoSpaceDE w:val="0"/>
        <w:autoSpaceDN w:val="0"/>
        <w:adjustRightInd w:val="0"/>
        <w:spacing w:after="0" w:line="240" w:lineRule="auto"/>
        <w:ind w:firstLine="68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На реализацию </w:t>
      </w:r>
      <w:r w:rsidRPr="00E47AA9">
        <w:rPr>
          <w:rFonts w:ascii="Times New Roman" w:eastAsia="Calibri" w:hAnsi="Times New Roman" w:cs="Times New Roman"/>
          <w:bCs/>
          <w:i/>
          <w:sz w:val="28"/>
          <w:szCs w:val="28"/>
        </w:rPr>
        <w:t>КПМ "Цифровая трансформация Приморского края"</w:t>
      </w:r>
      <w:r w:rsidRPr="00E47AA9">
        <w:rPr>
          <w:rFonts w:ascii="Times New Roman" w:eastAsia="Calibri" w:hAnsi="Times New Roman" w:cs="Times New Roman"/>
          <w:sz w:val="28"/>
          <w:szCs w:val="28"/>
        </w:rPr>
        <w:t xml:space="preserve"> предусмотрено 1060,05 млн рублей, исполнено 1059,86 млн рублей (99,98 %), в том числе:</w:t>
      </w:r>
    </w:p>
    <w:p w14:paraId="5DA689FA" w14:textId="6F36809D" w:rsidR="000A6C99" w:rsidRPr="00E47AA9" w:rsidRDefault="00BE0C6A" w:rsidP="000A6C99">
      <w:pPr>
        <w:autoSpaceDE w:val="0"/>
        <w:autoSpaceDN w:val="0"/>
        <w:adjustRightInd w:val="0"/>
        <w:spacing w:after="0" w:line="240" w:lineRule="auto"/>
        <w:ind w:firstLine="680"/>
        <w:jc w:val="both"/>
        <w:rPr>
          <w:rFonts w:ascii="Times New Roman" w:eastAsia="Calibri" w:hAnsi="Times New Roman" w:cs="Times New Roman"/>
          <w:i/>
          <w:sz w:val="28"/>
          <w:szCs w:val="28"/>
        </w:rPr>
      </w:pPr>
      <w:r w:rsidRPr="00E47AA9">
        <w:rPr>
          <w:rFonts w:ascii="Times New Roman" w:eastAsia="Calibri" w:hAnsi="Times New Roman" w:cs="Times New Roman"/>
          <w:sz w:val="28"/>
          <w:szCs w:val="28"/>
        </w:rPr>
        <w:t xml:space="preserve">1008,13 млн рублей по концессионному соглашению в отношении объекта, представляющего собой информационную систему "Информационная система "Цифровое Приморье", в том числе: плата </w:t>
      </w:r>
      <w:proofErr w:type="spellStart"/>
      <w:r w:rsidRPr="00E47AA9">
        <w:rPr>
          <w:rFonts w:ascii="Times New Roman" w:eastAsia="Calibri" w:hAnsi="Times New Roman" w:cs="Times New Roman"/>
          <w:sz w:val="28"/>
          <w:szCs w:val="28"/>
        </w:rPr>
        <w:t>концедента</w:t>
      </w:r>
      <w:proofErr w:type="spellEnd"/>
      <w:r w:rsidRPr="00E47AA9">
        <w:rPr>
          <w:rFonts w:ascii="Times New Roman" w:eastAsia="Calibri" w:hAnsi="Times New Roman" w:cs="Times New Roman"/>
          <w:sz w:val="28"/>
          <w:szCs w:val="28"/>
        </w:rPr>
        <w:t xml:space="preserve"> </w:t>
      </w:r>
      <w:r w:rsidR="006A7A85"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875,52 млн рублей</w:t>
      </w:r>
      <w:r w:rsidR="006A7A85"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дополнительные расходы концессионера на выплату процентов за пользование кредитными средствами в соответствии </w:t>
      </w:r>
      <w:r w:rsidRPr="00E47AA9">
        <w:rPr>
          <w:rFonts w:ascii="Times New Roman" w:eastAsia="Calibri" w:hAnsi="Times New Roman" w:cs="Times New Roman"/>
          <w:sz w:val="28"/>
          <w:szCs w:val="28"/>
        </w:rPr>
        <w:br/>
        <w:t xml:space="preserve">с обязательствами </w:t>
      </w:r>
      <w:proofErr w:type="spellStart"/>
      <w:r w:rsidRPr="00E47AA9">
        <w:rPr>
          <w:rFonts w:ascii="Times New Roman" w:eastAsia="Calibri" w:hAnsi="Times New Roman" w:cs="Times New Roman"/>
          <w:sz w:val="28"/>
          <w:szCs w:val="28"/>
        </w:rPr>
        <w:t>концедента</w:t>
      </w:r>
      <w:proofErr w:type="spellEnd"/>
      <w:r w:rsidRPr="00E47AA9">
        <w:rPr>
          <w:rFonts w:ascii="Times New Roman" w:eastAsia="Calibri" w:hAnsi="Times New Roman" w:cs="Times New Roman"/>
          <w:sz w:val="28"/>
          <w:szCs w:val="28"/>
        </w:rPr>
        <w:t xml:space="preserve"> по концессионному соглашению </w:t>
      </w:r>
      <w:r w:rsidR="006A7A85"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130,55 млн рублей; расходы на содержание технических средств, обремененных правами совместного использования в отношении объекта концессионного соглашения </w:t>
      </w:r>
      <w:r w:rsidR="006A7A85"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2,06 млн рублей</w:t>
      </w:r>
      <w:r w:rsidR="000A6C99" w:rsidRPr="00E47AA9">
        <w:rPr>
          <w:rFonts w:ascii="Times New Roman" w:eastAsia="Calibri" w:hAnsi="Times New Roman" w:cs="Times New Roman"/>
          <w:sz w:val="28"/>
          <w:szCs w:val="28"/>
        </w:rPr>
        <w:t xml:space="preserve">. </w:t>
      </w:r>
      <w:r w:rsidR="000A6C99" w:rsidRPr="00E47AA9">
        <w:rPr>
          <w:rFonts w:ascii="Times New Roman" w:eastAsia="Calibri" w:hAnsi="Times New Roman" w:cs="Times New Roman"/>
          <w:i/>
          <w:sz w:val="28"/>
          <w:szCs w:val="28"/>
        </w:rPr>
        <w:t>По результатам контрольного мероприятия</w:t>
      </w:r>
      <w:r w:rsidR="000A6C99" w:rsidRPr="00E47AA9">
        <w:rPr>
          <w:rStyle w:val="a8"/>
          <w:rFonts w:ascii="Times New Roman" w:eastAsia="Calibri" w:hAnsi="Times New Roman"/>
          <w:i/>
          <w:sz w:val="28"/>
          <w:szCs w:val="28"/>
        </w:rPr>
        <w:footnoteReference w:id="73"/>
      </w:r>
      <w:r w:rsidR="000A6C99" w:rsidRPr="00E47AA9">
        <w:rPr>
          <w:rFonts w:ascii="Times New Roman" w:eastAsia="Calibri" w:hAnsi="Times New Roman" w:cs="Times New Roman"/>
          <w:i/>
          <w:sz w:val="28"/>
          <w:szCs w:val="28"/>
        </w:rPr>
        <w:t xml:space="preserve"> установлено, что министерством цифрового развития и связи Приморского края ежемесячно осуществляется плата </w:t>
      </w:r>
      <w:proofErr w:type="spellStart"/>
      <w:r w:rsidR="000A6C99" w:rsidRPr="00E47AA9">
        <w:rPr>
          <w:rFonts w:ascii="Times New Roman" w:eastAsia="Calibri" w:hAnsi="Times New Roman" w:cs="Times New Roman"/>
          <w:i/>
          <w:sz w:val="28"/>
          <w:szCs w:val="28"/>
        </w:rPr>
        <w:t>Концедента</w:t>
      </w:r>
      <w:proofErr w:type="spellEnd"/>
      <w:r w:rsidR="000A6C99" w:rsidRPr="00E47AA9">
        <w:rPr>
          <w:rFonts w:ascii="Times New Roman" w:eastAsia="Calibri" w:hAnsi="Times New Roman" w:cs="Times New Roman"/>
          <w:i/>
          <w:sz w:val="28"/>
          <w:szCs w:val="28"/>
        </w:rPr>
        <w:t xml:space="preserve"> 1 за созданный Объект (Информационная система "Цифровое Приморье", в состав которой включены 30 сервисов различных сфер (например, ЖКХ, образование, молодежь, туризм)), который в соответствии со сроками, установленными Концессионным соглашением, находится в эксплуатации у ООО "Цифровое Приморье".</w:t>
      </w:r>
    </w:p>
    <w:p w14:paraId="590812D0" w14:textId="6B7E9F1D" w:rsidR="00BE0C6A" w:rsidRPr="00E47AA9" w:rsidRDefault="000A6C99" w:rsidP="000A6C99">
      <w:pPr>
        <w:autoSpaceDE w:val="0"/>
        <w:autoSpaceDN w:val="0"/>
        <w:adjustRightInd w:val="0"/>
        <w:spacing w:after="0" w:line="240" w:lineRule="auto"/>
        <w:ind w:firstLine="680"/>
        <w:jc w:val="both"/>
        <w:rPr>
          <w:rFonts w:ascii="Times New Roman" w:eastAsia="Calibri" w:hAnsi="Times New Roman" w:cs="Times New Roman"/>
          <w:i/>
          <w:sz w:val="28"/>
          <w:szCs w:val="28"/>
        </w:rPr>
      </w:pPr>
      <w:r w:rsidRPr="00E47AA9">
        <w:rPr>
          <w:rFonts w:ascii="Times New Roman" w:eastAsia="Calibri" w:hAnsi="Times New Roman" w:cs="Times New Roman"/>
          <w:i/>
          <w:sz w:val="28"/>
          <w:szCs w:val="28"/>
        </w:rPr>
        <w:t>Вместе с тем, в ходе контрольного мероприятия в 2024 году установлен риск потенциального ущерба для Приморского края в размере 117,50 млн рублей в связи с нереализованностью 2 сервисов (Сервис обеспечения участия в конкурсах и Сервис сферы туризма) с момента их создания. В результате мер, принятых министерством по итогам п</w:t>
      </w:r>
      <w:r w:rsidR="00561A83" w:rsidRPr="00E47AA9">
        <w:rPr>
          <w:rFonts w:ascii="Times New Roman" w:eastAsia="Calibri" w:hAnsi="Times New Roman" w:cs="Times New Roman"/>
          <w:i/>
          <w:sz w:val="28"/>
          <w:szCs w:val="28"/>
        </w:rPr>
        <w:t>ро</w:t>
      </w:r>
      <w:r w:rsidRPr="00E47AA9">
        <w:rPr>
          <w:rFonts w:ascii="Times New Roman" w:eastAsia="Calibri" w:hAnsi="Times New Roman" w:cs="Times New Roman"/>
          <w:i/>
          <w:sz w:val="28"/>
          <w:szCs w:val="28"/>
        </w:rPr>
        <w:t>верки, указанные сервисы вовлечены заинтересованными органами в процесс реализации на территории Приморского края</w:t>
      </w:r>
      <w:r w:rsidR="00BE0C6A" w:rsidRPr="00E47AA9">
        <w:rPr>
          <w:rFonts w:ascii="Times New Roman" w:eastAsia="Calibri" w:hAnsi="Times New Roman" w:cs="Times New Roman"/>
          <w:i/>
          <w:sz w:val="28"/>
          <w:szCs w:val="28"/>
        </w:rPr>
        <w:t>;</w:t>
      </w:r>
    </w:p>
    <w:p w14:paraId="25C68AFC" w14:textId="24243F53" w:rsidR="00BE0C6A" w:rsidRPr="00E47AA9" w:rsidRDefault="00BE0C6A" w:rsidP="00BE0C6A">
      <w:pPr>
        <w:autoSpaceDE w:val="0"/>
        <w:autoSpaceDN w:val="0"/>
        <w:adjustRightInd w:val="0"/>
        <w:spacing w:after="0" w:line="240" w:lineRule="auto"/>
        <w:ind w:firstLine="680"/>
        <w:jc w:val="both"/>
        <w:rPr>
          <w:rFonts w:ascii="Times New Roman" w:eastAsia="Calibri" w:hAnsi="Times New Roman" w:cs="Times New Roman"/>
          <w:sz w:val="28"/>
        </w:rPr>
      </w:pPr>
      <w:r w:rsidRPr="00E47AA9">
        <w:rPr>
          <w:rFonts w:ascii="Times New Roman" w:eastAsia="Calibri" w:hAnsi="Times New Roman" w:cs="Times New Roman"/>
          <w:sz w:val="28"/>
        </w:rPr>
        <w:t xml:space="preserve">51,73 млн рублей </w:t>
      </w:r>
      <w:r w:rsidR="006A7A85" w:rsidRPr="00E47AA9">
        <w:rPr>
          <w:rFonts w:ascii="Times New Roman" w:eastAsia="Calibri" w:hAnsi="Times New Roman" w:cs="Times New Roman"/>
          <w:sz w:val="28"/>
        </w:rPr>
        <w:t>–</w:t>
      </w:r>
      <w:r w:rsidRPr="00E47AA9">
        <w:rPr>
          <w:rFonts w:ascii="Times New Roman" w:eastAsia="Calibri" w:hAnsi="Times New Roman" w:cs="Times New Roman"/>
          <w:sz w:val="28"/>
        </w:rPr>
        <w:t xml:space="preserve"> на обеспечение деятельности КГКУ "</w:t>
      </w:r>
      <w:r w:rsidRPr="00E47AA9">
        <w:rPr>
          <w:rFonts w:ascii="Times New Roman" w:eastAsia="Times New Roman" w:hAnsi="Times New Roman" w:cs="Times New Roman"/>
          <w:sz w:val="28"/>
          <w:szCs w:val="28"/>
          <w:lang w:eastAsia="ru-RU"/>
        </w:rPr>
        <w:t>Цифровая лаборатория Правительства Приморского края"</w:t>
      </w:r>
      <w:r w:rsidRPr="00E47AA9">
        <w:rPr>
          <w:rFonts w:ascii="Times New Roman" w:eastAsia="Calibri" w:hAnsi="Times New Roman" w:cs="Times New Roman"/>
          <w:sz w:val="28"/>
        </w:rPr>
        <w:t xml:space="preserve">. </w:t>
      </w:r>
    </w:p>
    <w:p w14:paraId="4CCE9BB8" w14:textId="77777777" w:rsidR="00BE0C6A" w:rsidRPr="00E47AA9" w:rsidRDefault="00BE0C6A" w:rsidP="00BE0C6A">
      <w:pPr>
        <w:spacing w:after="0" w:line="240" w:lineRule="auto"/>
        <w:ind w:firstLine="709"/>
        <w:jc w:val="both"/>
        <w:rPr>
          <w:rFonts w:ascii="Times New Roman" w:eastAsia="Calibri" w:hAnsi="Times New Roman" w:cs="Times New Roman"/>
          <w:b/>
          <w:sz w:val="28"/>
          <w:szCs w:val="28"/>
        </w:rPr>
      </w:pPr>
      <w:r w:rsidRPr="00E47AA9">
        <w:rPr>
          <w:rFonts w:ascii="Times New Roman" w:eastAsia="Calibri" w:hAnsi="Times New Roman" w:cs="Times New Roman"/>
          <w:b/>
          <w:sz w:val="28"/>
          <w:szCs w:val="28"/>
        </w:rPr>
        <w:t xml:space="preserve">Подпрограмма "Развитие инфраструктуры общего пользования для повышения доступности и качества предоставления государственных </w:t>
      </w:r>
      <w:r w:rsidRPr="00E47AA9">
        <w:rPr>
          <w:rFonts w:ascii="Times New Roman" w:eastAsia="Calibri" w:hAnsi="Times New Roman" w:cs="Times New Roman"/>
          <w:b/>
          <w:sz w:val="28"/>
          <w:szCs w:val="28"/>
        </w:rPr>
        <w:br/>
        <w:t xml:space="preserve">и муниципальных услуг" </w:t>
      </w:r>
    </w:p>
    <w:p w14:paraId="2D38C833" w14:textId="77777777" w:rsidR="00BE0C6A" w:rsidRPr="00E47AA9" w:rsidRDefault="00BE0C6A" w:rsidP="00BE0C6A">
      <w:pPr>
        <w:widowControl w:val="0"/>
        <w:suppressAutoHyphens/>
        <w:spacing w:after="0" w:line="240" w:lineRule="auto"/>
        <w:ind w:firstLine="708"/>
        <w:jc w:val="both"/>
        <w:rPr>
          <w:rFonts w:ascii="Times New Roman" w:eastAsia="Calibri" w:hAnsi="Times New Roman" w:cs="Times New Roman"/>
          <w:bCs/>
          <w:i/>
          <w:sz w:val="28"/>
          <w:szCs w:val="28"/>
        </w:rPr>
      </w:pPr>
      <w:r w:rsidRPr="00E47AA9">
        <w:rPr>
          <w:rFonts w:ascii="Times New Roman" w:eastAsia="Calibri" w:hAnsi="Times New Roman" w:cs="Times New Roman"/>
          <w:sz w:val="28"/>
          <w:szCs w:val="28"/>
        </w:rPr>
        <w:t xml:space="preserve">В рамках </w:t>
      </w:r>
      <w:r w:rsidRPr="00E47AA9">
        <w:rPr>
          <w:rFonts w:ascii="Times New Roman" w:eastAsia="Calibri" w:hAnsi="Times New Roman" w:cs="Times New Roman"/>
          <w:i/>
          <w:sz w:val="28"/>
          <w:szCs w:val="28"/>
        </w:rPr>
        <w:t>КПМ</w:t>
      </w:r>
      <w:r w:rsidRPr="00E47AA9">
        <w:rPr>
          <w:rFonts w:ascii="Times New Roman" w:eastAsia="Calibri" w:hAnsi="Times New Roman" w:cs="Times New Roman"/>
          <w:bCs/>
          <w:i/>
          <w:sz w:val="28"/>
          <w:szCs w:val="28"/>
        </w:rPr>
        <w:t xml:space="preserve"> "Организация и обеспечение предоставления государственных и муниципальных услуг в многофункциональных центрах </w:t>
      </w:r>
      <w:r w:rsidRPr="00E47AA9">
        <w:rPr>
          <w:rFonts w:ascii="Times New Roman" w:eastAsia="Calibri" w:hAnsi="Times New Roman" w:cs="Times New Roman"/>
          <w:bCs/>
          <w:i/>
          <w:sz w:val="28"/>
          <w:szCs w:val="28"/>
        </w:rPr>
        <w:lastRenderedPageBreak/>
        <w:t xml:space="preserve">Приморского края" </w:t>
      </w:r>
      <w:r w:rsidRPr="00E47AA9">
        <w:rPr>
          <w:rFonts w:ascii="Times New Roman" w:eastAsia="Calibri" w:hAnsi="Times New Roman" w:cs="Times New Roman"/>
          <w:bCs/>
          <w:sz w:val="28"/>
          <w:szCs w:val="28"/>
        </w:rPr>
        <w:t>бюджетные ассигнования исполнены в полном объеме 1845,14 млн рублей.</w:t>
      </w:r>
      <w:r w:rsidRPr="00E47AA9">
        <w:rPr>
          <w:rFonts w:ascii="Times New Roman" w:eastAsia="Calibri" w:hAnsi="Times New Roman" w:cs="Times New Roman"/>
          <w:bCs/>
          <w:i/>
          <w:sz w:val="28"/>
          <w:szCs w:val="28"/>
        </w:rPr>
        <w:t xml:space="preserve"> </w:t>
      </w:r>
    </w:p>
    <w:p w14:paraId="766504A5" w14:textId="77777777" w:rsidR="00BE0C6A" w:rsidRPr="00E47AA9" w:rsidRDefault="00BE0C6A" w:rsidP="00BE0C6A">
      <w:pPr>
        <w:widowControl w:val="0"/>
        <w:suppressAutoHyphens/>
        <w:spacing w:after="0" w:line="240" w:lineRule="auto"/>
        <w:ind w:firstLine="708"/>
        <w:jc w:val="both"/>
        <w:rPr>
          <w:rFonts w:ascii="Times New Roman" w:eastAsia="Calibri" w:hAnsi="Times New Roman" w:cs="Times New Roman"/>
          <w:sz w:val="28"/>
        </w:rPr>
      </w:pPr>
      <w:r w:rsidRPr="00E47AA9">
        <w:rPr>
          <w:rFonts w:ascii="Times New Roman" w:eastAsia="Calibri" w:hAnsi="Times New Roman" w:cs="Times New Roman"/>
          <w:bCs/>
          <w:sz w:val="28"/>
          <w:szCs w:val="28"/>
          <w:u w:val="single"/>
        </w:rPr>
        <w:t>Министерством цифрового развития и связи Приморского края</w:t>
      </w:r>
      <w:r w:rsidRPr="00E47AA9">
        <w:rPr>
          <w:rFonts w:ascii="Times New Roman" w:eastAsia="Calibri" w:hAnsi="Times New Roman" w:cs="Times New Roman"/>
          <w:bCs/>
          <w:sz w:val="28"/>
          <w:szCs w:val="28"/>
        </w:rPr>
        <w:t xml:space="preserve"> в 2024 году </w:t>
      </w:r>
      <w:r w:rsidRPr="00E47AA9">
        <w:rPr>
          <w:rFonts w:ascii="Times New Roman" w:eastAsia="Calibri" w:hAnsi="Times New Roman" w:cs="Times New Roman"/>
          <w:sz w:val="28"/>
          <w:szCs w:val="28"/>
        </w:rPr>
        <w:t xml:space="preserve">предоставлены </w:t>
      </w:r>
      <w:r w:rsidRPr="00E47AA9">
        <w:rPr>
          <w:rFonts w:ascii="Times New Roman" w:eastAsia="Calibri" w:hAnsi="Times New Roman" w:cs="Times New Roman"/>
          <w:sz w:val="28"/>
        </w:rPr>
        <w:t>субсидии:</w:t>
      </w:r>
    </w:p>
    <w:p w14:paraId="1C703005" w14:textId="31CA7780" w:rsidR="00BE0C6A" w:rsidRPr="00E47AA9" w:rsidRDefault="00BE0C6A" w:rsidP="00BE0C6A">
      <w:pPr>
        <w:widowControl w:val="0"/>
        <w:suppressAutoHyphens/>
        <w:spacing w:after="0" w:line="240" w:lineRule="auto"/>
        <w:ind w:firstLine="708"/>
        <w:jc w:val="both"/>
        <w:rPr>
          <w:rFonts w:ascii="Times New Roman" w:hAnsi="Times New Roman" w:cs="Times New Roman"/>
          <w:sz w:val="28"/>
          <w:szCs w:val="28"/>
        </w:rPr>
      </w:pPr>
      <w:r w:rsidRPr="00E47AA9">
        <w:rPr>
          <w:rFonts w:ascii="Times New Roman" w:eastAsia="Calibri" w:hAnsi="Times New Roman" w:cs="Times New Roman"/>
          <w:sz w:val="28"/>
        </w:rPr>
        <w:t xml:space="preserve">КГАУ "МФЦ Приморского края" на финансовое обеспечение государственного (муниципального) задания на оказание государственных (муниципальных) услуг (выполнение работ) – 1830,49 млн рублей и на иные цели 44,93 млн рублей. </w:t>
      </w:r>
      <w:r w:rsidRPr="00E47AA9">
        <w:rPr>
          <w:rFonts w:ascii="Times New Roman" w:hAnsi="Times New Roman" w:cs="Times New Roman"/>
          <w:sz w:val="28"/>
          <w:szCs w:val="28"/>
        </w:rPr>
        <w:t xml:space="preserve">По итогам 2024 года уровень удовлетворенности граждан качеством предоставления государственных и муниципальных услуг составил: </w:t>
      </w:r>
      <w:r w:rsidR="006A7A85" w:rsidRPr="00E47AA9">
        <w:rPr>
          <w:rFonts w:ascii="Times New Roman" w:hAnsi="Times New Roman" w:cs="Times New Roman"/>
          <w:sz w:val="28"/>
          <w:szCs w:val="28"/>
        </w:rPr>
        <w:t xml:space="preserve">в </w:t>
      </w:r>
      <w:r w:rsidRPr="00E47AA9">
        <w:rPr>
          <w:rFonts w:ascii="Times New Roman" w:hAnsi="Times New Roman" w:cs="Times New Roman"/>
          <w:sz w:val="28"/>
          <w:szCs w:val="28"/>
        </w:rPr>
        <w:t>бумажн</w:t>
      </w:r>
      <w:r w:rsidR="006A7A85" w:rsidRPr="00E47AA9">
        <w:rPr>
          <w:rFonts w:ascii="Times New Roman" w:hAnsi="Times New Roman" w:cs="Times New Roman"/>
          <w:sz w:val="28"/>
          <w:szCs w:val="28"/>
        </w:rPr>
        <w:t>ой</w:t>
      </w:r>
      <w:r w:rsidRPr="00E47AA9">
        <w:rPr>
          <w:rFonts w:ascii="Times New Roman" w:hAnsi="Times New Roman" w:cs="Times New Roman"/>
          <w:sz w:val="28"/>
          <w:szCs w:val="28"/>
        </w:rPr>
        <w:t xml:space="preserve"> форм</w:t>
      </w:r>
      <w:r w:rsidR="006A7A85" w:rsidRPr="00E47AA9">
        <w:rPr>
          <w:rFonts w:ascii="Times New Roman" w:hAnsi="Times New Roman" w:cs="Times New Roman"/>
          <w:sz w:val="28"/>
          <w:szCs w:val="28"/>
        </w:rPr>
        <w:t>е</w:t>
      </w:r>
      <w:r w:rsidRPr="00E47AA9">
        <w:rPr>
          <w:rFonts w:ascii="Times New Roman" w:hAnsi="Times New Roman" w:cs="Times New Roman"/>
          <w:sz w:val="28"/>
          <w:szCs w:val="28"/>
        </w:rPr>
        <w:t xml:space="preserve"> </w:t>
      </w:r>
      <w:r w:rsidR="006A7A85" w:rsidRPr="00E47AA9">
        <w:rPr>
          <w:rFonts w:ascii="Times New Roman" w:hAnsi="Times New Roman" w:cs="Times New Roman"/>
          <w:sz w:val="28"/>
          <w:szCs w:val="28"/>
        </w:rPr>
        <w:t>–</w:t>
      </w:r>
      <w:r w:rsidRPr="00E47AA9">
        <w:rPr>
          <w:rFonts w:ascii="Times New Roman" w:hAnsi="Times New Roman" w:cs="Times New Roman"/>
          <w:sz w:val="28"/>
          <w:szCs w:val="28"/>
        </w:rPr>
        <w:t xml:space="preserve"> 99 %, телефонная </w:t>
      </w:r>
      <w:r w:rsidR="00EE5DEE" w:rsidRPr="00E47AA9">
        <w:rPr>
          <w:rFonts w:ascii="Times New Roman" w:hAnsi="Times New Roman" w:cs="Times New Roman"/>
          <w:sz w:val="28"/>
          <w:szCs w:val="28"/>
        </w:rPr>
        <w:t>связь</w:t>
      </w:r>
      <w:r w:rsidRPr="00E47AA9">
        <w:rPr>
          <w:rFonts w:ascii="Times New Roman" w:hAnsi="Times New Roman" w:cs="Times New Roman"/>
          <w:sz w:val="28"/>
          <w:szCs w:val="28"/>
        </w:rPr>
        <w:t xml:space="preserve"> – 96,1 %. Оказано услуг: </w:t>
      </w:r>
      <w:r w:rsidR="006A7A85" w:rsidRPr="00E47AA9">
        <w:rPr>
          <w:rFonts w:ascii="Times New Roman" w:hAnsi="Times New Roman" w:cs="Times New Roman"/>
          <w:sz w:val="28"/>
          <w:szCs w:val="28"/>
        </w:rPr>
        <w:t xml:space="preserve">в </w:t>
      </w:r>
      <w:r w:rsidRPr="00E47AA9">
        <w:rPr>
          <w:rFonts w:ascii="Times New Roman" w:hAnsi="Times New Roman" w:cs="Times New Roman"/>
          <w:sz w:val="28"/>
          <w:szCs w:val="28"/>
        </w:rPr>
        <w:t>бумажн</w:t>
      </w:r>
      <w:r w:rsidR="006A7A85" w:rsidRPr="00E47AA9">
        <w:rPr>
          <w:rFonts w:ascii="Times New Roman" w:hAnsi="Times New Roman" w:cs="Times New Roman"/>
          <w:sz w:val="28"/>
          <w:szCs w:val="28"/>
        </w:rPr>
        <w:t>ой</w:t>
      </w:r>
      <w:r w:rsidRPr="00E47AA9">
        <w:rPr>
          <w:rFonts w:ascii="Times New Roman" w:hAnsi="Times New Roman" w:cs="Times New Roman"/>
          <w:sz w:val="28"/>
          <w:szCs w:val="28"/>
        </w:rPr>
        <w:t xml:space="preserve"> форм</w:t>
      </w:r>
      <w:r w:rsidR="006A7A85" w:rsidRPr="00E47AA9">
        <w:rPr>
          <w:rFonts w:ascii="Times New Roman" w:hAnsi="Times New Roman" w:cs="Times New Roman"/>
          <w:sz w:val="28"/>
          <w:szCs w:val="28"/>
        </w:rPr>
        <w:t>е</w:t>
      </w:r>
      <w:r w:rsidRPr="00E47AA9">
        <w:rPr>
          <w:rFonts w:ascii="Times New Roman" w:hAnsi="Times New Roman" w:cs="Times New Roman"/>
          <w:sz w:val="28"/>
          <w:szCs w:val="28"/>
        </w:rPr>
        <w:t xml:space="preserve"> – 1267957 шт.,</w:t>
      </w:r>
      <w:r w:rsidR="000A6C99" w:rsidRPr="00E47AA9">
        <w:rPr>
          <w:rFonts w:ascii="Times New Roman" w:hAnsi="Times New Roman" w:cs="Times New Roman"/>
          <w:sz w:val="28"/>
          <w:szCs w:val="28"/>
        </w:rPr>
        <w:t xml:space="preserve"> </w:t>
      </w:r>
      <w:r w:rsidR="001D743B" w:rsidRPr="00E47AA9">
        <w:rPr>
          <w:rFonts w:ascii="Times New Roman" w:hAnsi="Times New Roman" w:cs="Times New Roman"/>
          <w:sz w:val="28"/>
          <w:szCs w:val="28"/>
        </w:rPr>
        <w:t xml:space="preserve">телефонная </w:t>
      </w:r>
      <w:r w:rsidR="00EE5DEE" w:rsidRPr="00E47AA9">
        <w:rPr>
          <w:rFonts w:ascii="Times New Roman" w:hAnsi="Times New Roman" w:cs="Times New Roman"/>
          <w:sz w:val="28"/>
          <w:szCs w:val="28"/>
        </w:rPr>
        <w:t xml:space="preserve">связь </w:t>
      </w:r>
      <w:r w:rsidR="001D743B" w:rsidRPr="00E47AA9">
        <w:rPr>
          <w:rFonts w:ascii="Times New Roman" w:hAnsi="Times New Roman" w:cs="Times New Roman"/>
          <w:sz w:val="28"/>
          <w:szCs w:val="28"/>
        </w:rPr>
        <w:t>– 2</w:t>
      </w:r>
      <w:r w:rsidRPr="00E47AA9">
        <w:rPr>
          <w:rFonts w:ascii="Times New Roman" w:hAnsi="Times New Roman" w:cs="Times New Roman"/>
          <w:sz w:val="28"/>
          <w:szCs w:val="28"/>
        </w:rPr>
        <w:t>487542 шт., что составило 104,5 % и 104,8 % соответственно от утвержденного на 2024 год значения. Процент выполнения плановых показателей объема государственной услуги достиг значения 100 %;</w:t>
      </w:r>
    </w:p>
    <w:p w14:paraId="16EEEFE2" w14:textId="77777777" w:rsidR="00BE0C6A" w:rsidRPr="00E47AA9" w:rsidRDefault="00BE0C6A" w:rsidP="00BE0C6A">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КГАУ "МФЦ Приморского края" на иные цели, не связанные </w:t>
      </w:r>
      <w:r w:rsidRPr="00E47AA9">
        <w:rPr>
          <w:rFonts w:ascii="Times New Roman" w:eastAsia="Times New Roman" w:hAnsi="Times New Roman" w:cs="Times New Roman"/>
          <w:sz w:val="28"/>
          <w:szCs w:val="28"/>
          <w:lang w:eastAsia="ru-RU"/>
        </w:rPr>
        <w:br/>
        <w:t>с финансовым обеспечением выполнения государственного задания, – 14,65 млн рублей, из них</w:t>
      </w:r>
      <w:r w:rsidRPr="00E47AA9">
        <w:rPr>
          <w:rFonts w:ascii="Times New Roman" w:eastAsia="Times New Roman" w:hAnsi="Times New Roman" w:cs="Arial"/>
          <w:sz w:val="24"/>
          <w:szCs w:val="24"/>
          <w:lang w:eastAsia="ru-RU"/>
        </w:rPr>
        <w:t xml:space="preserve"> </w:t>
      </w:r>
      <w:r w:rsidRPr="00E47AA9">
        <w:rPr>
          <w:rFonts w:ascii="Times New Roman" w:eastAsia="Times New Roman" w:hAnsi="Times New Roman" w:cs="Arial"/>
          <w:sz w:val="28"/>
          <w:szCs w:val="28"/>
          <w:lang w:eastAsia="ru-RU"/>
        </w:rPr>
        <w:t xml:space="preserve">за 2024 год приобретены основные средства с целью оснащения сети МФЦ на сумму 14,30 млн рублей. </w:t>
      </w:r>
    </w:p>
    <w:p w14:paraId="67757030" w14:textId="77777777" w:rsidR="00BE0C6A" w:rsidRPr="00E47AA9" w:rsidRDefault="00BE0C6A" w:rsidP="00BE0C6A">
      <w:pPr>
        <w:widowControl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bCs/>
          <w:sz w:val="28"/>
          <w:szCs w:val="28"/>
        </w:rPr>
        <w:t xml:space="preserve">На реализацию </w:t>
      </w:r>
      <w:r w:rsidRPr="00E47AA9">
        <w:rPr>
          <w:rFonts w:ascii="Times New Roman" w:eastAsia="Calibri" w:hAnsi="Times New Roman" w:cs="Times New Roman"/>
          <w:bCs/>
          <w:i/>
          <w:sz w:val="28"/>
          <w:szCs w:val="28"/>
        </w:rPr>
        <w:t xml:space="preserve">КПМ "Обеспечение и развитие единого информационного пространства предоставления услуг социальной сферы Приморского края" </w:t>
      </w:r>
      <w:r w:rsidRPr="00E47AA9">
        <w:rPr>
          <w:rFonts w:ascii="Times New Roman" w:eastAsia="Calibri" w:hAnsi="Times New Roman" w:cs="Times New Roman"/>
          <w:sz w:val="28"/>
          <w:szCs w:val="28"/>
        </w:rPr>
        <w:t>направлено 47,45 млн рублей, в том числе:</w:t>
      </w:r>
    </w:p>
    <w:p w14:paraId="1F5DDF65" w14:textId="0E07BD16" w:rsidR="00BE0C6A" w:rsidRPr="00E47AA9" w:rsidRDefault="00BE0C6A" w:rsidP="00BE0C6A">
      <w:pPr>
        <w:widowControl w:val="0"/>
        <w:spacing w:after="0" w:line="240" w:lineRule="auto"/>
        <w:ind w:firstLine="709"/>
        <w:jc w:val="both"/>
        <w:rPr>
          <w:rFonts w:ascii="Times New Roman" w:eastAsia="Calibri" w:hAnsi="Times New Roman" w:cs="Times New Roman"/>
          <w:sz w:val="28"/>
          <w:szCs w:val="28"/>
          <w:u w:val="single"/>
        </w:rPr>
      </w:pPr>
      <w:r w:rsidRPr="00E47AA9">
        <w:rPr>
          <w:rFonts w:ascii="Times New Roman" w:eastAsia="Calibri" w:hAnsi="Times New Roman" w:cs="Times New Roman"/>
          <w:sz w:val="28"/>
          <w:szCs w:val="28"/>
          <w:u w:val="single"/>
        </w:rPr>
        <w:t>министерством труда и социальной политики Приморского края</w:t>
      </w:r>
      <w:r w:rsidRPr="00E47AA9">
        <w:rPr>
          <w:rFonts w:ascii="Times New Roman" w:eastAsia="Calibri" w:hAnsi="Times New Roman" w:cs="Times New Roman"/>
          <w:sz w:val="28"/>
          <w:szCs w:val="28"/>
        </w:rPr>
        <w:t xml:space="preserve"> </w:t>
      </w:r>
      <w:r w:rsidR="006A7A85"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39,70 млн рублей на реализацию социального информационного общества;</w:t>
      </w:r>
    </w:p>
    <w:p w14:paraId="6F4FE621" w14:textId="1086D130" w:rsidR="00BE0C6A" w:rsidRPr="00E47AA9" w:rsidRDefault="00BE0C6A" w:rsidP="00BE0C6A">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u w:val="single"/>
        </w:rPr>
        <w:t>министерством профессионального образования и занятости населения Приморского края</w:t>
      </w:r>
      <w:r w:rsidRPr="00E47AA9">
        <w:rPr>
          <w:rFonts w:ascii="Times New Roman" w:eastAsia="Calibri" w:hAnsi="Times New Roman" w:cs="Times New Roman"/>
          <w:sz w:val="28"/>
          <w:szCs w:val="28"/>
        </w:rPr>
        <w:t xml:space="preserve"> </w:t>
      </w:r>
      <w:r w:rsidR="006A7A85"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7,75 млн рублей на закупки для КГКУ "Приморский центр занятости населения".</w:t>
      </w:r>
    </w:p>
    <w:p w14:paraId="673C61EB" w14:textId="77777777" w:rsidR="00BE0C6A" w:rsidRPr="00E47AA9" w:rsidRDefault="00BE0C6A" w:rsidP="00BE0C6A">
      <w:pPr>
        <w:spacing w:after="0" w:line="240" w:lineRule="auto"/>
        <w:ind w:firstLine="709"/>
        <w:jc w:val="both"/>
        <w:rPr>
          <w:rFonts w:ascii="Times New Roman" w:eastAsia="Calibri" w:hAnsi="Times New Roman" w:cs="Times New Roman"/>
          <w:b/>
          <w:sz w:val="28"/>
          <w:szCs w:val="28"/>
        </w:rPr>
      </w:pPr>
      <w:r w:rsidRPr="00E47AA9">
        <w:rPr>
          <w:rFonts w:ascii="Times New Roman" w:eastAsia="Calibri" w:hAnsi="Times New Roman" w:cs="Times New Roman"/>
          <w:b/>
          <w:sz w:val="28"/>
          <w:szCs w:val="28"/>
        </w:rPr>
        <w:t xml:space="preserve">Подпрограмма "Информационная среда" </w:t>
      </w:r>
    </w:p>
    <w:p w14:paraId="12855DCC" w14:textId="77777777" w:rsidR="00BE0C6A" w:rsidRPr="00E47AA9" w:rsidRDefault="00BE0C6A" w:rsidP="00BE0C6A">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В рамках подпрограммы реализацию мероприятий осуществляет </w:t>
      </w:r>
      <w:r w:rsidRPr="00E47AA9">
        <w:rPr>
          <w:rFonts w:ascii="Times New Roman" w:eastAsia="Calibri" w:hAnsi="Times New Roman" w:cs="Times New Roman"/>
          <w:sz w:val="28"/>
          <w:szCs w:val="28"/>
          <w:u w:val="single"/>
        </w:rPr>
        <w:t>департамент информационной политики Приморского края</w:t>
      </w:r>
      <w:r w:rsidRPr="00E47AA9">
        <w:rPr>
          <w:rFonts w:ascii="Times New Roman" w:eastAsia="Calibri" w:hAnsi="Times New Roman" w:cs="Times New Roman"/>
          <w:sz w:val="28"/>
          <w:szCs w:val="28"/>
        </w:rPr>
        <w:t xml:space="preserve">, в том числе по: </w:t>
      </w:r>
    </w:p>
    <w:p w14:paraId="216C2464" w14:textId="77777777" w:rsidR="00BE0C6A" w:rsidRPr="00E47AA9" w:rsidRDefault="00BE0C6A" w:rsidP="00BE0C6A">
      <w:pPr>
        <w:widowControl w:val="0"/>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i/>
          <w:sz w:val="28"/>
          <w:szCs w:val="28"/>
        </w:rPr>
        <w:t>КПМ</w:t>
      </w:r>
      <w:r w:rsidRPr="00E47AA9">
        <w:rPr>
          <w:rFonts w:ascii="Times New Roman" w:eastAsia="Times New Roman" w:hAnsi="Times New Roman" w:cs="Times New Roman"/>
          <w:b/>
          <w:i/>
          <w:sz w:val="28"/>
          <w:szCs w:val="28"/>
        </w:rPr>
        <w:t xml:space="preserve"> </w:t>
      </w:r>
      <w:r w:rsidRPr="00E47AA9">
        <w:rPr>
          <w:rFonts w:ascii="Times New Roman" w:eastAsia="Times New Roman" w:hAnsi="Times New Roman" w:cs="Times New Roman"/>
          <w:i/>
          <w:sz w:val="28"/>
          <w:szCs w:val="28"/>
        </w:rPr>
        <w:t xml:space="preserve">"Информирование населения Приморского края" </w:t>
      </w:r>
      <w:r w:rsidRPr="00E47AA9">
        <w:rPr>
          <w:rFonts w:ascii="Times New Roman" w:eastAsia="Times New Roman" w:hAnsi="Times New Roman" w:cs="Times New Roman"/>
          <w:sz w:val="28"/>
          <w:szCs w:val="28"/>
        </w:rPr>
        <w:t>реализован в полном объеме плановых назначений 46,62 млн рублей, включая:</w:t>
      </w:r>
    </w:p>
    <w:p w14:paraId="4CBCDC88" w14:textId="77777777" w:rsidR="00BE0C6A" w:rsidRPr="00E47AA9" w:rsidRDefault="00BE0C6A" w:rsidP="00BE0C6A">
      <w:pPr>
        <w:widowControl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6,57 млн рублей на размещение социальной рекламы на объектах наружной рекламы, расположенных на территории Приморского края. Изготовлено и размещено 70 информационных материалов о реализации государственных программ Приморского края, социально значимых проектов и мероприятий на медиа-фасадах общим объемом 2160000 секунд;</w:t>
      </w:r>
    </w:p>
    <w:p w14:paraId="04651CD6" w14:textId="1A8985A2" w:rsidR="00BE0C6A" w:rsidRPr="00E47AA9" w:rsidRDefault="00BE0C6A" w:rsidP="00BE0C6A">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40,05 млн рублей на информирование населения о реализации государственных программ Приморского края в средствах массовой информации (печатных и электронных). В эфире телевизионных </w:t>
      </w:r>
      <w:r w:rsidRPr="00E47AA9">
        <w:rPr>
          <w:rFonts w:ascii="Times New Roman" w:eastAsia="Calibri" w:hAnsi="Times New Roman" w:cs="Times New Roman"/>
          <w:sz w:val="28"/>
          <w:szCs w:val="28"/>
        </w:rPr>
        <w:br/>
        <w:t xml:space="preserve">и радиоканалов каналов, в сети Интернет Приморского края размещено: телевизионных сюжетов общим объемом 1240 мин., информационных материалов общим объемом 537 шт. в сети Интернет, </w:t>
      </w:r>
      <w:proofErr w:type="spellStart"/>
      <w:r w:rsidRPr="00E47AA9">
        <w:rPr>
          <w:rFonts w:ascii="Times New Roman" w:eastAsia="Calibri" w:hAnsi="Times New Roman" w:cs="Times New Roman"/>
          <w:sz w:val="28"/>
          <w:szCs w:val="28"/>
        </w:rPr>
        <w:t>аудиороликов</w:t>
      </w:r>
      <w:proofErr w:type="spellEnd"/>
      <w:r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br/>
        <w:t>на радиоканалах Приморского края общим объемом 5630 выходов</w:t>
      </w:r>
      <w:r w:rsidR="00AE5E71"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lastRenderedPageBreak/>
        <w:t xml:space="preserve">изготовлению информационных материалов с последующим размещением </w:t>
      </w:r>
      <w:r w:rsidRPr="00E47AA9">
        <w:rPr>
          <w:rFonts w:ascii="Times New Roman" w:eastAsia="Calibri" w:hAnsi="Times New Roman" w:cs="Times New Roman"/>
          <w:sz w:val="28"/>
          <w:szCs w:val="28"/>
        </w:rPr>
        <w:br/>
        <w:t>в периодических печатных изданиях общим объемом 295 500 кв. см;</w:t>
      </w:r>
    </w:p>
    <w:p w14:paraId="360FDF89" w14:textId="77777777" w:rsidR="00BE0C6A" w:rsidRPr="00E47AA9" w:rsidRDefault="00BE0C6A" w:rsidP="00BE0C6A">
      <w:pPr>
        <w:widowControl w:val="0"/>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i/>
          <w:sz w:val="28"/>
          <w:szCs w:val="28"/>
        </w:rPr>
        <w:t>КПМ</w:t>
      </w:r>
      <w:r w:rsidRPr="00E47AA9">
        <w:rPr>
          <w:rFonts w:ascii="Times New Roman" w:eastAsia="Times New Roman" w:hAnsi="Times New Roman" w:cs="Times New Roman"/>
          <w:b/>
          <w:i/>
          <w:sz w:val="28"/>
          <w:szCs w:val="28"/>
        </w:rPr>
        <w:t xml:space="preserve"> </w:t>
      </w:r>
      <w:r w:rsidRPr="00E47AA9">
        <w:rPr>
          <w:rFonts w:ascii="Times New Roman" w:eastAsia="Times New Roman" w:hAnsi="Times New Roman" w:cs="Times New Roman"/>
          <w:i/>
          <w:sz w:val="28"/>
          <w:szCs w:val="28"/>
        </w:rPr>
        <w:t>"Обеспечение доступа граждан к информации о реализации государственных программ Приморского края, о социально значимых мероприятиях, о мероприятиях, направленных на достижение общественно полезных целей, а также на обеспечение интересов государства"</w:t>
      </w:r>
      <w:r w:rsidRPr="00E47AA9">
        <w:rPr>
          <w:rFonts w:ascii="Times New Roman" w:eastAsia="Times New Roman" w:hAnsi="Times New Roman" w:cs="Times New Roman"/>
          <w:sz w:val="28"/>
          <w:szCs w:val="28"/>
        </w:rPr>
        <w:t xml:space="preserve"> –</w:t>
      </w:r>
      <w:r w:rsidRPr="00E47AA9">
        <w:rPr>
          <w:rFonts w:ascii="Times New Roman" w:eastAsia="Calibri" w:hAnsi="Times New Roman" w:cs="Times New Roman"/>
          <w:sz w:val="28"/>
          <w:szCs w:val="28"/>
        </w:rPr>
        <w:t>446,12 млн рублей (99,89 % от предусмотренных 446,57 млн рублей)</w:t>
      </w:r>
      <w:r w:rsidRPr="00E47AA9">
        <w:rPr>
          <w:rFonts w:ascii="Times New Roman" w:eastAsia="Times New Roman" w:hAnsi="Times New Roman" w:cs="Times New Roman"/>
          <w:sz w:val="28"/>
          <w:szCs w:val="28"/>
        </w:rPr>
        <w:t>, из них:</w:t>
      </w:r>
    </w:p>
    <w:p w14:paraId="19FF618A" w14:textId="641782FC" w:rsidR="00BE0C6A" w:rsidRPr="00E47AA9" w:rsidRDefault="00BE0C6A" w:rsidP="00BE0C6A">
      <w:pPr>
        <w:widowControl w:val="0"/>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296,01 млн рублей КГБУ "Общественное телевидение Приморья" на обеспечение интересов государства, публикацию нормативн</w:t>
      </w:r>
      <w:r w:rsidR="004E2225" w:rsidRPr="00E47AA9">
        <w:rPr>
          <w:rFonts w:ascii="Times New Roman" w:eastAsia="Times New Roman" w:hAnsi="Times New Roman" w:cs="Times New Roman"/>
          <w:sz w:val="28"/>
          <w:szCs w:val="28"/>
        </w:rPr>
        <w:t xml:space="preserve">ых </w:t>
      </w:r>
      <w:r w:rsidRPr="00E47AA9">
        <w:rPr>
          <w:rFonts w:ascii="Times New Roman" w:eastAsia="Times New Roman" w:hAnsi="Times New Roman" w:cs="Times New Roman"/>
          <w:sz w:val="28"/>
          <w:szCs w:val="28"/>
        </w:rPr>
        <w:t xml:space="preserve">правовых актов. Обеспечена доступность информации о реализации государственных программ Приморского края, социально значимых проектов и мероприятий </w:t>
      </w:r>
      <w:r w:rsidRPr="00E47AA9">
        <w:rPr>
          <w:rFonts w:ascii="Times New Roman" w:eastAsia="Times New Roman" w:hAnsi="Times New Roman" w:cs="Times New Roman"/>
          <w:sz w:val="28"/>
          <w:szCs w:val="28"/>
        </w:rPr>
        <w:br/>
        <w:t xml:space="preserve">в </w:t>
      </w:r>
      <w:r w:rsidR="004E2225" w:rsidRPr="00E47AA9">
        <w:rPr>
          <w:rFonts w:ascii="Times New Roman" w:eastAsia="Times New Roman" w:hAnsi="Times New Roman" w:cs="Times New Roman"/>
          <w:sz w:val="28"/>
          <w:szCs w:val="28"/>
        </w:rPr>
        <w:t>П</w:t>
      </w:r>
      <w:r w:rsidRPr="00E47AA9">
        <w:rPr>
          <w:rFonts w:ascii="Times New Roman" w:eastAsia="Times New Roman" w:hAnsi="Times New Roman" w:cs="Times New Roman"/>
          <w:sz w:val="28"/>
          <w:szCs w:val="28"/>
        </w:rPr>
        <w:t>риморском крае для жителей, предоставление жителям оперативной и всесторонней информации; популяризация государственных и муниципальных услуг, опубликование официальной информации органов государственной власти Приморского края, законов и иных правовых актов Приморского края. Размещены информационные материалы: в эфире телеканала "ОТВ-Прим" 512 часов, в сети Интернет (сайт otvprim.ru) 1755 шт.;</w:t>
      </w:r>
    </w:p>
    <w:p w14:paraId="754DABA5" w14:textId="77777777" w:rsidR="00BE0C6A" w:rsidRPr="00E47AA9" w:rsidRDefault="00BE0C6A" w:rsidP="00BE0C6A">
      <w:pPr>
        <w:widowControl w:val="0"/>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122,60 млн рублей на выполнение функций КГКУ Приморского края "Приморский краевой центр производства социально значимой информации" по обеспечению доступа граждан к информации о реализации государственных программ Приморского края, проведении социально значимых мероприятий, распространению информации в средствах массовой информации, информационно-телекоммуникационной сети Интернет, иных носителях информации. В сети Интернет размещены 16199 информационных материалов;</w:t>
      </w:r>
    </w:p>
    <w:p w14:paraId="3FBEC1D7" w14:textId="77777777" w:rsidR="00BE0C6A" w:rsidRPr="00E47AA9" w:rsidRDefault="00BE0C6A" w:rsidP="00BE0C6A">
      <w:pPr>
        <w:widowControl w:val="0"/>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i/>
          <w:sz w:val="28"/>
          <w:szCs w:val="28"/>
        </w:rPr>
        <w:t xml:space="preserve">КПМ "Реализация государственной информационной политики в Приморском крае" – </w:t>
      </w:r>
      <w:r w:rsidRPr="00E47AA9">
        <w:rPr>
          <w:rFonts w:ascii="Times New Roman" w:eastAsia="Times New Roman" w:hAnsi="Times New Roman" w:cs="Times New Roman"/>
          <w:sz w:val="28"/>
          <w:szCs w:val="28"/>
        </w:rPr>
        <w:t>62,59 млн рублей на содержание аппарата управления департамента информационной политики Приморского края.</w:t>
      </w:r>
    </w:p>
    <w:p w14:paraId="141F3A56" w14:textId="77777777" w:rsidR="000711E6" w:rsidRPr="00E47AA9" w:rsidRDefault="000711E6" w:rsidP="000711E6">
      <w:pPr>
        <w:spacing w:after="0" w:line="240" w:lineRule="auto"/>
        <w:jc w:val="center"/>
        <w:rPr>
          <w:rFonts w:ascii="Times New Roman" w:eastAsia="Times New Roman" w:hAnsi="Times New Roman" w:cs="Times New Roman"/>
          <w:sz w:val="28"/>
          <w:szCs w:val="28"/>
        </w:rPr>
      </w:pPr>
    </w:p>
    <w:p w14:paraId="0D0DB7EF" w14:textId="77777777" w:rsidR="000711E6" w:rsidRPr="00E47AA9" w:rsidRDefault="000711E6" w:rsidP="000711E6">
      <w:pPr>
        <w:spacing w:after="0" w:line="240" w:lineRule="auto"/>
        <w:jc w:val="center"/>
        <w:rPr>
          <w:rFonts w:ascii="Times New Roman" w:eastAsia="Times New Roman" w:hAnsi="Times New Roman" w:cs="Times New Roman"/>
          <w:b/>
          <w:sz w:val="28"/>
          <w:szCs w:val="28"/>
        </w:rPr>
      </w:pPr>
      <w:r w:rsidRPr="00E47AA9">
        <w:rPr>
          <w:rFonts w:ascii="Times New Roman" w:eastAsia="Times New Roman" w:hAnsi="Times New Roman" w:cs="Times New Roman"/>
          <w:noProof/>
          <w:sz w:val="20"/>
          <w:szCs w:val="20"/>
          <w:lang w:eastAsia="ru-RU"/>
        </w:rPr>
        <w:drawing>
          <wp:anchor distT="0" distB="0" distL="114300" distR="114300" simplePos="0" relativeHeight="251679744" behindDoc="0" locked="0" layoutInCell="1" allowOverlap="1" wp14:anchorId="32B90E96" wp14:editId="00716E75">
            <wp:simplePos x="0" y="0"/>
            <wp:positionH relativeFrom="column">
              <wp:posOffset>-23042</wp:posOffset>
            </wp:positionH>
            <wp:positionV relativeFrom="paragraph">
              <wp:posOffset>42092</wp:posOffset>
            </wp:positionV>
            <wp:extent cx="1376680" cy="1032510"/>
            <wp:effectExtent l="0" t="0" r="0" b="0"/>
            <wp:wrapSquare wrapText="bothSides"/>
            <wp:docPr id="48" name="Рисунок 48" descr="C:\Users\zavzyataya_sv\Desktop\Картинки к исполнению\1391848247_4rmwpiq5ukdit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zavzyataya_sv\Desktop\Картинки к исполнению\1391848247_4rmwpiq5ukditaz.jp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b="12387"/>
                    <a:stretch/>
                  </pic:blipFill>
                  <pic:spPr bwMode="auto">
                    <a:xfrm>
                      <a:off x="0" y="0"/>
                      <a:ext cx="1376680" cy="10325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47AA9">
        <w:rPr>
          <w:rFonts w:ascii="Times New Roman" w:eastAsia="Times New Roman" w:hAnsi="Times New Roman" w:cs="Times New Roman"/>
          <w:b/>
          <w:sz w:val="28"/>
          <w:szCs w:val="28"/>
        </w:rPr>
        <w:t xml:space="preserve">5.2.12. Государственная программа Приморского края "Развитие транспортного комплекса Приморского края" </w:t>
      </w:r>
    </w:p>
    <w:p w14:paraId="6255F243" w14:textId="77777777" w:rsidR="006E0B6C" w:rsidRPr="00E47AA9" w:rsidRDefault="006E0B6C" w:rsidP="006E0B6C">
      <w:pPr>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Уточненные бюджетные ассигнования на реализацию мероприятий ГП на 2024 год составили 26616,86 млн рублей. </w:t>
      </w:r>
    </w:p>
    <w:p w14:paraId="163BD526" w14:textId="77777777" w:rsidR="006E0B6C" w:rsidRPr="00E47AA9" w:rsidRDefault="006E0B6C" w:rsidP="006E0B6C">
      <w:pPr>
        <w:autoSpaceDE w:val="0"/>
        <w:autoSpaceDN w:val="0"/>
        <w:adjustRightInd w:val="0"/>
        <w:spacing w:after="0" w:line="240" w:lineRule="auto"/>
        <w:ind w:firstLine="708"/>
        <w:jc w:val="both"/>
        <w:rPr>
          <w:rFonts w:ascii="Times New Roman" w:eastAsia="Calibri" w:hAnsi="Times New Roman" w:cs="Times New Roman"/>
          <w:bCs/>
          <w:sz w:val="28"/>
          <w:szCs w:val="28"/>
        </w:rPr>
      </w:pPr>
      <w:r w:rsidRPr="00E47AA9">
        <w:rPr>
          <w:rFonts w:ascii="Times New Roman" w:eastAsia="Calibri" w:hAnsi="Times New Roman" w:cs="Times New Roman"/>
          <w:sz w:val="28"/>
          <w:szCs w:val="28"/>
        </w:rPr>
        <w:t>Согласно паспорту ГП ответственным исполнителем является министерство транспорта и дорожного хозяйства Приморского края (без соисполнителей).</w:t>
      </w:r>
    </w:p>
    <w:p w14:paraId="106CE05C" w14:textId="25B83B80" w:rsidR="006E0B6C" w:rsidRPr="00E47AA9" w:rsidRDefault="006E0B6C" w:rsidP="006E0B6C">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Исполнение расходов за 2024 год составило 24431,90 млн рублей, или 91,79 % от суммы уточненных бюджетных ассигнований, в том числе за счет средств федерального бюджета – 2260,06 млн рублей в полном объеме, краевого бюджета – 22171,84 млн рублей, или 91,03 % (24356,80 млн рублей). </w:t>
      </w:r>
    </w:p>
    <w:p w14:paraId="3BE7DCD3" w14:textId="0DA8EE32" w:rsidR="006E0B6C" w:rsidRPr="00E47AA9" w:rsidRDefault="006E0B6C" w:rsidP="006E0B6C">
      <w:pPr>
        <w:spacing w:after="0" w:line="240" w:lineRule="auto"/>
        <w:ind w:firstLine="709"/>
        <w:jc w:val="both"/>
        <w:rPr>
          <w:rFonts w:ascii="Times New Roman" w:eastAsia="Times New Roman" w:hAnsi="Times New Roman" w:cs="Times New Roman"/>
          <w:sz w:val="28"/>
          <w:szCs w:val="28"/>
        </w:rPr>
      </w:pPr>
      <w:r w:rsidRPr="00E47AA9">
        <w:rPr>
          <w:rFonts w:ascii="Times New Roman" w:eastAsia="Calibri" w:hAnsi="Times New Roman" w:cs="Times New Roman"/>
          <w:sz w:val="28"/>
          <w:szCs w:val="28"/>
        </w:rPr>
        <w:t>В 2024 году все программные р</w:t>
      </w:r>
      <w:r w:rsidRPr="00E47AA9">
        <w:rPr>
          <w:rFonts w:ascii="Times New Roman" w:eastAsia="Times New Roman" w:hAnsi="Times New Roman" w:cs="Times New Roman"/>
          <w:sz w:val="28"/>
          <w:szCs w:val="28"/>
        </w:rPr>
        <w:t xml:space="preserve">асходы осуществлялись министерством транспорта и дорожного хозяйства Приморского края. </w:t>
      </w:r>
    </w:p>
    <w:p w14:paraId="490F555B" w14:textId="77777777" w:rsidR="006E0B6C" w:rsidRPr="00E47AA9" w:rsidRDefault="006E0B6C" w:rsidP="006E0B6C">
      <w:pPr>
        <w:spacing w:after="0" w:line="240" w:lineRule="auto"/>
        <w:ind w:firstLine="709"/>
        <w:jc w:val="both"/>
        <w:outlineLvl w:val="4"/>
        <w:rPr>
          <w:rFonts w:ascii="Times New Roman" w:eastAsia="Calibri" w:hAnsi="Times New Roman" w:cs="Times New Roman"/>
          <w:sz w:val="28"/>
          <w:szCs w:val="28"/>
        </w:rPr>
      </w:pPr>
      <w:r w:rsidRPr="00E47AA9">
        <w:rPr>
          <w:rFonts w:ascii="Times New Roman" w:eastAsia="Calibri" w:hAnsi="Times New Roman" w:cs="Times New Roman"/>
          <w:sz w:val="28"/>
          <w:szCs w:val="28"/>
        </w:rPr>
        <w:lastRenderedPageBreak/>
        <w:t xml:space="preserve">Структура ГП на 2024 год сформирована в разрезе следующих элементов. </w:t>
      </w:r>
    </w:p>
    <w:tbl>
      <w:tblPr>
        <w:tblW w:w="9356" w:type="dxa"/>
        <w:tblLook w:val="04A0" w:firstRow="1" w:lastRow="0" w:firstColumn="1" w:lastColumn="0" w:noHBand="0" w:noVBand="1"/>
      </w:tblPr>
      <w:tblGrid>
        <w:gridCol w:w="2552"/>
        <w:gridCol w:w="1417"/>
        <w:gridCol w:w="1560"/>
        <w:gridCol w:w="1417"/>
        <w:gridCol w:w="1134"/>
        <w:gridCol w:w="1276"/>
      </w:tblGrid>
      <w:tr w:rsidR="00E47AA9" w:rsidRPr="00E47AA9" w14:paraId="40A63350" w14:textId="77777777" w:rsidTr="00B70BF3">
        <w:trPr>
          <w:trHeight w:val="20"/>
          <w:tblHeader/>
        </w:trPr>
        <w:tc>
          <w:tcPr>
            <w:tcW w:w="2552" w:type="dxa"/>
            <w:tcBorders>
              <w:top w:val="nil"/>
              <w:left w:val="nil"/>
              <w:bottom w:val="nil"/>
              <w:right w:val="nil"/>
            </w:tcBorders>
            <w:shd w:val="clear" w:color="auto" w:fill="auto"/>
            <w:noWrap/>
            <w:vAlign w:val="bottom"/>
            <w:hideMark/>
          </w:tcPr>
          <w:p w14:paraId="6C4A6191" w14:textId="77777777" w:rsidR="006E0B6C" w:rsidRPr="00E47AA9" w:rsidRDefault="006E0B6C" w:rsidP="00B70BF3">
            <w:pPr>
              <w:spacing w:after="0" w:line="240" w:lineRule="auto"/>
              <w:rPr>
                <w:rFonts w:ascii="Calibri" w:eastAsia="Times New Roman" w:hAnsi="Calibri" w:cs="Calibri"/>
                <w:lang w:eastAsia="ru-RU"/>
              </w:rPr>
            </w:pPr>
            <w:r w:rsidRPr="00E47AA9">
              <w:rPr>
                <w:rFonts w:ascii="Calibri" w:eastAsia="Times New Roman" w:hAnsi="Calibri" w:cs="Calibri"/>
                <w:lang w:eastAsia="ru-RU"/>
              </w:rPr>
              <w:t> </w:t>
            </w:r>
          </w:p>
        </w:tc>
        <w:tc>
          <w:tcPr>
            <w:tcW w:w="1417" w:type="dxa"/>
            <w:tcBorders>
              <w:top w:val="nil"/>
              <w:left w:val="nil"/>
              <w:bottom w:val="nil"/>
              <w:right w:val="nil"/>
            </w:tcBorders>
            <w:shd w:val="clear" w:color="auto" w:fill="auto"/>
            <w:noWrap/>
            <w:vAlign w:val="bottom"/>
            <w:hideMark/>
          </w:tcPr>
          <w:p w14:paraId="7C8DEBE3" w14:textId="77777777" w:rsidR="006E0B6C" w:rsidRPr="00E47AA9" w:rsidRDefault="006E0B6C" w:rsidP="00B70BF3">
            <w:pPr>
              <w:spacing w:after="0" w:line="240" w:lineRule="auto"/>
              <w:rPr>
                <w:rFonts w:ascii="Calibri" w:eastAsia="Times New Roman" w:hAnsi="Calibri" w:cs="Calibri"/>
                <w:lang w:eastAsia="ru-RU"/>
              </w:rPr>
            </w:pPr>
            <w:r w:rsidRPr="00E47AA9">
              <w:rPr>
                <w:rFonts w:ascii="Calibri" w:eastAsia="Times New Roman" w:hAnsi="Calibri" w:cs="Calibri"/>
                <w:lang w:eastAsia="ru-RU"/>
              </w:rPr>
              <w:t> </w:t>
            </w:r>
          </w:p>
        </w:tc>
        <w:tc>
          <w:tcPr>
            <w:tcW w:w="1560" w:type="dxa"/>
            <w:tcBorders>
              <w:top w:val="nil"/>
              <w:left w:val="nil"/>
              <w:bottom w:val="nil"/>
              <w:right w:val="nil"/>
            </w:tcBorders>
            <w:shd w:val="clear" w:color="auto" w:fill="auto"/>
            <w:noWrap/>
            <w:vAlign w:val="bottom"/>
            <w:hideMark/>
          </w:tcPr>
          <w:p w14:paraId="6B9F592D" w14:textId="77777777" w:rsidR="006E0B6C" w:rsidRPr="00E47AA9" w:rsidRDefault="006E0B6C" w:rsidP="00B70BF3">
            <w:pPr>
              <w:spacing w:after="0" w:line="240" w:lineRule="auto"/>
              <w:rPr>
                <w:rFonts w:ascii="Calibri" w:eastAsia="Times New Roman" w:hAnsi="Calibri" w:cs="Calibri"/>
                <w:lang w:eastAsia="ru-RU"/>
              </w:rPr>
            </w:pPr>
            <w:r w:rsidRPr="00E47AA9">
              <w:rPr>
                <w:rFonts w:ascii="Calibri" w:eastAsia="Times New Roman" w:hAnsi="Calibri" w:cs="Calibri"/>
                <w:lang w:eastAsia="ru-RU"/>
              </w:rPr>
              <w:t> </w:t>
            </w:r>
          </w:p>
        </w:tc>
        <w:tc>
          <w:tcPr>
            <w:tcW w:w="1417" w:type="dxa"/>
            <w:tcBorders>
              <w:top w:val="nil"/>
              <w:left w:val="nil"/>
              <w:bottom w:val="nil"/>
              <w:right w:val="nil"/>
            </w:tcBorders>
            <w:shd w:val="clear" w:color="auto" w:fill="auto"/>
            <w:noWrap/>
            <w:vAlign w:val="bottom"/>
            <w:hideMark/>
          </w:tcPr>
          <w:p w14:paraId="5B2CFAF9" w14:textId="77777777" w:rsidR="006E0B6C" w:rsidRPr="00E47AA9" w:rsidRDefault="006E0B6C" w:rsidP="00B70BF3">
            <w:pPr>
              <w:spacing w:after="0" w:line="240" w:lineRule="auto"/>
              <w:rPr>
                <w:rFonts w:ascii="Calibri" w:eastAsia="Times New Roman" w:hAnsi="Calibri" w:cs="Calibri"/>
                <w:lang w:eastAsia="ru-RU"/>
              </w:rPr>
            </w:pPr>
            <w:r w:rsidRPr="00E47AA9">
              <w:rPr>
                <w:rFonts w:ascii="Calibri" w:eastAsia="Times New Roman" w:hAnsi="Calibri" w:cs="Calibri"/>
                <w:lang w:eastAsia="ru-RU"/>
              </w:rPr>
              <w:t> </w:t>
            </w:r>
          </w:p>
        </w:tc>
        <w:tc>
          <w:tcPr>
            <w:tcW w:w="2410" w:type="dxa"/>
            <w:gridSpan w:val="2"/>
            <w:tcBorders>
              <w:top w:val="nil"/>
              <w:left w:val="nil"/>
              <w:bottom w:val="nil"/>
              <w:right w:val="nil"/>
            </w:tcBorders>
            <w:shd w:val="clear" w:color="auto" w:fill="auto"/>
            <w:noWrap/>
            <w:vAlign w:val="bottom"/>
            <w:hideMark/>
          </w:tcPr>
          <w:p w14:paraId="67A50463"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034A8264" w14:textId="77777777" w:rsidTr="00B70BF3">
        <w:trPr>
          <w:trHeight w:val="20"/>
          <w:tblHeader/>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0B6CBD" w14:textId="77777777" w:rsidR="006E0B6C" w:rsidRPr="00E47AA9" w:rsidRDefault="006E0B6C" w:rsidP="00B70BF3">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ГП, типа структурного элемента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8575EFC" w14:textId="77777777" w:rsidR="006E0B6C" w:rsidRPr="00E47AA9" w:rsidRDefault="006E0B6C" w:rsidP="00B70BF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3AE3B899" w14:textId="77777777" w:rsidR="006E0B6C" w:rsidRPr="00E47AA9" w:rsidRDefault="006E0B6C" w:rsidP="00B70BF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D2D9142" w14:textId="77777777" w:rsidR="006E0B6C" w:rsidRPr="00E47AA9" w:rsidRDefault="006E0B6C" w:rsidP="00B70BF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исполнения</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2A7C59" w14:textId="2CDE15D4" w:rsidR="006E0B6C" w:rsidRPr="00E47AA9" w:rsidRDefault="00CC78F4" w:rsidP="00CC78F4">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w:t>
            </w:r>
            <w:r w:rsidR="006E0B6C" w:rsidRPr="00E47AA9">
              <w:rPr>
                <w:rFonts w:ascii="Times New Roman" w:eastAsia="Times New Roman" w:hAnsi="Times New Roman" w:cs="Times New Roman"/>
                <w:sz w:val="20"/>
                <w:szCs w:val="20"/>
                <w:lang w:eastAsia="ru-RU"/>
              </w:rPr>
              <w:t>дельный вес,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F14756" w14:textId="77777777" w:rsidR="006E0B6C" w:rsidRPr="00E47AA9" w:rsidRDefault="006E0B6C" w:rsidP="00B70BF3">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r>
      <w:tr w:rsidR="00E47AA9" w:rsidRPr="00E47AA9" w14:paraId="54171546" w14:textId="77777777" w:rsidTr="00B70BF3">
        <w:trPr>
          <w:trHeight w:val="20"/>
        </w:trPr>
        <w:tc>
          <w:tcPr>
            <w:tcW w:w="2552" w:type="dxa"/>
            <w:tcBorders>
              <w:top w:val="nil"/>
              <w:left w:val="single" w:sz="4" w:space="0" w:color="auto"/>
              <w:bottom w:val="single" w:sz="4" w:space="0" w:color="auto"/>
              <w:right w:val="single" w:sz="4" w:space="0" w:color="auto"/>
            </w:tcBorders>
            <w:shd w:val="clear" w:color="auto" w:fill="auto"/>
            <w:hideMark/>
          </w:tcPr>
          <w:p w14:paraId="5C78E921" w14:textId="77777777" w:rsidR="006E0B6C" w:rsidRPr="00E47AA9" w:rsidRDefault="006E0B6C" w:rsidP="00B70BF3">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Расходы по ГП всего,</w:t>
            </w:r>
          </w:p>
          <w:p w14:paraId="259476AD" w14:textId="5EF83D75" w:rsidR="006E0B6C" w:rsidRPr="00E47AA9" w:rsidRDefault="006E0B6C" w:rsidP="00CC78F4">
            <w:pPr>
              <w:spacing w:after="0" w:line="240" w:lineRule="auto"/>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iCs/>
                <w:sz w:val="20"/>
                <w:szCs w:val="20"/>
                <w:lang w:eastAsia="ru-RU"/>
              </w:rPr>
              <w:t>в том числе</w:t>
            </w:r>
          </w:p>
        </w:tc>
        <w:tc>
          <w:tcPr>
            <w:tcW w:w="1417" w:type="dxa"/>
            <w:tcBorders>
              <w:top w:val="nil"/>
              <w:left w:val="nil"/>
              <w:bottom w:val="single" w:sz="4" w:space="0" w:color="auto"/>
              <w:right w:val="single" w:sz="4" w:space="0" w:color="auto"/>
            </w:tcBorders>
            <w:shd w:val="clear" w:color="auto" w:fill="auto"/>
            <w:hideMark/>
          </w:tcPr>
          <w:p w14:paraId="4B99939A" w14:textId="77777777" w:rsidR="006E0B6C" w:rsidRPr="00E47AA9" w:rsidRDefault="006E0B6C" w:rsidP="00B70BF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26 616,86</w:t>
            </w:r>
          </w:p>
        </w:tc>
        <w:tc>
          <w:tcPr>
            <w:tcW w:w="1560" w:type="dxa"/>
            <w:tcBorders>
              <w:top w:val="nil"/>
              <w:left w:val="nil"/>
              <w:bottom w:val="single" w:sz="4" w:space="0" w:color="auto"/>
              <w:right w:val="single" w:sz="4" w:space="0" w:color="auto"/>
            </w:tcBorders>
            <w:shd w:val="clear" w:color="auto" w:fill="auto"/>
            <w:hideMark/>
          </w:tcPr>
          <w:p w14:paraId="5DC06318" w14:textId="77777777" w:rsidR="006E0B6C" w:rsidRPr="00E47AA9" w:rsidRDefault="006E0B6C" w:rsidP="00B70BF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24 431,90</w:t>
            </w:r>
          </w:p>
        </w:tc>
        <w:tc>
          <w:tcPr>
            <w:tcW w:w="1417" w:type="dxa"/>
            <w:tcBorders>
              <w:top w:val="nil"/>
              <w:left w:val="nil"/>
              <w:bottom w:val="single" w:sz="4" w:space="0" w:color="auto"/>
              <w:right w:val="single" w:sz="4" w:space="0" w:color="auto"/>
            </w:tcBorders>
            <w:shd w:val="clear" w:color="auto" w:fill="auto"/>
            <w:hideMark/>
          </w:tcPr>
          <w:p w14:paraId="38A67BFE" w14:textId="77777777" w:rsidR="006E0B6C" w:rsidRPr="00E47AA9" w:rsidRDefault="006E0B6C" w:rsidP="00B70BF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91,79</w:t>
            </w:r>
          </w:p>
        </w:tc>
        <w:tc>
          <w:tcPr>
            <w:tcW w:w="1134" w:type="dxa"/>
            <w:tcBorders>
              <w:top w:val="nil"/>
              <w:left w:val="nil"/>
              <w:bottom w:val="single" w:sz="4" w:space="0" w:color="auto"/>
              <w:right w:val="single" w:sz="4" w:space="0" w:color="auto"/>
            </w:tcBorders>
            <w:shd w:val="clear" w:color="auto" w:fill="auto"/>
            <w:hideMark/>
          </w:tcPr>
          <w:p w14:paraId="65EF84CE" w14:textId="77777777" w:rsidR="006E0B6C" w:rsidRPr="00E47AA9" w:rsidRDefault="006E0B6C" w:rsidP="00B70BF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c>
          <w:tcPr>
            <w:tcW w:w="1276" w:type="dxa"/>
            <w:tcBorders>
              <w:top w:val="nil"/>
              <w:left w:val="nil"/>
              <w:bottom w:val="single" w:sz="4" w:space="0" w:color="auto"/>
              <w:right w:val="single" w:sz="4" w:space="0" w:color="auto"/>
            </w:tcBorders>
            <w:shd w:val="clear" w:color="auto" w:fill="auto"/>
            <w:hideMark/>
          </w:tcPr>
          <w:p w14:paraId="30C6C241" w14:textId="77777777" w:rsidR="006E0B6C" w:rsidRPr="00E47AA9" w:rsidRDefault="006E0B6C" w:rsidP="00B70BF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2 184,96</w:t>
            </w:r>
          </w:p>
        </w:tc>
      </w:tr>
      <w:tr w:rsidR="00E47AA9" w:rsidRPr="00E47AA9" w14:paraId="7CE3AEC7" w14:textId="77777777" w:rsidTr="00B70BF3">
        <w:trPr>
          <w:trHeight w:val="20"/>
        </w:trPr>
        <w:tc>
          <w:tcPr>
            <w:tcW w:w="2552" w:type="dxa"/>
            <w:tcBorders>
              <w:top w:val="nil"/>
              <w:left w:val="single" w:sz="4" w:space="0" w:color="auto"/>
              <w:bottom w:val="single" w:sz="4" w:space="0" w:color="auto"/>
              <w:right w:val="single" w:sz="4" w:space="0" w:color="auto"/>
            </w:tcBorders>
            <w:shd w:val="clear" w:color="auto" w:fill="auto"/>
            <w:hideMark/>
          </w:tcPr>
          <w:p w14:paraId="1497FA38" w14:textId="745AA15E" w:rsidR="006E0B6C" w:rsidRPr="00E47AA9" w:rsidRDefault="006E0B6C" w:rsidP="00CC78F4">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 xml:space="preserve">проектные мероприятия, </w:t>
            </w:r>
            <w:r w:rsidRPr="00E47AA9">
              <w:rPr>
                <w:rFonts w:ascii="Times New Roman" w:eastAsia="Times New Roman" w:hAnsi="Times New Roman" w:cs="Times New Roman"/>
                <w:bCs/>
                <w:sz w:val="20"/>
                <w:szCs w:val="20"/>
                <w:lang w:eastAsia="ru-RU"/>
              </w:rPr>
              <w:t>в том числе</w:t>
            </w:r>
          </w:p>
        </w:tc>
        <w:tc>
          <w:tcPr>
            <w:tcW w:w="1417" w:type="dxa"/>
            <w:tcBorders>
              <w:top w:val="nil"/>
              <w:left w:val="nil"/>
              <w:bottom w:val="single" w:sz="4" w:space="0" w:color="auto"/>
              <w:right w:val="single" w:sz="4" w:space="0" w:color="auto"/>
            </w:tcBorders>
            <w:shd w:val="clear" w:color="auto" w:fill="auto"/>
            <w:hideMark/>
          </w:tcPr>
          <w:p w14:paraId="2566FD61" w14:textId="77777777" w:rsidR="006E0B6C" w:rsidRPr="00E47AA9" w:rsidRDefault="006E0B6C" w:rsidP="00B70BF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9 525,14</w:t>
            </w:r>
          </w:p>
        </w:tc>
        <w:tc>
          <w:tcPr>
            <w:tcW w:w="1560" w:type="dxa"/>
            <w:tcBorders>
              <w:top w:val="nil"/>
              <w:left w:val="nil"/>
              <w:bottom w:val="single" w:sz="4" w:space="0" w:color="auto"/>
              <w:right w:val="single" w:sz="4" w:space="0" w:color="auto"/>
            </w:tcBorders>
            <w:shd w:val="clear" w:color="auto" w:fill="auto"/>
            <w:hideMark/>
          </w:tcPr>
          <w:p w14:paraId="7B132D34" w14:textId="65783DAE" w:rsidR="006E0B6C" w:rsidRPr="00E47AA9" w:rsidRDefault="006E0B6C" w:rsidP="00B70BF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8 201,9</w:t>
            </w:r>
            <w:r w:rsidR="00740485" w:rsidRPr="00E47AA9">
              <w:rPr>
                <w:rFonts w:ascii="Times New Roman" w:eastAsia="Times New Roman" w:hAnsi="Times New Roman" w:cs="Times New Roman"/>
                <w:b/>
                <w:bCs/>
                <w:sz w:val="20"/>
                <w:szCs w:val="20"/>
                <w:lang w:eastAsia="ru-RU"/>
              </w:rPr>
              <w:t>0</w:t>
            </w:r>
          </w:p>
        </w:tc>
        <w:tc>
          <w:tcPr>
            <w:tcW w:w="1417" w:type="dxa"/>
            <w:tcBorders>
              <w:top w:val="nil"/>
              <w:left w:val="nil"/>
              <w:bottom w:val="single" w:sz="4" w:space="0" w:color="auto"/>
              <w:right w:val="single" w:sz="4" w:space="0" w:color="auto"/>
            </w:tcBorders>
            <w:shd w:val="clear" w:color="auto" w:fill="auto"/>
            <w:hideMark/>
          </w:tcPr>
          <w:p w14:paraId="29BA2239" w14:textId="77777777" w:rsidR="006E0B6C" w:rsidRPr="00E47AA9" w:rsidRDefault="006E0B6C" w:rsidP="00B70BF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86,11</w:t>
            </w:r>
          </w:p>
        </w:tc>
        <w:tc>
          <w:tcPr>
            <w:tcW w:w="1134" w:type="dxa"/>
            <w:tcBorders>
              <w:top w:val="nil"/>
              <w:left w:val="nil"/>
              <w:bottom w:val="single" w:sz="4" w:space="0" w:color="auto"/>
              <w:right w:val="single" w:sz="4" w:space="0" w:color="auto"/>
            </w:tcBorders>
            <w:shd w:val="clear" w:color="auto" w:fill="auto"/>
            <w:hideMark/>
          </w:tcPr>
          <w:p w14:paraId="64BFA1C6" w14:textId="77777777" w:rsidR="006E0B6C" w:rsidRPr="00E47AA9" w:rsidRDefault="006E0B6C" w:rsidP="00B70BF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33,57</w:t>
            </w:r>
          </w:p>
        </w:tc>
        <w:tc>
          <w:tcPr>
            <w:tcW w:w="1276" w:type="dxa"/>
            <w:tcBorders>
              <w:top w:val="nil"/>
              <w:left w:val="nil"/>
              <w:bottom w:val="single" w:sz="4" w:space="0" w:color="auto"/>
              <w:right w:val="single" w:sz="4" w:space="0" w:color="auto"/>
            </w:tcBorders>
            <w:shd w:val="clear" w:color="auto" w:fill="auto"/>
            <w:hideMark/>
          </w:tcPr>
          <w:p w14:paraId="26AE0432" w14:textId="77777777" w:rsidR="006E0B6C" w:rsidRPr="00E47AA9" w:rsidRDefault="006E0B6C" w:rsidP="00B70BF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1 323,24</w:t>
            </w:r>
          </w:p>
        </w:tc>
      </w:tr>
      <w:tr w:rsidR="00E47AA9" w:rsidRPr="00E47AA9" w14:paraId="3432C87B" w14:textId="77777777" w:rsidTr="00B70BF3">
        <w:trPr>
          <w:trHeight w:val="20"/>
        </w:trPr>
        <w:tc>
          <w:tcPr>
            <w:tcW w:w="2552" w:type="dxa"/>
            <w:tcBorders>
              <w:top w:val="nil"/>
              <w:left w:val="single" w:sz="4" w:space="0" w:color="auto"/>
              <w:bottom w:val="single" w:sz="4" w:space="0" w:color="auto"/>
              <w:right w:val="single" w:sz="4" w:space="0" w:color="auto"/>
            </w:tcBorders>
            <w:shd w:val="clear" w:color="auto" w:fill="auto"/>
            <w:hideMark/>
          </w:tcPr>
          <w:p w14:paraId="45B50679" w14:textId="77777777" w:rsidR="006E0B6C" w:rsidRPr="00E47AA9" w:rsidRDefault="006E0B6C" w:rsidP="00B70BF3">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входящие в состав НП</w:t>
            </w:r>
            <w:r w:rsidRPr="00E47AA9">
              <w:t xml:space="preserve"> </w:t>
            </w:r>
            <w:r w:rsidRPr="00E47AA9">
              <w:rPr>
                <w:rFonts w:ascii="Times New Roman" w:eastAsia="Times New Roman" w:hAnsi="Times New Roman" w:cs="Times New Roman"/>
                <w:i/>
                <w:iCs/>
                <w:sz w:val="20"/>
                <w:szCs w:val="20"/>
                <w:lang w:eastAsia="ru-RU"/>
              </w:rPr>
              <w:t>"Безопасные качественные дороги"</w:t>
            </w:r>
          </w:p>
        </w:tc>
        <w:tc>
          <w:tcPr>
            <w:tcW w:w="1417" w:type="dxa"/>
            <w:tcBorders>
              <w:top w:val="nil"/>
              <w:left w:val="nil"/>
              <w:bottom w:val="single" w:sz="4" w:space="0" w:color="auto"/>
              <w:right w:val="single" w:sz="4" w:space="0" w:color="auto"/>
            </w:tcBorders>
            <w:shd w:val="clear" w:color="auto" w:fill="auto"/>
            <w:hideMark/>
          </w:tcPr>
          <w:p w14:paraId="4CC6254D"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3 934,95</w:t>
            </w:r>
          </w:p>
        </w:tc>
        <w:tc>
          <w:tcPr>
            <w:tcW w:w="1560" w:type="dxa"/>
            <w:tcBorders>
              <w:top w:val="nil"/>
              <w:left w:val="nil"/>
              <w:bottom w:val="single" w:sz="4" w:space="0" w:color="auto"/>
              <w:right w:val="single" w:sz="4" w:space="0" w:color="auto"/>
            </w:tcBorders>
            <w:shd w:val="clear" w:color="auto" w:fill="auto"/>
            <w:hideMark/>
          </w:tcPr>
          <w:p w14:paraId="6891D08A"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3 520,66</w:t>
            </w:r>
          </w:p>
        </w:tc>
        <w:tc>
          <w:tcPr>
            <w:tcW w:w="1417" w:type="dxa"/>
            <w:tcBorders>
              <w:top w:val="nil"/>
              <w:left w:val="nil"/>
              <w:bottom w:val="single" w:sz="4" w:space="0" w:color="auto"/>
              <w:right w:val="single" w:sz="4" w:space="0" w:color="auto"/>
            </w:tcBorders>
            <w:shd w:val="clear" w:color="auto" w:fill="auto"/>
            <w:hideMark/>
          </w:tcPr>
          <w:p w14:paraId="3CFA289B"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89,47</w:t>
            </w:r>
          </w:p>
        </w:tc>
        <w:tc>
          <w:tcPr>
            <w:tcW w:w="1134" w:type="dxa"/>
            <w:tcBorders>
              <w:top w:val="nil"/>
              <w:left w:val="nil"/>
              <w:bottom w:val="single" w:sz="4" w:space="0" w:color="auto"/>
              <w:right w:val="single" w:sz="4" w:space="0" w:color="auto"/>
            </w:tcBorders>
            <w:shd w:val="clear" w:color="auto" w:fill="auto"/>
            <w:hideMark/>
          </w:tcPr>
          <w:p w14:paraId="63F4A06B"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14,41</w:t>
            </w:r>
          </w:p>
        </w:tc>
        <w:tc>
          <w:tcPr>
            <w:tcW w:w="1276" w:type="dxa"/>
            <w:tcBorders>
              <w:top w:val="nil"/>
              <w:left w:val="nil"/>
              <w:bottom w:val="single" w:sz="4" w:space="0" w:color="auto"/>
              <w:right w:val="single" w:sz="4" w:space="0" w:color="auto"/>
            </w:tcBorders>
            <w:shd w:val="clear" w:color="auto" w:fill="auto"/>
            <w:hideMark/>
          </w:tcPr>
          <w:p w14:paraId="3ABB081B"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414,29</w:t>
            </w:r>
          </w:p>
        </w:tc>
      </w:tr>
      <w:tr w:rsidR="00E47AA9" w:rsidRPr="00E47AA9" w14:paraId="59E75DFB" w14:textId="77777777" w:rsidTr="00B70BF3">
        <w:trPr>
          <w:trHeight w:val="20"/>
        </w:trPr>
        <w:tc>
          <w:tcPr>
            <w:tcW w:w="2552" w:type="dxa"/>
            <w:tcBorders>
              <w:top w:val="nil"/>
              <w:left w:val="single" w:sz="4" w:space="0" w:color="auto"/>
              <w:bottom w:val="single" w:sz="4" w:space="0" w:color="auto"/>
              <w:right w:val="single" w:sz="4" w:space="0" w:color="auto"/>
            </w:tcBorders>
            <w:shd w:val="clear" w:color="auto" w:fill="auto"/>
            <w:hideMark/>
          </w:tcPr>
          <w:p w14:paraId="1B41D3E7" w14:textId="77777777" w:rsidR="006E0B6C" w:rsidRPr="00E47AA9" w:rsidRDefault="006E0B6C" w:rsidP="00B70BF3">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"Региональная и местная дорожная сеть"</w:t>
            </w:r>
          </w:p>
        </w:tc>
        <w:tc>
          <w:tcPr>
            <w:tcW w:w="1417" w:type="dxa"/>
            <w:tcBorders>
              <w:top w:val="nil"/>
              <w:left w:val="nil"/>
              <w:bottom w:val="single" w:sz="4" w:space="0" w:color="auto"/>
              <w:right w:val="single" w:sz="4" w:space="0" w:color="auto"/>
            </w:tcBorders>
            <w:shd w:val="clear" w:color="auto" w:fill="auto"/>
            <w:hideMark/>
          </w:tcPr>
          <w:p w14:paraId="476B07C1"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3 934,37</w:t>
            </w:r>
          </w:p>
        </w:tc>
        <w:tc>
          <w:tcPr>
            <w:tcW w:w="1560" w:type="dxa"/>
            <w:tcBorders>
              <w:top w:val="nil"/>
              <w:left w:val="nil"/>
              <w:bottom w:val="single" w:sz="4" w:space="0" w:color="auto"/>
              <w:right w:val="single" w:sz="4" w:space="0" w:color="auto"/>
            </w:tcBorders>
            <w:shd w:val="clear" w:color="auto" w:fill="auto"/>
            <w:hideMark/>
          </w:tcPr>
          <w:p w14:paraId="701551D9"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3 520,08</w:t>
            </w:r>
          </w:p>
        </w:tc>
        <w:tc>
          <w:tcPr>
            <w:tcW w:w="1417" w:type="dxa"/>
            <w:tcBorders>
              <w:top w:val="nil"/>
              <w:left w:val="nil"/>
              <w:bottom w:val="single" w:sz="4" w:space="0" w:color="auto"/>
              <w:right w:val="single" w:sz="4" w:space="0" w:color="auto"/>
            </w:tcBorders>
            <w:shd w:val="clear" w:color="auto" w:fill="auto"/>
            <w:hideMark/>
          </w:tcPr>
          <w:p w14:paraId="7CF1F0C2"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89,47</w:t>
            </w:r>
          </w:p>
        </w:tc>
        <w:tc>
          <w:tcPr>
            <w:tcW w:w="1134" w:type="dxa"/>
            <w:tcBorders>
              <w:top w:val="nil"/>
              <w:left w:val="nil"/>
              <w:bottom w:val="single" w:sz="4" w:space="0" w:color="auto"/>
              <w:right w:val="single" w:sz="4" w:space="0" w:color="auto"/>
            </w:tcBorders>
            <w:shd w:val="clear" w:color="auto" w:fill="auto"/>
            <w:hideMark/>
          </w:tcPr>
          <w:p w14:paraId="68AE374A"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14,41</w:t>
            </w:r>
          </w:p>
        </w:tc>
        <w:tc>
          <w:tcPr>
            <w:tcW w:w="1276" w:type="dxa"/>
            <w:tcBorders>
              <w:top w:val="nil"/>
              <w:left w:val="nil"/>
              <w:bottom w:val="single" w:sz="4" w:space="0" w:color="auto"/>
              <w:right w:val="single" w:sz="4" w:space="0" w:color="auto"/>
            </w:tcBorders>
            <w:shd w:val="clear" w:color="auto" w:fill="auto"/>
            <w:hideMark/>
          </w:tcPr>
          <w:p w14:paraId="7E8BF29D"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414,29</w:t>
            </w:r>
          </w:p>
        </w:tc>
      </w:tr>
      <w:tr w:rsidR="00E47AA9" w:rsidRPr="00E47AA9" w14:paraId="24CB487C" w14:textId="77777777" w:rsidTr="00B70BF3">
        <w:trPr>
          <w:trHeight w:val="20"/>
        </w:trPr>
        <w:tc>
          <w:tcPr>
            <w:tcW w:w="2552" w:type="dxa"/>
            <w:tcBorders>
              <w:top w:val="nil"/>
              <w:left w:val="single" w:sz="4" w:space="0" w:color="auto"/>
              <w:bottom w:val="single" w:sz="4" w:space="0" w:color="auto"/>
              <w:right w:val="single" w:sz="4" w:space="0" w:color="auto"/>
            </w:tcBorders>
            <w:shd w:val="clear" w:color="auto" w:fill="auto"/>
            <w:hideMark/>
          </w:tcPr>
          <w:p w14:paraId="1C0D4439" w14:textId="77777777" w:rsidR="006E0B6C" w:rsidRPr="00E47AA9" w:rsidRDefault="006E0B6C" w:rsidP="00B70BF3">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"Общесистемные меры развития дорожного хозяйства"</w:t>
            </w:r>
          </w:p>
        </w:tc>
        <w:tc>
          <w:tcPr>
            <w:tcW w:w="1417" w:type="dxa"/>
            <w:tcBorders>
              <w:top w:val="nil"/>
              <w:left w:val="nil"/>
              <w:bottom w:val="single" w:sz="4" w:space="0" w:color="auto"/>
              <w:right w:val="single" w:sz="4" w:space="0" w:color="auto"/>
            </w:tcBorders>
            <w:shd w:val="clear" w:color="auto" w:fill="auto"/>
            <w:hideMark/>
          </w:tcPr>
          <w:p w14:paraId="43FEF09C"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0,58</w:t>
            </w:r>
          </w:p>
        </w:tc>
        <w:tc>
          <w:tcPr>
            <w:tcW w:w="1560" w:type="dxa"/>
            <w:tcBorders>
              <w:top w:val="nil"/>
              <w:left w:val="nil"/>
              <w:bottom w:val="single" w:sz="4" w:space="0" w:color="auto"/>
              <w:right w:val="single" w:sz="4" w:space="0" w:color="auto"/>
            </w:tcBorders>
            <w:shd w:val="clear" w:color="auto" w:fill="auto"/>
            <w:hideMark/>
          </w:tcPr>
          <w:p w14:paraId="26616977"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0,58</w:t>
            </w:r>
          </w:p>
        </w:tc>
        <w:tc>
          <w:tcPr>
            <w:tcW w:w="1417" w:type="dxa"/>
            <w:tcBorders>
              <w:top w:val="nil"/>
              <w:left w:val="nil"/>
              <w:bottom w:val="single" w:sz="4" w:space="0" w:color="auto"/>
              <w:right w:val="single" w:sz="4" w:space="0" w:color="auto"/>
            </w:tcBorders>
            <w:shd w:val="clear" w:color="auto" w:fill="auto"/>
            <w:hideMark/>
          </w:tcPr>
          <w:p w14:paraId="0217B714"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1134" w:type="dxa"/>
            <w:tcBorders>
              <w:top w:val="nil"/>
              <w:left w:val="nil"/>
              <w:bottom w:val="single" w:sz="4" w:space="0" w:color="auto"/>
              <w:right w:val="single" w:sz="4" w:space="0" w:color="auto"/>
            </w:tcBorders>
            <w:shd w:val="clear" w:color="auto" w:fill="auto"/>
            <w:hideMark/>
          </w:tcPr>
          <w:p w14:paraId="62D71A42"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c>
          <w:tcPr>
            <w:tcW w:w="1276" w:type="dxa"/>
            <w:tcBorders>
              <w:top w:val="nil"/>
              <w:left w:val="nil"/>
              <w:bottom w:val="single" w:sz="4" w:space="0" w:color="auto"/>
              <w:right w:val="single" w:sz="4" w:space="0" w:color="auto"/>
            </w:tcBorders>
            <w:shd w:val="clear" w:color="auto" w:fill="auto"/>
            <w:hideMark/>
          </w:tcPr>
          <w:p w14:paraId="71174552" w14:textId="7A85436A"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w:t>
            </w:r>
            <w:r w:rsidR="00740485" w:rsidRPr="00E47AA9">
              <w:rPr>
                <w:rFonts w:ascii="Times New Roman" w:eastAsia="Times New Roman" w:hAnsi="Times New Roman" w:cs="Times New Roman"/>
                <w:sz w:val="20"/>
                <w:szCs w:val="20"/>
                <w:lang w:eastAsia="ru-RU"/>
              </w:rPr>
              <w:t>,00</w:t>
            </w:r>
          </w:p>
        </w:tc>
      </w:tr>
      <w:tr w:rsidR="00E47AA9" w:rsidRPr="00E47AA9" w14:paraId="0961961B" w14:textId="77777777" w:rsidTr="00B70BF3">
        <w:trPr>
          <w:trHeight w:val="20"/>
        </w:trPr>
        <w:tc>
          <w:tcPr>
            <w:tcW w:w="2552" w:type="dxa"/>
            <w:tcBorders>
              <w:top w:val="nil"/>
              <w:left w:val="single" w:sz="4" w:space="0" w:color="auto"/>
              <w:bottom w:val="single" w:sz="4" w:space="0" w:color="auto"/>
              <w:right w:val="single" w:sz="4" w:space="0" w:color="auto"/>
            </w:tcBorders>
            <w:shd w:val="clear" w:color="auto" w:fill="auto"/>
            <w:hideMark/>
          </w:tcPr>
          <w:p w14:paraId="25A893E4" w14:textId="77777777" w:rsidR="006E0B6C" w:rsidRPr="00E47AA9" w:rsidRDefault="006E0B6C" w:rsidP="00B70BF3">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 xml:space="preserve">РП, не входящие в состав НП </w:t>
            </w:r>
          </w:p>
          <w:p w14:paraId="4F3E594F" w14:textId="77777777" w:rsidR="006E0B6C" w:rsidRPr="00E47AA9" w:rsidRDefault="006E0B6C" w:rsidP="00B70BF3">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"Содействие развитию автомобильных дорог регионального, межмуниципального и местного значения (Приморский край)"</w:t>
            </w:r>
          </w:p>
        </w:tc>
        <w:tc>
          <w:tcPr>
            <w:tcW w:w="1417" w:type="dxa"/>
            <w:tcBorders>
              <w:top w:val="nil"/>
              <w:left w:val="nil"/>
              <w:bottom w:val="single" w:sz="4" w:space="0" w:color="auto"/>
              <w:right w:val="single" w:sz="4" w:space="0" w:color="auto"/>
            </w:tcBorders>
            <w:shd w:val="clear" w:color="auto" w:fill="auto"/>
            <w:hideMark/>
          </w:tcPr>
          <w:p w14:paraId="25F5107B"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2790,69</w:t>
            </w:r>
          </w:p>
        </w:tc>
        <w:tc>
          <w:tcPr>
            <w:tcW w:w="1560" w:type="dxa"/>
            <w:tcBorders>
              <w:top w:val="nil"/>
              <w:left w:val="nil"/>
              <w:bottom w:val="single" w:sz="4" w:space="0" w:color="auto"/>
              <w:right w:val="single" w:sz="4" w:space="0" w:color="auto"/>
            </w:tcBorders>
            <w:shd w:val="clear" w:color="auto" w:fill="auto"/>
            <w:hideMark/>
          </w:tcPr>
          <w:p w14:paraId="4585FDEC" w14:textId="50E325EF"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1987,4</w:t>
            </w:r>
            <w:r w:rsidR="00740485" w:rsidRPr="00E47AA9">
              <w:rPr>
                <w:rFonts w:ascii="Times New Roman" w:eastAsia="Times New Roman" w:hAnsi="Times New Roman" w:cs="Times New Roman"/>
                <w:sz w:val="20"/>
                <w:szCs w:val="20"/>
                <w:lang w:eastAsia="ru-RU"/>
              </w:rPr>
              <w:t>0</w:t>
            </w:r>
          </w:p>
        </w:tc>
        <w:tc>
          <w:tcPr>
            <w:tcW w:w="1417" w:type="dxa"/>
            <w:tcBorders>
              <w:top w:val="nil"/>
              <w:left w:val="nil"/>
              <w:bottom w:val="single" w:sz="4" w:space="0" w:color="auto"/>
              <w:right w:val="single" w:sz="4" w:space="0" w:color="auto"/>
            </w:tcBorders>
            <w:shd w:val="clear" w:color="auto" w:fill="auto"/>
            <w:hideMark/>
          </w:tcPr>
          <w:p w14:paraId="406B2C43"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71,22</w:t>
            </w:r>
          </w:p>
        </w:tc>
        <w:tc>
          <w:tcPr>
            <w:tcW w:w="1134" w:type="dxa"/>
            <w:tcBorders>
              <w:top w:val="nil"/>
              <w:left w:val="nil"/>
              <w:bottom w:val="single" w:sz="4" w:space="0" w:color="auto"/>
              <w:right w:val="single" w:sz="4" w:space="0" w:color="auto"/>
            </w:tcBorders>
            <w:shd w:val="clear" w:color="auto" w:fill="auto"/>
            <w:hideMark/>
          </w:tcPr>
          <w:p w14:paraId="6A8DE4E6"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8,13</w:t>
            </w:r>
          </w:p>
        </w:tc>
        <w:tc>
          <w:tcPr>
            <w:tcW w:w="1276" w:type="dxa"/>
            <w:tcBorders>
              <w:top w:val="nil"/>
              <w:left w:val="nil"/>
              <w:bottom w:val="single" w:sz="4" w:space="0" w:color="auto"/>
              <w:right w:val="single" w:sz="4" w:space="0" w:color="auto"/>
            </w:tcBorders>
            <w:shd w:val="clear" w:color="auto" w:fill="auto"/>
            <w:hideMark/>
          </w:tcPr>
          <w:p w14:paraId="60932E3C"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803,29</w:t>
            </w:r>
          </w:p>
        </w:tc>
      </w:tr>
      <w:tr w:rsidR="00E47AA9" w:rsidRPr="00E47AA9" w14:paraId="55531BD3" w14:textId="77777777" w:rsidTr="00B70BF3">
        <w:trPr>
          <w:trHeight w:val="20"/>
        </w:trPr>
        <w:tc>
          <w:tcPr>
            <w:tcW w:w="2552" w:type="dxa"/>
            <w:tcBorders>
              <w:top w:val="nil"/>
              <w:left w:val="single" w:sz="4" w:space="0" w:color="auto"/>
              <w:bottom w:val="single" w:sz="4" w:space="0" w:color="auto"/>
              <w:right w:val="single" w:sz="4" w:space="0" w:color="auto"/>
            </w:tcBorders>
            <w:shd w:val="clear" w:color="auto" w:fill="auto"/>
            <w:hideMark/>
          </w:tcPr>
          <w:p w14:paraId="7FC84945" w14:textId="77777777" w:rsidR="006E0B6C" w:rsidRPr="00E47AA9" w:rsidRDefault="006E0B6C" w:rsidP="00B70BF3">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ВП "Поддержка дорожного хозяйства муниципальных образований Приморского края и организации транспортного обслуживания населения в границах муниципальных образований Приморского края"</w:t>
            </w:r>
          </w:p>
        </w:tc>
        <w:tc>
          <w:tcPr>
            <w:tcW w:w="1417" w:type="dxa"/>
            <w:tcBorders>
              <w:top w:val="nil"/>
              <w:left w:val="nil"/>
              <w:bottom w:val="single" w:sz="4" w:space="0" w:color="auto"/>
              <w:right w:val="single" w:sz="4" w:space="0" w:color="auto"/>
            </w:tcBorders>
            <w:shd w:val="clear" w:color="auto" w:fill="auto"/>
            <w:hideMark/>
          </w:tcPr>
          <w:p w14:paraId="41AFD680" w14:textId="353326FA"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2799,5</w:t>
            </w:r>
            <w:r w:rsidR="00740485" w:rsidRPr="00E47AA9">
              <w:rPr>
                <w:rFonts w:ascii="Times New Roman" w:eastAsia="Times New Roman" w:hAnsi="Times New Roman" w:cs="Times New Roman"/>
                <w:sz w:val="20"/>
                <w:szCs w:val="20"/>
                <w:lang w:eastAsia="ru-RU"/>
              </w:rPr>
              <w:t>0</w:t>
            </w:r>
          </w:p>
        </w:tc>
        <w:tc>
          <w:tcPr>
            <w:tcW w:w="1560" w:type="dxa"/>
            <w:tcBorders>
              <w:top w:val="nil"/>
              <w:left w:val="nil"/>
              <w:bottom w:val="single" w:sz="4" w:space="0" w:color="auto"/>
              <w:right w:val="single" w:sz="4" w:space="0" w:color="auto"/>
            </w:tcBorders>
            <w:shd w:val="clear" w:color="auto" w:fill="auto"/>
            <w:hideMark/>
          </w:tcPr>
          <w:p w14:paraId="11C4BED9"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2693,84</w:t>
            </w:r>
          </w:p>
        </w:tc>
        <w:tc>
          <w:tcPr>
            <w:tcW w:w="1417" w:type="dxa"/>
            <w:tcBorders>
              <w:top w:val="nil"/>
              <w:left w:val="nil"/>
              <w:bottom w:val="single" w:sz="4" w:space="0" w:color="auto"/>
              <w:right w:val="single" w:sz="4" w:space="0" w:color="auto"/>
            </w:tcBorders>
            <w:shd w:val="clear" w:color="auto" w:fill="auto"/>
            <w:hideMark/>
          </w:tcPr>
          <w:p w14:paraId="43DA5636"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96,23</w:t>
            </w:r>
          </w:p>
        </w:tc>
        <w:tc>
          <w:tcPr>
            <w:tcW w:w="1134" w:type="dxa"/>
            <w:tcBorders>
              <w:top w:val="nil"/>
              <w:left w:val="nil"/>
              <w:bottom w:val="single" w:sz="4" w:space="0" w:color="auto"/>
              <w:right w:val="single" w:sz="4" w:space="0" w:color="auto"/>
            </w:tcBorders>
            <w:shd w:val="clear" w:color="auto" w:fill="auto"/>
            <w:hideMark/>
          </w:tcPr>
          <w:p w14:paraId="2A2A251E"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11,03</w:t>
            </w:r>
          </w:p>
        </w:tc>
        <w:tc>
          <w:tcPr>
            <w:tcW w:w="1276" w:type="dxa"/>
            <w:tcBorders>
              <w:top w:val="nil"/>
              <w:left w:val="nil"/>
              <w:bottom w:val="single" w:sz="4" w:space="0" w:color="auto"/>
              <w:right w:val="single" w:sz="4" w:space="0" w:color="auto"/>
            </w:tcBorders>
            <w:shd w:val="clear" w:color="auto" w:fill="auto"/>
            <w:hideMark/>
          </w:tcPr>
          <w:p w14:paraId="2DDEBF06" w14:textId="77777777" w:rsidR="006E0B6C" w:rsidRPr="00E47AA9" w:rsidRDefault="006E0B6C" w:rsidP="00B70BF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105,66</w:t>
            </w:r>
          </w:p>
        </w:tc>
      </w:tr>
      <w:tr w:rsidR="006E0B6C" w:rsidRPr="00E47AA9" w14:paraId="31D09691" w14:textId="77777777" w:rsidTr="00B70BF3">
        <w:trPr>
          <w:trHeight w:val="20"/>
        </w:trPr>
        <w:tc>
          <w:tcPr>
            <w:tcW w:w="2552" w:type="dxa"/>
            <w:tcBorders>
              <w:top w:val="nil"/>
              <w:left w:val="single" w:sz="4" w:space="0" w:color="auto"/>
              <w:bottom w:val="single" w:sz="4" w:space="0" w:color="auto"/>
              <w:right w:val="single" w:sz="4" w:space="0" w:color="auto"/>
            </w:tcBorders>
            <w:shd w:val="clear" w:color="auto" w:fill="auto"/>
            <w:hideMark/>
          </w:tcPr>
          <w:p w14:paraId="705F54E7" w14:textId="77777777" w:rsidR="006E0B6C" w:rsidRPr="00E47AA9" w:rsidRDefault="006E0B6C" w:rsidP="00B70BF3">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комплексы процессных мероприятий</w:t>
            </w:r>
          </w:p>
        </w:tc>
        <w:tc>
          <w:tcPr>
            <w:tcW w:w="1417" w:type="dxa"/>
            <w:tcBorders>
              <w:top w:val="nil"/>
              <w:left w:val="nil"/>
              <w:bottom w:val="single" w:sz="4" w:space="0" w:color="auto"/>
              <w:right w:val="single" w:sz="4" w:space="0" w:color="auto"/>
            </w:tcBorders>
            <w:shd w:val="clear" w:color="auto" w:fill="auto"/>
            <w:hideMark/>
          </w:tcPr>
          <w:p w14:paraId="1449074D" w14:textId="77777777" w:rsidR="006E0B6C" w:rsidRPr="00E47AA9" w:rsidRDefault="006E0B6C" w:rsidP="00B70BF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17091,72</w:t>
            </w:r>
          </w:p>
        </w:tc>
        <w:tc>
          <w:tcPr>
            <w:tcW w:w="1560" w:type="dxa"/>
            <w:tcBorders>
              <w:top w:val="nil"/>
              <w:left w:val="nil"/>
              <w:bottom w:val="single" w:sz="4" w:space="0" w:color="auto"/>
              <w:right w:val="single" w:sz="4" w:space="0" w:color="auto"/>
            </w:tcBorders>
            <w:shd w:val="clear" w:color="auto" w:fill="auto"/>
            <w:hideMark/>
          </w:tcPr>
          <w:p w14:paraId="50A9BF4E" w14:textId="77777777" w:rsidR="006E0B6C" w:rsidRPr="00E47AA9" w:rsidRDefault="006E0B6C" w:rsidP="00B70BF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16230,00</w:t>
            </w:r>
          </w:p>
        </w:tc>
        <w:tc>
          <w:tcPr>
            <w:tcW w:w="1417" w:type="dxa"/>
            <w:tcBorders>
              <w:top w:val="nil"/>
              <w:left w:val="nil"/>
              <w:bottom w:val="single" w:sz="4" w:space="0" w:color="auto"/>
              <w:right w:val="single" w:sz="4" w:space="0" w:color="auto"/>
            </w:tcBorders>
            <w:shd w:val="clear" w:color="auto" w:fill="auto"/>
            <w:hideMark/>
          </w:tcPr>
          <w:p w14:paraId="1B1D053B" w14:textId="77777777" w:rsidR="006E0B6C" w:rsidRPr="00E47AA9" w:rsidRDefault="006E0B6C" w:rsidP="00B70BF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94,96</w:t>
            </w:r>
          </w:p>
        </w:tc>
        <w:tc>
          <w:tcPr>
            <w:tcW w:w="1134" w:type="dxa"/>
            <w:tcBorders>
              <w:top w:val="nil"/>
              <w:left w:val="nil"/>
              <w:bottom w:val="single" w:sz="4" w:space="0" w:color="auto"/>
              <w:right w:val="single" w:sz="4" w:space="0" w:color="auto"/>
            </w:tcBorders>
            <w:shd w:val="clear" w:color="auto" w:fill="auto"/>
            <w:hideMark/>
          </w:tcPr>
          <w:p w14:paraId="435E5F82" w14:textId="77777777" w:rsidR="006E0B6C" w:rsidRPr="00E47AA9" w:rsidRDefault="006E0B6C" w:rsidP="00B70BF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66,43</w:t>
            </w:r>
          </w:p>
        </w:tc>
        <w:tc>
          <w:tcPr>
            <w:tcW w:w="1276" w:type="dxa"/>
            <w:tcBorders>
              <w:top w:val="nil"/>
              <w:left w:val="nil"/>
              <w:bottom w:val="single" w:sz="4" w:space="0" w:color="auto"/>
              <w:right w:val="single" w:sz="4" w:space="0" w:color="auto"/>
            </w:tcBorders>
            <w:shd w:val="clear" w:color="auto" w:fill="auto"/>
            <w:hideMark/>
          </w:tcPr>
          <w:p w14:paraId="1682C51D" w14:textId="77777777" w:rsidR="006E0B6C" w:rsidRPr="00E47AA9" w:rsidRDefault="006E0B6C" w:rsidP="00B70BF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861,72</w:t>
            </w:r>
          </w:p>
        </w:tc>
      </w:tr>
    </w:tbl>
    <w:p w14:paraId="2A2D18E3" w14:textId="77777777" w:rsidR="006E0B6C" w:rsidRPr="00E47AA9" w:rsidRDefault="006E0B6C" w:rsidP="006E0B6C">
      <w:pPr>
        <w:spacing w:after="0" w:line="240" w:lineRule="auto"/>
        <w:ind w:firstLine="709"/>
        <w:jc w:val="both"/>
        <w:rPr>
          <w:rFonts w:ascii="Times New Roman" w:eastAsia="Calibri" w:hAnsi="Times New Roman" w:cs="Times New Roman"/>
          <w:sz w:val="28"/>
          <w:szCs w:val="28"/>
        </w:rPr>
      </w:pPr>
    </w:p>
    <w:p w14:paraId="52C9FE7D" w14:textId="148B99A2" w:rsidR="00BC1B8E" w:rsidRPr="00E47AA9" w:rsidRDefault="00613EC5" w:rsidP="00BC1B8E">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По данным</w:t>
      </w:r>
      <w:r w:rsidR="00BC1B8E" w:rsidRPr="00E47AA9">
        <w:rPr>
          <w:rFonts w:ascii="Times New Roman" w:eastAsia="Times New Roman" w:hAnsi="Times New Roman" w:cs="Times New Roman"/>
          <w:sz w:val="28"/>
          <w:szCs w:val="28"/>
        </w:rPr>
        <w:t xml:space="preserve"> Сводно</w:t>
      </w:r>
      <w:r w:rsidRPr="00E47AA9">
        <w:rPr>
          <w:rFonts w:ascii="Times New Roman" w:eastAsia="Times New Roman" w:hAnsi="Times New Roman" w:cs="Times New Roman"/>
          <w:sz w:val="28"/>
          <w:szCs w:val="28"/>
        </w:rPr>
        <w:t>го</w:t>
      </w:r>
      <w:r w:rsidR="00BC1B8E" w:rsidRPr="00E47AA9">
        <w:rPr>
          <w:rFonts w:ascii="Times New Roman" w:eastAsia="Times New Roman" w:hAnsi="Times New Roman" w:cs="Times New Roman"/>
          <w:sz w:val="28"/>
          <w:szCs w:val="28"/>
        </w:rPr>
        <w:t xml:space="preserve"> годово</w:t>
      </w:r>
      <w:r w:rsidRPr="00E47AA9">
        <w:rPr>
          <w:rFonts w:ascii="Times New Roman" w:eastAsia="Times New Roman" w:hAnsi="Times New Roman" w:cs="Times New Roman"/>
          <w:sz w:val="28"/>
          <w:szCs w:val="28"/>
        </w:rPr>
        <w:t>го</w:t>
      </w:r>
      <w:r w:rsidR="00BC1B8E" w:rsidRPr="00E47AA9">
        <w:rPr>
          <w:rFonts w:ascii="Times New Roman" w:eastAsia="Times New Roman" w:hAnsi="Times New Roman" w:cs="Times New Roman"/>
          <w:sz w:val="28"/>
          <w:szCs w:val="28"/>
        </w:rPr>
        <w:t xml:space="preserve"> доклад</w:t>
      </w:r>
      <w:r w:rsidRPr="00E47AA9">
        <w:rPr>
          <w:rFonts w:ascii="Times New Roman" w:eastAsia="Times New Roman" w:hAnsi="Times New Roman" w:cs="Times New Roman"/>
          <w:sz w:val="28"/>
          <w:szCs w:val="28"/>
        </w:rPr>
        <w:t>а</w:t>
      </w:r>
      <w:r w:rsidR="00BC1B8E" w:rsidRPr="00E47AA9">
        <w:rPr>
          <w:rFonts w:ascii="Times New Roman" w:eastAsia="Times New Roman" w:hAnsi="Times New Roman" w:cs="Times New Roman"/>
          <w:sz w:val="28"/>
          <w:szCs w:val="28"/>
        </w:rPr>
        <w:t>:</w:t>
      </w:r>
    </w:p>
    <w:p w14:paraId="03470E46" w14:textId="4D84D791" w:rsidR="00BC1B8E" w:rsidRPr="00E47AA9" w:rsidRDefault="00BC1B8E" w:rsidP="00BC1B8E">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из 96 мероприятий государственной программы, запланированных к выполнению в 2024 году, выполнены в полном объеме 56 мероприятий, </w:t>
      </w:r>
      <w:r w:rsidR="00A948E4" w:rsidRPr="00E47AA9">
        <w:rPr>
          <w:rFonts w:ascii="Times New Roman" w:eastAsia="Times New Roman" w:hAnsi="Times New Roman" w:cs="Times New Roman"/>
          <w:sz w:val="28"/>
          <w:szCs w:val="28"/>
        </w:rPr>
        <w:br/>
      </w:r>
      <w:r w:rsidRPr="00E47AA9">
        <w:rPr>
          <w:rFonts w:ascii="Times New Roman" w:eastAsia="Times New Roman" w:hAnsi="Times New Roman" w:cs="Times New Roman"/>
          <w:sz w:val="28"/>
          <w:szCs w:val="28"/>
        </w:rPr>
        <w:t>19 мероприяти</w:t>
      </w:r>
      <w:r w:rsidR="00613EC5" w:rsidRPr="00E47AA9">
        <w:rPr>
          <w:rFonts w:ascii="Times New Roman" w:eastAsia="Times New Roman" w:hAnsi="Times New Roman" w:cs="Times New Roman"/>
          <w:sz w:val="28"/>
          <w:szCs w:val="28"/>
        </w:rPr>
        <w:t>й</w:t>
      </w:r>
      <w:r w:rsidRPr="00E47AA9">
        <w:rPr>
          <w:rFonts w:ascii="Times New Roman" w:eastAsia="Times New Roman" w:hAnsi="Times New Roman" w:cs="Times New Roman"/>
          <w:sz w:val="28"/>
          <w:szCs w:val="28"/>
        </w:rPr>
        <w:t xml:space="preserve"> выполнены не в полном объеме, 13 мероприятий не выполнены, 8 мероприятий исключены из плана реализации;</w:t>
      </w:r>
    </w:p>
    <w:p w14:paraId="4F5DF0AB" w14:textId="72CD7CC9" w:rsidR="00BC1B8E" w:rsidRPr="00E47AA9" w:rsidRDefault="00BC1B8E" w:rsidP="00BC1B8E">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из 23 показателей государственной программы 14 достигли планового значения, 9 показателей достигнуты не в полном объеме</w:t>
      </w:r>
      <w:r w:rsidR="00A948E4" w:rsidRPr="00E47AA9">
        <w:rPr>
          <w:rFonts w:ascii="Times New Roman" w:eastAsia="Times New Roman" w:hAnsi="Times New Roman" w:cs="Times New Roman"/>
          <w:sz w:val="28"/>
          <w:szCs w:val="28"/>
        </w:rPr>
        <w:t>;</w:t>
      </w:r>
    </w:p>
    <w:p w14:paraId="24C6A458" w14:textId="7C4EAEC3" w:rsidR="00BC1B8E" w:rsidRPr="00E47AA9" w:rsidRDefault="00BC1B8E" w:rsidP="006E0B6C">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эффективность реализации государственной программы составила 81,0</w:t>
      </w:r>
      <w:r w:rsidR="00613EC5"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 (ниже среднего уровня).</w:t>
      </w:r>
    </w:p>
    <w:p w14:paraId="1F2078A2" w14:textId="77777777" w:rsidR="006E0B6C" w:rsidRPr="00E47AA9" w:rsidRDefault="006E0B6C" w:rsidP="006E0B6C">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b/>
          <w:sz w:val="28"/>
          <w:szCs w:val="28"/>
        </w:rPr>
        <w:t xml:space="preserve">Подпрограмма </w:t>
      </w:r>
      <w:r w:rsidRPr="00E47AA9">
        <w:rPr>
          <w:rFonts w:ascii="Times New Roman" w:eastAsia="Times New Roman" w:hAnsi="Times New Roman" w:cs="Times New Roman"/>
          <w:b/>
          <w:sz w:val="28"/>
          <w:szCs w:val="28"/>
          <w:lang w:eastAsia="ru-RU"/>
        </w:rPr>
        <w:t>"Развитие дорожной отрасли в Приморском крае"</w:t>
      </w:r>
      <w:r w:rsidRPr="00E47AA9">
        <w:rPr>
          <w:rFonts w:ascii="Times New Roman" w:eastAsia="Calibri" w:hAnsi="Times New Roman" w:cs="Times New Roman"/>
          <w:sz w:val="28"/>
          <w:szCs w:val="28"/>
        </w:rPr>
        <w:t xml:space="preserve"> занимает основную долю расходов программы (89,20 %) и включает в себя расходы на реализацию </w:t>
      </w:r>
      <w:r w:rsidRPr="00E47AA9">
        <w:rPr>
          <w:rFonts w:ascii="Times New Roman" w:eastAsia="Times New Roman" w:hAnsi="Times New Roman" w:cs="Times New Roman"/>
          <w:iCs/>
          <w:sz w:val="28"/>
          <w:szCs w:val="28"/>
          <w:lang w:eastAsia="ru-RU"/>
        </w:rPr>
        <w:t>РП, входящих в состав НП</w:t>
      </w:r>
      <w:r w:rsidRPr="00E47AA9">
        <w:rPr>
          <w:rFonts w:ascii="Times New Roman" w:eastAsia="Calibri" w:hAnsi="Times New Roman" w:cs="Times New Roman"/>
          <w:sz w:val="28"/>
          <w:szCs w:val="28"/>
        </w:rPr>
        <w:t xml:space="preserve"> "Безопасные качественные дороги" (описание изложено в приложении 3 к заключению) и РП, не </w:t>
      </w:r>
      <w:r w:rsidRPr="00E47AA9">
        <w:rPr>
          <w:rFonts w:ascii="Times New Roman" w:eastAsia="Times New Roman" w:hAnsi="Times New Roman" w:cs="Times New Roman"/>
          <w:iCs/>
          <w:sz w:val="28"/>
          <w:szCs w:val="28"/>
          <w:lang w:eastAsia="ru-RU"/>
        </w:rPr>
        <w:t xml:space="preserve">входящих в состав НП, основная часть которых </w:t>
      </w:r>
      <w:r w:rsidRPr="00E47AA9">
        <w:rPr>
          <w:rFonts w:ascii="Times New Roman" w:eastAsia="Times New Roman" w:hAnsi="Times New Roman" w:cs="Times New Roman"/>
          <w:sz w:val="28"/>
          <w:szCs w:val="28"/>
          <w:lang w:eastAsia="ru-RU"/>
        </w:rPr>
        <w:t xml:space="preserve">включена в состав бюджетных </w:t>
      </w:r>
      <w:r w:rsidRPr="00E47AA9">
        <w:rPr>
          <w:rFonts w:ascii="Times New Roman" w:eastAsia="Times New Roman" w:hAnsi="Times New Roman" w:cs="Times New Roman"/>
          <w:sz w:val="28"/>
          <w:szCs w:val="28"/>
          <w:lang w:eastAsia="ru-RU"/>
        </w:rPr>
        <w:lastRenderedPageBreak/>
        <w:t xml:space="preserve">ассигнований </w:t>
      </w:r>
      <w:r w:rsidRPr="00E47AA9">
        <w:rPr>
          <w:rFonts w:ascii="Times New Roman" w:eastAsia="Calibri" w:hAnsi="Times New Roman" w:cs="Times New Roman"/>
          <w:sz w:val="28"/>
          <w:szCs w:val="28"/>
        </w:rPr>
        <w:t>дорожного фонда Приморского края</w:t>
      </w:r>
      <w:r w:rsidRPr="00E47AA9">
        <w:rPr>
          <w:rFonts w:ascii="Times New Roman" w:eastAsia="Times New Roman" w:hAnsi="Times New Roman" w:cs="Times New Roman"/>
          <w:sz w:val="28"/>
          <w:szCs w:val="28"/>
          <w:lang w:eastAsia="ru-RU"/>
        </w:rPr>
        <w:t>. Результаты анализа исполнения мероприятий з</w:t>
      </w:r>
      <w:r w:rsidRPr="00E47AA9">
        <w:rPr>
          <w:rFonts w:ascii="Times New Roman" w:eastAsia="Calibri" w:hAnsi="Times New Roman" w:cs="Times New Roman"/>
          <w:sz w:val="28"/>
          <w:szCs w:val="28"/>
        </w:rPr>
        <w:t>а счет дорожного фонда Приморского края</w:t>
      </w:r>
      <w:r w:rsidRPr="00E47AA9">
        <w:rPr>
          <w:rFonts w:ascii="Times New Roman" w:eastAsia="Times New Roman" w:hAnsi="Times New Roman" w:cs="Times New Roman"/>
          <w:sz w:val="28"/>
          <w:szCs w:val="28"/>
          <w:lang w:eastAsia="ru-RU"/>
        </w:rPr>
        <w:t xml:space="preserve"> представлены в Заключении в разделе 5.3 "Дорожный фонд Приморского края".</w:t>
      </w:r>
    </w:p>
    <w:p w14:paraId="3BC0B339" w14:textId="19C0D937" w:rsidR="006E0B6C" w:rsidRPr="00E47AA9" w:rsidRDefault="006E0B6C" w:rsidP="006E0B6C">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Кроме того, в составе подпрограммы исполнялись мероприятия ВП "Поддержка дорожного хозяйства муниципальных образований Приморского края и организации транспортного обслуживания населения в границах муниципальных образований Приморского края", не входящ</w:t>
      </w:r>
      <w:r w:rsidR="00740485" w:rsidRPr="00E47AA9">
        <w:rPr>
          <w:rFonts w:ascii="Times New Roman" w:eastAsia="Times New Roman" w:hAnsi="Times New Roman" w:cs="Times New Roman"/>
          <w:sz w:val="28"/>
          <w:szCs w:val="28"/>
          <w:lang w:eastAsia="ru-RU"/>
        </w:rPr>
        <w:t>и</w:t>
      </w:r>
      <w:r w:rsidRPr="00E47AA9">
        <w:rPr>
          <w:rFonts w:ascii="Times New Roman" w:eastAsia="Times New Roman" w:hAnsi="Times New Roman" w:cs="Times New Roman"/>
          <w:sz w:val="28"/>
          <w:szCs w:val="28"/>
          <w:lang w:eastAsia="ru-RU"/>
        </w:rPr>
        <w:t>е в состав бюджетных ассигнований дорожного фонда Приморского края (исполнение 441,92 млн рублей, или 96,02 %</w:t>
      </w:r>
      <w:r w:rsidR="000A28B6"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план</w:t>
      </w:r>
      <w:r w:rsidR="00576C74"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 460,2</w:t>
      </w:r>
      <w:r w:rsidR="0041140A" w:rsidRPr="00E47AA9">
        <w:rPr>
          <w:rFonts w:ascii="Times New Roman" w:eastAsia="Times New Roman" w:hAnsi="Times New Roman" w:cs="Times New Roman"/>
          <w:sz w:val="28"/>
          <w:szCs w:val="28"/>
          <w:lang w:eastAsia="ru-RU"/>
        </w:rPr>
        <w:t>1</w:t>
      </w:r>
      <w:r w:rsidRPr="00E47AA9">
        <w:rPr>
          <w:rFonts w:ascii="Times New Roman" w:eastAsia="Times New Roman" w:hAnsi="Times New Roman" w:cs="Times New Roman"/>
          <w:sz w:val="28"/>
          <w:szCs w:val="28"/>
          <w:lang w:eastAsia="ru-RU"/>
        </w:rPr>
        <w:t xml:space="preserve"> млн рублей), в том числе направлено: </w:t>
      </w:r>
    </w:p>
    <w:p w14:paraId="6AA85969" w14:textId="3A9F37C2" w:rsidR="006E0B6C" w:rsidRPr="00E47AA9" w:rsidRDefault="006E0B6C" w:rsidP="006E0B6C">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организацию транспортного обслуживания населения в границах муниципальных образований Приморского края 262,76 млн рублей, или 93,78 % (план</w:t>
      </w:r>
      <w:r w:rsidR="00576C74" w:rsidRPr="00E47AA9">
        <w:rPr>
          <w:rFonts w:ascii="Times New Roman" w:eastAsia="Times New Roman" w:hAnsi="Times New Roman" w:cs="Times New Roman"/>
          <w:sz w:val="28"/>
          <w:szCs w:val="28"/>
          <w:lang w:eastAsia="ru-RU"/>
        </w:rPr>
        <w:t xml:space="preserve"> – </w:t>
      </w:r>
      <w:r w:rsidRPr="00E47AA9">
        <w:rPr>
          <w:rFonts w:ascii="Times New Roman" w:eastAsia="Times New Roman" w:hAnsi="Times New Roman" w:cs="Times New Roman"/>
          <w:sz w:val="28"/>
          <w:szCs w:val="28"/>
          <w:lang w:eastAsia="ru-RU"/>
        </w:rPr>
        <w:t>280,18 млн рублей). Отклонение в сумме 17,4</w:t>
      </w:r>
      <w:r w:rsidR="0041140A" w:rsidRPr="00E47AA9">
        <w:rPr>
          <w:rFonts w:ascii="Times New Roman" w:eastAsia="Times New Roman" w:hAnsi="Times New Roman" w:cs="Times New Roman"/>
          <w:sz w:val="28"/>
          <w:szCs w:val="28"/>
          <w:lang w:eastAsia="ru-RU"/>
        </w:rPr>
        <w:t>2</w:t>
      </w:r>
      <w:r w:rsidRPr="00E47AA9">
        <w:rPr>
          <w:rFonts w:ascii="Times New Roman" w:eastAsia="Times New Roman" w:hAnsi="Times New Roman" w:cs="Times New Roman"/>
          <w:sz w:val="28"/>
          <w:szCs w:val="28"/>
          <w:lang w:eastAsia="ru-RU"/>
        </w:rPr>
        <w:t xml:space="preserve"> млн рублей связаны с нарушением условий муниципального контракта перевозчиками, экономией по факту выполненных рейсов, паводковой ситуации в МО;</w:t>
      </w:r>
    </w:p>
    <w:p w14:paraId="577B0AD4" w14:textId="3FECAC9C" w:rsidR="006E0B6C" w:rsidRPr="00E47AA9" w:rsidRDefault="006E0B6C" w:rsidP="006E0B6C">
      <w:pPr>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sz w:val="28"/>
          <w:szCs w:val="28"/>
          <w:lang w:eastAsia="ru-RU"/>
        </w:rPr>
        <w:t>на приобретение подвижного состава пассажирского транспорта общего пользования</w:t>
      </w:r>
      <w:r w:rsidR="00CF1B52" w:rsidRPr="00E47AA9">
        <w:rPr>
          <w:rFonts w:ascii="Times New Roman" w:eastAsia="Times New Roman" w:hAnsi="Times New Roman" w:cs="Times New Roman"/>
          <w:sz w:val="28"/>
          <w:szCs w:val="28"/>
          <w:lang w:eastAsia="ru-RU"/>
        </w:rPr>
        <w:t xml:space="preserve"> </w:t>
      </w:r>
      <w:r w:rsidR="000A28B6"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179,16 млн рублей, или 99,52 % (план </w:t>
      </w:r>
      <w:r w:rsidR="00613EC5"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180,03 млн рублей). Не исполнено 0,87 млн рублей </w:t>
      </w:r>
      <w:r w:rsidRPr="00E47AA9">
        <w:rPr>
          <w:rFonts w:ascii="Times New Roman" w:hAnsi="Times New Roman" w:cs="Times New Roman"/>
          <w:sz w:val="28"/>
          <w:szCs w:val="28"/>
        </w:rPr>
        <w:t xml:space="preserve">в связи </w:t>
      </w:r>
      <w:r w:rsidRPr="00E47AA9">
        <w:rPr>
          <w:rFonts w:ascii="Times New Roman" w:eastAsia="Times New Roman" w:hAnsi="Times New Roman" w:cs="Times New Roman"/>
          <w:sz w:val="28"/>
          <w:szCs w:val="28"/>
          <w:lang w:eastAsia="ru-RU"/>
        </w:rPr>
        <w:t>с экономией при проведении закупочных процедур.</w:t>
      </w:r>
      <w:r w:rsidRPr="00E47AA9">
        <w:rPr>
          <w:rFonts w:ascii="Times New Roman" w:hAnsi="Times New Roman" w:cs="Times New Roman"/>
          <w:sz w:val="28"/>
          <w:szCs w:val="28"/>
        </w:rPr>
        <w:t xml:space="preserve"> </w:t>
      </w:r>
    </w:p>
    <w:p w14:paraId="265B4042" w14:textId="77777777" w:rsidR="006E0B6C" w:rsidRPr="00E47AA9" w:rsidRDefault="006E0B6C" w:rsidP="006E0B6C">
      <w:pPr>
        <w:spacing w:after="0" w:line="240" w:lineRule="auto"/>
        <w:ind w:firstLine="709"/>
        <w:jc w:val="both"/>
        <w:rPr>
          <w:rFonts w:ascii="Times New Roman" w:eastAsia="Calibri" w:hAnsi="Times New Roman" w:cs="Times New Roman"/>
          <w:b/>
          <w:sz w:val="28"/>
          <w:szCs w:val="28"/>
        </w:rPr>
      </w:pPr>
      <w:r w:rsidRPr="00E47AA9">
        <w:rPr>
          <w:rFonts w:ascii="Times New Roman" w:eastAsia="Calibri" w:hAnsi="Times New Roman" w:cs="Times New Roman"/>
          <w:b/>
          <w:sz w:val="28"/>
          <w:szCs w:val="28"/>
        </w:rPr>
        <w:t>Подпрограмма "Развитие транспортного комплекса в Приморском крае"</w:t>
      </w:r>
    </w:p>
    <w:p w14:paraId="15BCE445" w14:textId="77777777" w:rsidR="006E0B6C" w:rsidRPr="00E47AA9" w:rsidRDefault="006E0B6C" w:rsidP="006E0B6C">
      <w:pPr>
        <w:spacing w:after="0" w:line="240" w:lineRule="auto"/>
        <w:ind w:firstLine="709"/>
        <w:jc w:val="both"/>
        <w:rPr>
          <w:rFonts w:ascii="Times New Roman" w:eastAsia="Calibri" w:hAnsi="Times New Roman" w:cs="Times New Roman"/>
          <w:i/>
          <w:iCs/>
          <w:sz w:val="28"/>
          <w:szCs w:val="28"/>
        </w:rPr>
      </w:pPr>
      <w:r w:rsidRPr="00E47AA9">
        <w:rPr>
          <w:rFonts w:ascii="Times New Roman" w:eastAsia="Calibri" w:hAnsi="Times New Roman" w:cs="Times New Roman"/>
          <w:sz w:val="28"/>
          <w:szCs w:val="28"/>
        </w:rPr>
        <w:t>В 2024 году направлено на</w:t>
      </w:r>
      <w:r w:rsidRPr="00E47AA9">
        <w:rPr>
          <w:rFonts w:ascii="Times New Roman" w:eastAsia="Calibri" w:hAnsi="Times New Roman" w:cs="Times New Roman"/>
          <w:iCs/>
          <w:sz w:val="28"/>
          <w:szCs w:val="28"/>
        </w:rPr>
        <w:t xml:space="preserve">: </w:t>
      </w:r>
    </w:p>
    <w:p w14:paraId="0A8DD8B4" w14:textId="75A6A739" w:rsidR="006E0B6C" w:rsidRPr="00E47AA9" w:rsidRDefault="006E0B6C" w:rsidP="006E0B6C">
      <w:pPr>
        <w:autoSpaceDE w:val="0"/>
        <w:autoSpaceDN w:val="0"/>
        <w:spacing w:after="0" w:line="240" w:lineRule="auto"/>
        <w:ind w:firstLine="709"/>
        <w:jc w:val="both"/>
        <w:rPr>
          <w:rFonts w:ascii="Times New Roman" w:hAnsi="Times New Roman" w:cs="Times New Roman"/>
          <w:sz w:val="28"/>
          <w:szCs w:val="28"/>
        </w:rPr>
      </w:pPr>
      <w:r w:rsidRPr="00E47AA9">
        <w:rPr>
          <w:rFonts w:ascii="Times New Roman" w:eastAsia="Calibri" w:hAnsi="Times New Roman" w:cs="Times New Roman"/>
          <w:i/>
          <w:sz w:val="28"/>
          <w:szCs w:val="28"/>
        </w:rPr>
        <w:t xml:space="preserve">КПМ "Организация транспортного обслуживания населения железнодорожным транспортом в пригородном сообщении на территории Приморского края" – </w:t>
      </w:r>
      <w:r w:rsidRPr="00E47AA9">
        <w:rPr>
          <w:rFonts w:ascii="Times New Roman" w:eastAsia="Calibri" w:hAnsi="Times New Roman" w:cs="Times New Roman"/>
          <w:sz w:val="28"/>
          <w:szCs w:val="28"/>
        </w:rPr>
        <w:t xml:space="preserve">610,50 млн рублей, в запланированном объеме. Расходы осуществлены в объеме поступивших заявок АО "Экспресс Приморье". </w:t>
      </w:r>
      <w:r w:rsidRPr="00E47AA9">
        <w:rPr>
          <w:rFonts w:ascii="Times New Roman" w:eastAsia="Times New Roman" w:hAnsi="Times New Roman" w:cs="Times New Roman"/>
          <w:sz w:val="28"/>
          <w:szCs w:val="28"/>
          <w:lang w:eastAsia="ru-RU"/>
        </w:rPr>
        <w:t xml:space="preserve">За отчетный период объем </w:t>
      </w:r>
      <w:proofErr w:type="spellStart"/>
      <w:r w:rsidRPr="00E47AA9">
        <w:rPr>
          <w:rFonts w:ascii="Times New Roman" w:hAnsi="Times New Roman" w:cs="Times New Roman"/>
          <w:sz w:val="28"/>
          <w:szCs w:val="28"/>
        </w:rPr>
        <w:t>вагоно</w:t>
      </w:r>
      <w:proofErr w:type="spellEnd"/>
      <w:r w:rsidR="00613EC5" w:rsidRPr="00E47AA9">
        <w:rPr>
          <w:rFonts w:ascii="Times New Roman" w:hAnsi="Times New Roman" w:cs="Times New Roman"/>
          <w:sz w:val="28"/>
          <w:szCs w:val="28"/>
        </w:rPr>
        <w:t>-</w:t>
      </w:r>
      <w:r w:rsidRPr="00E47AA9">
        <w:rPr>
          <w:rFonts w:ascii="Times New Roman" w:hAnsi="Times New Roman" w:cs="Times New Roman"/>
          <w:sz w:val="28"/>
          <w:szCs w:val="28"/>
        </w:rPr>
        <w:t xml:space="preserve"> (</w:t>
      </w:r>
      <w:proofErr w:type="spellStart"/>
      <w:r w:rsidRPr="00E47AA9">
        <w:rPr>
          <w:rFonts w:ascii="Times New Roman" w:hAnsi="Times New Roman" w:cs="Times New Roman"/>
          <w:sz w:val="28"/>
          <w:szCs w:val="28"/>
        </w:rPr>
        <w:t>машино</w:t>
      </w:r>
      <w:proofErr w:type="spellEnd"/>
      <w:r w:rsidRPr="00E47AA9">
        <w:rPr>
          <w:rFonts w:ascii="Times New Roman" w:hAnsi="Times New Roman" w:cs="Times New Roman"/>
          <w:sz w:val="28"/>
          <w:szCs w:val="28"/>
        </w:rPr>
        <w:t>)-километров</w:t>
      </w:r>
      <w:r w:rsidRPr="00E47AA9">
        <w:rPr>
          <w:rFonts w:ascii="Times New Roman" w:eastAsia="Times New Roman" w:hAnsi="Times New Roman" w:cs="Times New Roman"/>
          <w:sz w:val="28"/>
          <w:szCs w:val="28"/>
          <w:lang w:eastAsia="ru-RU"/>
        </w:rPr>
        <w:t xml:space="preserve"> составил 10362,78 тыс</w:t>
      </w:r>
      <w:r w:rsidR="00B44C08" w:rsidRPr="00E47AA9">
        <w:rPr>
          <w:rFonts w:ascii="Times New Roman" w:eastAsia="Times New Roman" w:hAnsi="Times New Roman" w:cs="Times New Roman"/>
          <w:sz w:val="28"/>
          <w:szCs w:val="28"/>
          <w:lang w:eastAsia="ru-RU"/>
        </w:rPr>
        <w:t>яч</w:t>
      </w:r>
      <w:r w:rsidRPr="00E47AA9">
        <w:rPr>
          <w:rFonts w:ascii="Times New Roman" w:eastAsia="Calibri" w:hAnsi="Times New Roman" w:cs="Times New Roman"/>
          <w:sz w:val="28"/>
          <w:szCs w:val="28"/>
        </w:rPr>
        <w:t xml:space="preserve">, что на 44,30 </w:t>
      </w:r>
      <w:r w:rsidRPr="00E47AA9">
        <w:rPr>
          <w:rFonts w:ascii="Times New Roman" w:eastAsia="Times New Roman" w:hAnsi="Times New Roman" w:cs="Times New Roman"/>
          <w:sz w:val="28"/>
          <w:szCs w:val="28"/>
          <w:lang w:eastAsia="ru-RU"/>
        </w:rPr>
        <w:t>тыс</w:t>
      </w:r>
      <w:r w:rsidR="00B44C08" w:rsidRPr="00E47AA9">
        <w:rPr>
          <w:rFonts w:ascii="Times New Roman" w:eastAsia="Times New Roman" w:hAnsi="Times New Roman" w:cs="Times New Roman"/>
          <w:sz w:val="28"/>
          <w:szCs w:val="28"/>
          <w:lang w:eastAsia="ru-RU"/>
        </w:rPr>
        <w:t>ячи</w:t>
      </w:r>
      <w:r w:rsidRPr="00E47AA9">
        <w:rPr>
          <w:rFonts w:ascii="Times New Roman" w:eastAsia="Calibri" w:hAnsi="Times New Roman" w:cs="Times New Roman"/>
          <w:sz w:val="28"/>
          <w:szCs w:val="28"/>
        </w:rPr>
        <w:t xml:space="preserve"> выше показателя за 2023 год (10318,48</w:t>
      </w:r>
      <w:r w:rsidR="00AF0623" w:rsidRPr="00E47AA9">
        <w:rPr>
          <w:rFonts w:ascii="Times New Roman" w:eastAsia="Calibri" w:hAnsi="Times New Roman" w:cs="Times New Roman"/>
          <w:sz w:val="28"/>
          <w:szCs w:val="28"/>
        </w:rPr>
        <w:t> </w:t>
      </w:r>
      <w:r w:rsidR="00560959" w:rsidRPr="00E47AA9">
        <w:rPr>
          <w:rFonts w:ascii="Times New Roman" w:eastAsia="Times New Roman" w:hAnsi="Times New Roman" w:cs="Times New Roman"/>
          <w:sz w:val="28"/>
          <w:szCs w:val="28"/>
          <w:lang w:eastAsia="ru-RU"/>
        </w:rPr>
        <w:t>тыс</w:t>
      </w:r>
      <w:r w:rsidR="00AF0623" w:rsidRPr="00E47AA9">
        <w:rPr>
          <w:rFonts w:ascii="Times New Roman" w:eastAsia="Times New Roman" w:hAnsi="Times New Roman" w:cs="Times New Roman"/>
          <w:sz w:val="28"/>
          <w:szCs w:val="28"/>
          <w:lang w:eastAsia="ru-RU"/>
        </w:rPr>
        <w:t>яч)</w:t>
      </w:r>
      <w:r w:rsidRPr="00E47AA9">
        <w:rPr>
          <w:rFonts w:ascii="Times New Roman" w:eastAsia="Calibri" w:hAnsi="Times New Roman" w:cs="Times New Roman"/>
          <w:sz w:val="28"/>
          <w:szCs w:val="28"/>
        </w:rPr>
        <w:t>;</w:t>
      </w:r>
      <w:r w:rsidRPr="00E47AA9">
        <w:rPr>
          <w:rFonts w:ascii="Times New Roman" w:hAnsi="Times New Roman" w:cs="Times New Roman"/>
          <w:sz w:val="28"/>
          <w:szCs w:val="28"/>
        </w:rPr>
        <w:t xml:space="preserve"> </w:t>
      </w:r>
    </w:p>
    <w:p w14:paraId="7EBF1640" w14:textId="49123D47" w:rsidR="006E0B6C" w:rsidRPr="00E47AA9" w:rsidRDefault="006E0B6C" w:rsidP="006E0B6C">
      <w:pPr>
        <w:autoSpaceDE w:val="0"/>
        <w:autoSpaceDN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i/>
          <w:sz w:val="28"/>
          <w:szCs w:val="28"/>
        </w:rPr>
        <w:t>КПМ "Организация транспортного обслуживания населения воздушным транспортом на местных воздушных линиях Приморского края"</w:t>
      </w:r>
      <w:r w:rsidR="003F3FE7" w:rsidRPr="00E47AA9">
        <w:rPr>
          <w:rFonts w:ascii="Times New Roman" w:eastAsia="Calibri" w:hAnsi="Times New Roman" w:cs="Times New Roman"/>
          <w:i/>
          <w:sz w:val="28"/>
          <w:szCs w:val="28"/>
        </w:rPr>
        <w:t> </w:t>
      </w:r>
      <w:r w:rsidRPr="00E47AA9">
        <w:rPr>
          <w:rFonts w:ascii="Times New Roman" w:eastAsia="Calibri" w:hAnsi="Times New Roman" w:cs="Times New Roman"/>
          <w:sz w:val="28"/>
          <w:szCs w:val="28"/>
        </w:rPr>
        <w:t>– 815,09 млн рублей, или 99,11 % (плановые бюджетные ассигнования – 822,44 млн рублей), в том числе субсидии:</w:t>
      </w:r>
    </w:p>
    <w:p w14:paraId="03C5A38B" w14:textId="77777777" w:rsidR="006E0B6C" w:rsidRPr="00E47AA9" w:rsidRDefault="006E0B6C" w:rsidP="006E0B6C">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579,98 млн рублей</w:t>
      </w:r>
      <w:r w:rsidRPr="00E47AA9">
        <w:rPr>
          <w:rFonts w:ascii="Times New Roman" w:eastAsia="Calibri" w:hAnsi="Times New Roman" w:cs="Times New Roman"/>
          <w:sz w:val="28"/>
          <w:szCs w:val="28"/>
        </w:rPr>
        <w:t xml:space="preserve"> (в полном объеме) – </w:t>
      </w:r>
      <w:r w:rsidRPr="00E47AA9">
        <w:rPr>
          <w:rFonts w:ascii="Times New Roman" w:hAnsi="Times New Roman" w:cs="Times New Roman"/>
          <w:sz w:val="28"/>
          <w:szCs w:val="28"/>
        </w:rPr>
        <w:t>КГУАП "Пластун-Авиа" на финансовое обеспечение затрат на содержание и организацию эксплуатации аэропортов и (или) аэродромов, вертодромов, посадочных площадок гражданской авиации, воздушных судов, находящихся в собственности Приморского края и (или) приобретаемых по договорам финансовой аренды (лизинга) в собственность Приморского края, а также на приобретение имущества, необходимого для осуществления пассажирских перевозок на местных воздушных линиях в Приморском крае;</w:t>
      </w:r>
    </w:p>
    <w:p w14:paraId="501FBC93" w14:textId="4BE23827" w:rsidR="006E0B6C" w:rsidRPr="00E47AA9" w:rsidRDefault="006E0B6C" w:rsidP="006E0B6C">
      <w:pPr>
        <w:spacing w:after="0" w:line="240" w:lineRule="auto"/>
        <w:ind w:firstLine="680"/>
        <w:jc w:val="both"/>
        <w:rPr>
          <w:rFonts w:ascii="Times New Roman" w:hAnsi="Times New Roman" w:cs="Times New Roman"/>
          <w:sz w:val="28"/>
          <w:szCs w:val="28"/>
        </w:rPr>
      </w:pPr>
      <w:r w:rsidRPr="00E47AA9">
        <w:rPr>
          <w:rFonts w:ascii="Times New Roman" w:eastAsia="Calibri" w:hAnsi="Times New Roman" w:cs="Times New Roman"/>
          <w:sz w:val="28"/>
          <w:szCs w:val="28"/>
        </w:rPr>
        <w:t>235,11 млн рублей, или 96,97 % (план</w:t>
      </w:r>
      <w:r w:rsidR="00576C74"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 242,45 млн рублей), </w:t>
      </w:r>
      <w:r w:rsidR="003F3FE7"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из краевого бюджета юридическим лицам на возмещение недополученных доходов, возникающих в связи с регулированием органами исполнительной власти Приморского края тарифов на перевозки пассажиров и багажа воздушным </w:t>
      </w:r>
      <w:r w:rsidRPr="00E47AA9">
        <w:rPr>
          <w:rFonts w:ascii="Times New Roman" w:eastAsia="Calibri" w:hAnsi="Times New Roman" w:cs="Times New Roman"/>
          <w:sz w:val="28"/>
          <w:szCs w:val="28"/>
        </w:rPr>
        <w:lastRenderedPageBreak/>
        <w:t xml:space="preserve">транспортом на местных воздушных линиях. </w:t>
      </w:r>
      <w:r w:rsidRPr="00E47AA9">
        <w:rPr>
          <w:rFonts w:ascii="Times New Roman" w:hAnsi="Times New Roman" w:cs="Times New Roman"/>
          <w:sz w:val="28"/>
          <w:szCs w:val="28"/>
        </w:rPr>
        <w:t xml:space="preserve">Расходы исполнены в объеме представленных заявок перевозчиков (АО "Авиакомпания "Аврора", ООО "ГРАНАТ"). Причинами </w:t>
      </w:r>
      <w:proofErr w:type="spellStart"/>
      <w:r w:rsidRPr="00E47AA9">
        <w:rPr>
          <w:rFonts w:ascii="Times New Roman" w:hAnsi="Times New Roman" w:cs="Times New Roman"/>
          <w:sz w:val="28"/>
          <w:szCs w:val="28"/>
        </w:rPr>
        <w:t>неосвоения</w:t>
      </w:r>
      <w:proofErr w:type="spellEnd"/>
      <w:r w:rsidRPr="00E47AA9">
        <w:rPr>
          <w:rFonts w:ascii="Times New Roman" w:hAnsi="Times New Roman" w:cs="Times New Roman"/>
          <w:sz w:val="28"/>
          <w:szCs w:val="28"/>
        </w:rPr>
        <w:t xml:space="preserve"> планируемых расходов в сумме 7,34 млн рублей являются отмена авиарейсов по метеоусловиям, в связи с проведением технического осмотра и ремонта воздушных судов, непригодностью </w:t>
      </w:r>
      <w:r w:rsidRPr="00E47AA9">
        <w:rPr>
          <w:rFonts w:ascii="Times New Roman" w:hAnsi="Times New Roman" w:cs="Times New Roman"/>
          <w:bCs/>
          <w:sz w:val="28"/>
          <w:szCs w:val="28"/>
        </w:rPr>
        <w:t>взлётно-посадочной полосы</w:t>
      </w:r>
      <w:r w:rsidRPr="00E47AA9">
        <w:rPr>
          <w:rFonts w:ascii="Times New Roman" w:hAnsi="Times New Roman" w:cs="Times New Roman"/>
          <w:sz w:val="28"/>
          <w:szCs w:val="28"/>
        </w:rPr>
        <w:t xml:space="preserve"> по метеоусловиям, отсутствием коммерческой загрузки. За 2024 год воздушным транспортом в межмуниципальном и пригородном сообщении на территории Приморского края перевезено 21,4 тыс. человек. Результат предоставления субсидии "Количество рейсов воздушного транспорта в межмуниципальном и пригородном сообщении на территории Приморского края" составил 1630 рейсов при плане, установленном соглашением</w:t>
      </w:r>
      <w:r w:rsidR="003F3FE7" w:rsidRPr="00E47AA9">
        <w:rPr>
          <w:rFonts w:ascii="Times New Roman" w:hAnsi="Times New Roman" w:cs="Times New Roman"/>
          <w:sz w:val="28"/>
          <w:szCs w:val="28"/>
        </w:rPr>
        <w:t>,</w:t>
      </w:r>
      <w:r w:rsidRPr="00E47AA9">
        <w:rPr>
          <w:rFonts w:ascii="Times New Roman" w:hAnsi="Times New Roman" w:cs="Times New Roman"/>
          <w:sz w:val="28"/>
          <w:szCs w:val="28"/>
        </w:rPr>
        <w:t xml:space="preserve"> </w:t>
      </w:r>
      <w:r w:rsidR="003F3FE7" w:rsidRPr="00E47AA9">
        <w:rPr>
          <w:rFonts w:ascii="Times New Roman" w:hAnsi="Times New Roman" w:cs="Times New Roman"/>
          <w:sz w:val="28"/>
          <w:szCs w:val="28"/>
        </w:rPr>
        <w:t>–</w:t>
      </w:r>
      <w:r w:rsidRPr="00E47AA9">
        <w:rPr>
          <w:rFonts w:ascii="Times New Roman" w:hAnsi="Times New Roman" w:cs="Times New Roman"/>
          <w:sz w:val="28"/>
          <w:szCs w:val="28"/>
        </w:rPr>
        <w:t xml:space="preserve"> 1880 рейсов. Кроме того, в 2024 году вертолетами санитарной авиации осуществлено 218 вылетов (налет 651 час), в краевые больницы во Владивостоке из районов доставлены 206 пациентов, оказано 12 консультаций;</w:t>
      </w:r>
    </w:p>
    <w:p w14:paraId="6C922C44" w14:textId="77777777" w:rsidR="006E0B6C" w:rsidRPr="00E47AA9" w:rsidRDefault="006E0B6C" w:rsidP="006E0B6C">
      <w:pPr>
        <w:spacing w:after="0" w:line="240" w:lineRule="auto"/>
        <w:ind w:firstLine="680"/>
        <w:jc w:val="both"/>
        <w:rPr>
          <w:rFonts w:ascii="Times New Roman" w:eastAsia="Calibri" w:hAnsi="Times New Roman" w:cs="Times New Roman"/>
          <w:sz w:val="28"/>
          <w:szCs w:val="28"/>
        </w:rPr>
      </w:pPr>
      <w:r w:rsidRPr="00E47AA9">
        <w:rPr>
          <w:rFonts w:ascii="Times New Roman" w:hAnsi="Times New Roman" w:cs="Times New Roman"/>
          <w:i/>
          <w:sz w:val="28"/>
          <w:szCs w:val="28"/>
        </w:rPr>
        <w:t xml:space="preserve">КПМ "Организация транспортного обслуживания населения морским транспортом в границах Приморского края" </w:t>
      </w:r>
      <w:r w:rsidRPr="00E47AA9">
        <w:rPr>
          <w:rFonts w:ascii="Times New Roman" w:hAnsi="Times New Roman" w:cs="Times New Roman"/>
          <w:sz w:val="28"/>
          <w:szCs w:val="28"/>
        </w:rPr>
        <w:t>– 40,00 млн рублей на приобретение морского пассажирского (грузопассажирского) судна.</w:t>
      </w:r>
    </w:p>
    <w:p w14:paraId="3EB916E0" w14:textId="77777777" w:rsidR="006E0B6C" w:rsidRPr="00E47AA9" w:rsidRDefault="006E0B6C" w:rsidP="006E0B6C">
      <w:pPr>
        <w:spacing w:after="0" w:line="240" w:lineRule="auto"/>
        <w:ind w:firstLine="680"/>
        <w:jc w:val="both"/>
        <w:rPr>
          <w:rFonts w:ascii="Times New Roman" w:eastAsia="Calibri" w:hAnsi="Times New Roman" w:cs="Times New Roman"/>
          <w:b/>
          <w:sz w:val="28"/>
          <w:szCs w:val="28"/>
        </w:rPr>
      </w:pPr>
      <w:r w:rsidRPr="00E47AA9">
        <w:rPr>
          <w:rFonts w:ascii="Times New Roman" w:eastAsia="Calibri" w:hAnsi="Times New Roman" w:cs="Times New Roman"/>
          <w:b/>
          <w:sz w:val="28"/>
          <w:szCs w:val="28"/>
        </w:rPr>
        <w:t xml:space="preserve">Подпрограмма "Управление в сфере реализации развития транспортного комплекса и дорожной отрасли в Приморском крае" </w:t>
      </w:r>
    </w:p>
    <w:p w14:paraId="5DAF780C" w14:textId="170BC278" w:rsidR="006E0B6C" w:rsidRPr="00E47AA9" w:rsidRDefault="006E0B6C" w:rsidP="006E0B6C">
      <w:pPr>
        <w:spacing w:after="0" w:line="240" w:lineRule="auto"/>
        <w:ind w:firstLine="68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Средства направлены на </w:t>
      </w:r>
      <w:r w:rsidRPr="00E47AA9">
        <w:rPr>
          <w:rFonts w:ascii="Times New Roman" w:eastAsia="Calibri" w:hAnsi="Times New Roman" w:cs="Times New Roman"/>
          <w:i/>
          <w:sz w:val="28"/>
          <w:szCs w:val="28"/>
        </w:rPr>
        <w:t>КПМ "Государственное управление и регулирование в сфере транспорта и дорожного хозяйства Приморского края</w:t>
      </w:r>
      <w:r w:rsidRPr="00E47AA9">
        <w:rPr>
          <w:rFonts w:ascii="Times New Roman" w:eastAsia="Calibri" w:hAnsi="Times New Roman" w:cs="Times New Roman"/>
          <w:sz w:val="28"/>
          <w:szCs w:val="28"/>
        </w:rPr>
        <w:t xml:space="preserve">"– 1172,24 млн рублей, или 99,36 % (план </w:t>
      </w:r>
      <w:r w:rsidR="00576C74"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1179,82 млн рублей), из них:</w:t>
      </w:r>
    </w:p>
    <w:p w14:paraId="2F9D5B0C" w14:textId="2763F1E4" w:rsidR="006E0B6C" w:rsidRPr="00E47AA9" w:rsidRDefault="006E0B6C" w:rsidP="006E0B6C">
      <w:pPr>
        <w:autoSpaceDE w:val="0"/>
        <w:autoSpaceDN w:val="0"/>
        <w:adjustRightInd w:val="0"/>
        <w:spacing w:after="0" w:line="240" w:lineRule="auto"/>
        <w:ind w:firstLine="709"/>
        <w:jc w:val="both"/>
        <w:rPr>
          <w:rFonts w:ascii="Times New Roman" w:eastAsia="Calibri" w:hAnsi="Times New Roman" w:cs="Times New Roman"/>
          <w:i/>
          <w:sz w:val="28"/>
          <w:szCs w:val="28"/>
        </w:rPr>
      </w:pPr>
      <w:r w:rsidRPr="00E47AA9">
        <w:rPr>
          <w:rFonts w:ascii="Times New Roman" w:eastAsia="Calibri" w:hAnsi="Times New Roman" w:cs="Times New Roman"/>
          <w:sz w:val="28"/>
          <w:szCs w:val="28"/>
        </w:rPr>
        <w:t>817,81 млн рублей, или 99,19 % (824,51 млн рублей)</w:t>
      </w:r>
      <w:r w:rsidR="003F3FE7"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 на управление и распоряжение имуществом, находящимся в собственности и ведении Приморского края;</w:t>
      </w:r>
    </w:p>
    <w:p w14:paraId="42BAAA69" w14:textId="39304432" w:rsidR="006E0B6C" w:rsidRPr="00E47AA9" w:rsidRDefault="006E0B6C" w:rsidP="006E0B6C">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183,85 млн рублей, или на 99,87 % (план </w:t>
      </w:r>
      <w:r w:rsidR="00576C74"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184,08 млн рублей) – на руководство и управление министерства транспорта и дорожного хозяйства Приморского края.</w:t>
      </w:r>
    </w:p>
    <w:p w14:paraId="0E2849D3" w14:textId="77777777" w:rsidR="000711E6" w:rsidRPr="00E47AA9" w:rsidRDefault="000711E6" w:rsidP="000711E6">
      <w:pPr>
        <w:spacing w:after="0" w:line="240" w:lineRule="auto"/>
        <w:jc w:val="center"/>
        <w:rPr>
          <w:rFonts w:ascii="Times New Roman" w:eastAsia="Calibri" w:hAnsi="Times New Roman" w:cs="Times New Roman"/>
          <w:sz w:val="28"/>
          <w:szCs w:val="28"/>
        </w:rPr>
      </w:pPr>
    </w:p>
    <w:p w14:paraId="3AA4E8A9" w14:textId="77777777" w:rsidR="000711E6" w:rsidRPr="00E47AA9" w:rsidRDefault="000711E6" w:rsidP="000711E6">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noProof/>
          <w:sz w:val="20"/>
          <w:szCs w:val="20"/>
          <w:lang w:eastAsia="ru-RU"/>
        </w:rPr>
        <w:drawing>
          <wp:anchor distT="0" distB="0" distL="114300" distR="114300" simplePos="0" relativeHeight="251684864" behindDoc="0" locked="0" layoutInCell="1" allowOverlap="1" wp14:anchorId="1AA72971" wp14:editId="19ED8A9A">
            <wp:simplePos x="0" y="0"/>
            <wp:positionH relativeFrom="column">
              <wp:posOffset>32385</wp:posOffset>
            </wp:positionH>
            <wp:positionV relativeFrom="paragraph">
              <wp:posOffset>65314</wp:posOffset>
            </wp:positionV>
            <wp:extent cx="1189355" cy="1183640"/>
            <wp:effectExtent l="0" t="0" r="0" b="0"/>
            <wp:wrapSquare wrapText="bothSides"/>
            <wp:docPr id="63" name="Рисунок 63" descr="C:\Users\zavzyataya_sv\Desktop\Картинки к исполнению\4425939_stock-vector-non-renewable-energy-ic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zavzyataya_sv\Desktop\Картинки к исполнению\4425939_stock-vector-non-renewable-energy-icons.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189355" cy="1183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AA9">
        <w:rPr>
          <w:rFonts w:ascii="Times New Roman" w:eastAsia="Times New Roman" w:hAnsi="Times New Roman" w:cs="Times New Roman"/>
          <w:b/>
          <w:sz w:val="28"/>
          <w:szCs w:val="28"/>
          <w:lang w:eastAsia="ru-RU"/>
        </w:rPr>
        <w:t xml:space="preserve">5.2.13. Государственная программа Приморского края "Энергоэффективность, развитие газоснабжения и энергетики в Приморском крае" </w:t>
      </w:r>
    </w:p>
    <w:p w14:paraId="637E8065" w14:textId="79D96E91" w:rsidR="007E6BA1" w:rsidRPr="00E47AA9" w:rsidRDefault="007E6BA1" w:rsidP="007E6BA1">
      <w:pPr>
        <w:spacing w:after="0" w:line="240" w:lineRule="auto"/>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Уточненные бюджетные назначения на 2024 год </w:t>
      </w:r>
      <w:r w:rsidRPr="00E47AA9">
        <w:rPr>
          <w:rFonts w:ascii="Times New Roman" w:eastAsia="Times New Roman" w:hAnsi="Times New Roman" w:cs="Times New Roman"/>
          <w:sz w:val="28"/>
          <w:szCs w:val="28"/>
        </w:rPr>
        <w:br/>
        <w:t xml:space="preserve">на реализацию ГП составили 2995,53 млн рублей, исполнение </w:t>
      </w:r>
      <w:r w:rsidR="003F3FE7"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89,56 %, или 2682,68 млн рублей, в том числе за счет средств Фонда развития территорий – 319,07 млн рублей, или 93,50 % (плановые бюджетные ассигнования – 341,24 млн рублей). </w:t>
      </w:r>
    </w:p>
    <w:p w14:paraId="07109D34" w14:textId="2573B47A" w:rsidR="007E6BA1" w:rsidRPr="00E47AA9" w:rsidRDefault="007E6BA1" w:rsidP="007E6BA1">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Ответственным исполнителем ГП является </w:t>
      </w:r>
      <w:r w:rsidRPr="00E47AA9">
        <w:rPr>
          <w:rFonts w:ascii="Times New Roman" w:eastAsia="Times New Roman" w:hAnsi="Times New Roman" w:cs="Times New Roman"/>
          <w:sz w:val="28"/>
          <w:szCs w:val="28"/>
          <w:lang w:eastAsia="ru-RU"/>
        </w:rPr>
        <w:t>министерство жилищно-коммунального хозяйства Приморского края</w:t>
      </w:r>
      <w:r w:rsidR="00560959" w:rsidRPr="00E47AA9">
        <w:rPr>
          <w:rFonts w:ascii="Times New Roman" w:eastAsia="Times New Roman" w:hAnsi="Times New Roman" w:cs="Times New Roman"/>
          <w:sz w:val="28"/>
          <w:szCs w:val="28"/>
          <w:lang w:eastAsia="ru-RU"/>
        </w:rPr>
        <w:t xml:space="preserve"> (далее – министерство ЖКХ),</w:t>
      </w:r>
      <w:r w:rsidRPr="00E47AA9">
        <w:rPr>
          <w:rFonts w:ascii="Times New Roman" w:eastAsia="Times New Roman" w:hAnsi="Times New Roman" w:cs="Times New Roman"/>
          <w:sz w:val="28"/>
          <w:szCs w:val="28"/>
        </w:rPr>
        <w:t xml:space="preserve"> который занимает долю 49,90 %, или 1744,76 млн рублей</w:t>
      </w:r>
      <w:r w:rsidR="003F3FE7"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в объеме исполненных расходов. В 2024 году соисполнителем ГП являлось </w:t>
      </w:r>
      <w:r w:rsidRPr="00E47AA9">
        <w:rPr>
          <w:rFonts w:ascii="Times New Roman" w:eastAsia="Times New Roman" w:hAnsi="Times New Roman" w:cs="Times New Roman"/>
          <w:sz w:val="28"/>
          <w:szCs w:val="28"/>
          <w:lang w:eastAsia="ru-RU"/>
        </w:rPr>
        <w:t xml:space="preserve">министерство энергетики и газоснабжения Приморского края (далее – </w:t>
      </w:r>
      <w:r w:rsidRPr="00E47AA9">
        <w:rPr>
          <w:rFonts w:ascii="Times New Roman" w:eastAsia="Times New Roman" w:hAnsi="Times New Roman" w:cs="Times New Roman"/>
          <w:sz w:val="28"/>
          <w:szCs w:val="28"/>
          <w:lang w:eastAsia="ru-RU"/>
        </w:rPr>
        <w:lastRenderedPageBreak/>
        <w:t>министерство</w:t>
      </w:r>
      <w:r w:rsidR="00C56909" w:rsidRPr="00E47AA9">
        <w:rPr>
          <w:rFonts w:ascii="Times New Roman" w:eastAsia="Times New Roman" w:hAnsi="Times New Roman" w:cs="Times New Roman"/>
          <w:sz w:val="28"/>
          <w:szCs w:val="28"/>
          <w:lang w:eastAsia="ru-RU"/>
        </w:rPr>
        <w:t xml:space="preserve"> энергетики</w:t>
      </w:r>
      <w:r w:rsidRPr="00E47AA9">
        <w:rPr>
          <w:rFonts w:ascii="Times New Roman" w:eastAsia="Times New Roman" w:hAnsi="Times New Roman" w:cs="Times New Roman"/>
          <w:sz w:val="28"/>
          <w:szCs w:val="28"/>
          <w:lang w:eastAsia="ru-RU"/>
        </w:rPr>
        <w:t>)</w:t>
      </w:r>
      <w:r w:rsidR="00C5690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которым осуществлялась реализация мероприятий на сумму 1250,77 млн рублей (в структуре доля 50,10 %).</w:t>
      </w:r>
    </w:p>
    <w:p w14:paraId="236B86B2" w14:textId="77777777" w:rsidR="007E6BA1" w:rsidRPr="00E47AA9" w:rsidRDefault="007E6BA1" w:rsidP="007E6BA1">
      <w:pPr>
        <w:spacing w:after="0" w:line="240" w:lineRule="auto"/>
        <w:ind w:firstLine="709"/>
        <w:jc w:val="both"/>
        <w:outlineLvl w:val="4"/>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структуру ГП входит 8 комплексов процессных мероприятий, один ведомственный проект и региональный проект.</w:t>
      </w:r>
    </w:p>
    <w:p w14:paraId="6F1B13FB" w14:textId="77777777" w:rsidR="007E6BA1" w:rsidRPr="00E47AA9" w:rsidRDefault="007E6BA1" w:rsidP="007E6BA1">
      <w:pPr>
        <w:spacing w:after="0" w:line="240" w:lineRule="auto"/>
        <w:ind w:firstLine="709"/>
        <w:jc w:val="both"/>
        <w:outlineLvl w:val="4"/>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Структура ГП на 2024 год сформирована в разрезе следующих элементов.</w:t>
      </w:r>
    </w:p>
    <w:tbl>
      <w:tblPr>
        <w:tblW w:w="9369" w:type="dxa"/>
        <w:tblInd w:w="-5" w:type="dxa"/>
        <w:tblLook w:val="04A0" w:firstRow="1" w:lastRow="0" w:firstColumn="1" w:lastColumn="0" w:noHBand="0" w:noVBand="1"/>
      </w:tblPr>
      <w:tblGrid>
        <w:gridCol w:w="3261"/>
        <w:gridCol w:w="1389"/>
        <w:gridCol w:w="1159"/>
        <w:gridCol w:w="1221"/>
        <w:gridCol w:w="1156"/>
        <w:gridCol w:w="1183"/>
      </w:tblGrid>
      <w:tr w:rsidR="00E47AA9" w:rsidRPr="00E47AA9" w14:paraId="0D4D45D5" w14:textId="77777777" w:rsidTr="00D717FF">
        <w:trPr>
          <w:trHeight w:val="20"/>
          <w:tblHeader/>
        </w:trPr>
        <w:tc>
          <w:tcPr>
            <w:tcW w:w="3261" w:type="dxa"/>
            <w:tcBorders>
              <w:bottom w:val="single" w:sz="4" w:space="0" w:color="auto"/>
            </w:tcBorders>
            <w:shd w:val="clear" w:color="auto" w:fill="auto"/>
            <w:vAlign w:val="center"/>
          </w:tcPr>
          <w:p w14:paraId="7CDA82A9" w14:textId="77777777" w:rsidR="007E6BA1" w:rsidRPr="00E47AA9" w:rsidRDefault="007E6BA1" w:rsidP="00D717FF">
            <w:pPr>
              <w:spacing w:after="0" w:line="240" w:lineRule="auto"/>
              <w:jc w:val="center"/>
              <w:rPr>
                <w:rFonts w:ascii="Times New Roman" w:eastAsia="Times New Roman" w:hAnsi="Times New Roman" w:cs="Times New Roman"/>
                <w:sz w:val="20"/>
                <w:szCs w:val="20"/>
                <w:lang w:eastAsia="ru-RU"/>
              </w:rPr>
            </w:pPr>
          </w:p>
        </w:tc>
        <w:tc>
          <w:tcPr>
            <w:tcW w:w="1389" w:type="dxa"/>
            <w:tcBorders>
              <w:bottom w:val="single" w:sz="4" w:space="0" w:color="auto"/>
            </w:tcBorders>
            <w:shd w:val="clear" w:color="auto" w:fill="auto"/>
            <w:vAlign w:val="center"/>
          </w:tcPr>
          <w:p w14:paraId="65D37E9C" w14:textId="77777777" w:rsidR="007E6BA1" w:rsidRPr="00E47AA9" w:rsidRDefault="007E6BA1" w:rsidP="00D717FF">
            <w:pPr>
              <w:spacing w:after="0" w:line="240" w:lineRule="auto"/>
              <w:jc w:val="center"/>
              <w:rPr>
                <w:rFonts w:ascii="Times New Roman" w:eastAsia="Times New Roman" w:hAnsi="Times New Roman" w:cs="Times New Roman"/>
                <w:sz w:val="20"/>
                <w:szCs w:val="20"/>
                <w:lang w:eastAsia="ru-RU"/>
              </w:rPr>
            </w:pPr>
          </w:p>
        </w:tc>
        <w:tc>
          <w:tcPr>
            <w:tcW w:w="1159" w:type="dxa"/>
            <w:tcBorders>
              <w:bottom w:val="single" w:sz="4" w:space="0" w:color="auto"/>
            </w:tcBorders>
            <w:shd w:val="clear" w:color="auto" w:fill="auto"/>
            <w:vAlign w:val="center"/>
          </w:tcPr>
          <w:p w14:paraId="7DAD1231" w14:textId="77777777" w:rsidR="007E6BA1" w:rsidRPr="00E47AA9" w:rsidRDefault="007E6BA1" w:rsidP="00D717FF">
            <w:pPr>
              <w:spacing w:after="0" w:line="240" w:lineRule="auto"/>
              <w:jc w:val="center"/>
              <w:rPr>
                <w:rFonts w:ascii="Times New Roman" w:eastAsia="Times New Roman" w:hAnsi="Times New Roman" w:cs="Times New Roman"/>
                <w:sz w:val="20"/>
                <w:szCs w:val="20"/>
                <w:lang w:eastAsia="ru-RU"/>
              </w:rPr>
            </w:pPr>
          </w:p>
        </w:tc>
        <w:tc>
          <w:tcPr>
            <w:tcW w:w="1221" w:type="dxa"/>
            <w:tcBorders>
              <w:bottom w:val="single" w:sz="4" w:space="0" w:color="auto"/>
            </w:tcBorders>
            <w:shd w:val="clear" w:color="auto" w:fill="auto"/>
            <w:vAlign w:val="center"/>
          </w:tcPr>
          <w:p w14:paraId="739FD4BD" w14:textId="77777777" w:rsidR="007E6BA1" w:rsidRPr="00E47AA9" w:rsidRDefault="007E6BA1" w:rsidP="00D717FF">
            <w:pPr>
              <w:spacing w:after="0" w:line="240" w:lineRule="auto"/>
              <w:jc w:val="center"/>
              <w:rPr>
                <w:rFonts w:ascii="Times New Roman" w:eastAsia="Times New Roman" w:hAnsi="Times New Roman" w:cs="Times New Roman"/>
                <w:sz w:val="20"/>
                <w:szCs w:val="20"/>
                <w:lang w:eastAsia="ru-RU"/>
              </w:rPr>
            </w:pPr>
          </w:p>
        </w:tc>
        <w:tc>
          <w:tcPr>
            <w:tcW w:w="2339" w:type="dxa"/>
            <w:gridSpan w:val="2"/>
            <w:tcBorders>
              <w:bottom w:val="single" w:sz="4" w:space="0" w:color="auto"/>
            </w:tcBorders>
            <w:shd w:val="clear" w:color="auto" w:fill="auto"/>
            <w:vAlign w:val="center"/>
          </w:tcPr>
          <w:p w14:paraId="55B14913" w14:textId="77777777" w:rsidR="007E6BA1" w:rsidRPr="00E47AA9" w:rsidRDefault="007E6BA1" w:rsidP="00D717FF">
            <w:pPr>
              <w:spacing w:after="0" w:line="240" w:lineRule="auto"/>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31FC5F89" w14:textId="77777777" w:rsidTr="00D717FF">
        <w:trPr>
          <w:trHeight w:val="20"/>
          <w:tblHeader/>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7CAD61" w14:textId="77777777" w:rsidR="007E6BA1" w:rsidRPr="00E47AA9" w:rsidRDefault="007E6BA1" w:rsidP="00D717FF">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ГП, типа структурного элемента</w:t>
            </w:r>
          </w:p>
        </w:tc>
        <w:tc>
          <w:tcPr>
            <w:tcW w:w="1389" w:type="dxa"/>
            <w:tcBorders>
              <w:top w:val="single" w:sz="4" w:space="0" w:color="auto"/>
              <w:left w:val="nil"/>
              <w:bottom w:val="single" w:sz="4" w:space="0" w:color="auto"/>
              <w:right w:val="single" w:sz="4" w:space="0" w:color="auto"/>
            </w:tcBorders>
            <w:shd w:val="clear" w:color="auto" w:fill="auto"/>
            <w:vAlign w:val="center"/>
            <w:hideMark/>
          </w:tcPr>
          <w:p w14:paraId="12145A80" w14:textId="77777777" w:rsidR="007E6BA1" w:rsidRPr="00E47AA9" w:rsidRDefault="007E6BA1" w:rsidP="00D717FF">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1159" w:type="dxa"/>
            <w:tcBorders>
              <w:top w:val="single" w:sz="4" w:space="0" w:color="auto"/>
              <w:left w:val="nil"/>
              <w:bottom w:val="single" w:sz="4" w:space="0" w:color="auto"/>
              <w:right w:val="single" w:sz="4" w:space="0" w:color="auto"/>
            </w:tcBorders>
            <w:shd w:val="clear" w:color="auto" w:fill="auto"/>
            <w:vAlign w:val="center"/>
            <w:hideMark/>
          </w:tcPr>
          <w:p w14:paraId="31E0A86F" w14:textId="77777777" w:rsidR="007E6BA1" w:rsidRPr="00E47AA9" w:rsidRDefault="007E6BA1" w:rsidP="00D717FF">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221" w:type="dxa"/>
            <w:tcBorders>
              <w:top w:val="single" w:sz="4" w:space="0" w:color="auto"/>
              <w:left w:val="nil"/>
              <w:bottom w:val="single" w:sz="4" w:space="0" w:color="auto"/>
              <w:right w:val="single" w:sz="4" w:space="0" w:color="auto"/>
            </w:tcBorders>
            <w:shd w:val="clear" w:color="auto" w:fill="auto"/>
            <w:vAlign w:val="center"/>
            <w:hideMark/>
          </w:tcPr>
          <w:p w14:paraId="12AA6C30" w14:textId="77777777" w:rsidR="007E6BA1" w:rsidRPr="00E47AA9" w:rsidRDefault="007E6BA1" w:rsidP="00D717FF">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исполнения</w:t>
            </w:r>
          </w:p>
        </w:tc>
        <w:tc>
          <w:tcPr>
            <w:tcW w:w="1156" w:type="dxa"/>
            <w:tcBorders>
              <w:top w:val="single" w:sz="4" w:space="0" w:color="auto"/>
              <w:left w:val="nil"/>
              <w:bottom w:val="single" w:sz="4" w:space="0" w:color="auto"/>
              <w:right w:val="single" w:sz="4" w:space="0" w:color="auto"/>
            </w:tcBorders>
            <w:shd w:val="clear" w:color="auto" w:fill="auto"/>
            <w:vAlign w:val="center"/>
            <w:hideMark/>
          </w:tcPr>
          <w:p w14:paraId="2F053A51" w14:textId="77777777" w:rsidR="007E6BA1" w:rsidRPr="00E47AA9" w:rsidRDefault="007E6BA1" w:rsidP="00D717FF">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Удельный вес, %</w:t>
            </w:r>
          </w:p>
        </w:tc>
        <w:tc>
          <w:tcPr>
            <w:tcW w:w="1183" w:type="dxa"/>
            <w:tcBorders>
              <w:top w:val="single" w:sz="4" w:space="0" w:color="auto"/>
              <w:left w:val="nil"/>
              <w:bottom w:val="single" w:sz="4" w:space="0" w:color="auto"/>
              <w:right w:val="single" w:sz="4" w:space="0" w:color="auto"/>
            </w:tcBorders>
            <w:shd w:val="clear" w:color="auto" w:fill="auto"/>
            <w:vAlign w:val="center"/>
            <w:hideMark/>
          </w:tcPr>
          <w:p w14:paraId="769AF6D6" w14:textId="77777777" w:rsidR="007E6BA1" w:rsidRPr="00E47AA9" w:rsidRDefault="007E6BA1" w:rsidP="00D717FF">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r>
      <w:tr w:rsidR="00E47AA9" w:rsidRPr="00E47AA9" w14:paraId="2C312FCA" w14:textId="77777777" w:rsidTr="00D717FF">
        <w:trPr>
          <w:trHeight w:val="20"/>
        </w:trPr>
        <w:tc>
          <w:tcPr>
            <w:tcW w:w="3261" w:type="dxa"/>
            <w:tcBorders>
              <w:top w:val="nil"/>
              <w:left w:val="single" w:sz="4" w:space="0" w:color="auto"/>
              <w:bottom w:val="single" w:sz="4" w:space="0" w:color="auto"/>
              <w:right w:val="single" w:sz="4" w:space="0" w:color="auto"/>
            </w:tcBorders>
            <w:shd w:val="clear" w:color="auto" w:fill="auto"/>
            <w:vAlign w:val="center"/>
            <w:hideMark/>
          </w:tcPr>
          <w:p w14:paraId="39E9E4E9" w14:textId="77777777" w:rsidR="007E6BA1" w:rsidRPr="00E47AA9" w:rsidRDefault="007E6BA1" w:rsidP="00D717FF">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Расходы по ГП всего,</w:t>
            </w:r>
          </w:p>
          <w:p w14:paraId="5CFF85D3" w14:textId="77777777" w:rsidR="007E6BA1" w:rsidRPr="00E47AA9" w:rsidRDefault="007E6BA1" w:rsidP="00D717FF">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 том числе</w:t>
            </w:r>
          </w:p>
        </w:tc>
        <w:tc>
          <w:tcPr>
            <w:tcW w:w="1389" w:type="dxa"/>
            <w:tcBorders>
              <w:top w:val="nil"/>
              <w:left w:val="nil"/>
              <w:bottom w:val="single" w:sz="4" w:space="0" w:color="auto"/>
              <w:right w:val="single" w:sz="4" w:space="0" w:color="auto"/>
            </w:tcBorders>
            <w:shd w:val="clear" w:color="auto" w:fill="auto"/>
            <w:vAlign w:val="center"/>
            <w:hideMark/>
          </w:tcPr>
          <w:p w14:paraId="51BDDEEC" w14:textId="77777777" w:rsidR="007E6BA1" w:rsidRPr="00E47AA9" w:rsidRDefault="007E6BA1"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2995,53</w:t>
            </w:r>
          </w:p>
        </w:tc>
        <w:tc>
          <w:tcPr>
            <w:tcW w:w="1159" w:type="dxa"/>
            <w:tcBorders>
              <w:top w:val="nil"/>
              <w:left w:val="nil"/>
              <w:bottom w:val="single" w:sz="4" w:space="0" w:color="auto"/>
              <w:right w:val="single" w:sz="4" w:space="0" w:color="auto"/>
            </w:tcBorders>
            <w:shd w:val="clear" w:color="auto" w:fill="auto"/>
            <w:vAlign w:val="center"/>
            <w:hideMark/>
          </w:tcPr>
          <w:p w14:paraId="7C1DD374" w14:textId="77777777" w:rsidR="007E6BA1" w:rsidRPr="00E47AA9" w:rsidRDefault="007E6BA1"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2682,68</w:t>
            </w:r>
          </w:p>
        </w:tc>
        <w:tc>
          <w:tcPr>
            <w:tcW w:w="1221" w:type="dxa"/>
            <w:tcBorders>
              <w:top w:val="nil"/>
              <w:left w:val="nil"/>
              <w:bottom w:val="single" w:sz="4" w:space="0" w:color="auto"/>
              <w:right w:val="single" w:sz="4" w:space="0" w:color="auto"/>
            </w:tcBorders>
            <w:shd w:val="clear" w:color="auto" w:fill="auto"/>
            <w:vAlign w:val="center"/>
            <w:hideMark/>
          </w:tcPr>
          <w:p w14:paraId="1F461389" w14:textId="77777777" w:rsidR="007E6BA1" w:rsidRPr="00E47AA9" w:rsidRDefault="007E6BA1"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89,56</w:t>
            </w:r>
          </w:p>
        </w:tc>
        <w:tc>
          <w:tcPr>
            <w:tcW w:w="1156" w:type="dxa"/>
            <w:tcBorders>
              <w:top w:val="nil"/>
              <w:left w:val="nil"/>
              <w:bottom w:val="single" w:sz="4" w:space="0" w:color="auto"/>
              <w:right w:val="single" w:sz="4" w:space="0" w:color="auto"/>
            </w:tcBorders>
            <w:shd w:val="clear" w:color="auto" w:fill="auto"/>
            <w:vAlign w:val="center"/>
            <w:hideMark/>
          </w:tcPr>
          <w:p w14:paraId="5E683520" w14:textId="77777777" w:rsidR="007E6BA1" w:rsidRPr="00E47AA9" w:rsidRDefault="007E6BA1"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c>
          <w:tcPr>
            <w:tcW w:w="1183" w:type="dxa"/>
            <w:tcBorders>
              <w:top w:val="nil"/>
              <w:left w:val="nil"/>
              <w:bottom w:val="single" w:sz="4" w:space="0" w:color="auto"/>
              <w:right w:val="single" w:sz="4" w:space="0" w:color="auto"/>
            </w:tcBorders>
            <w:shd w:val="clear" w:color="auto" w:fill="auto"/>
            <w:vAlign w:val="center"/>
            <w:hideMark/>
          </w:tcPr>
          <w:p w14:paraId="5ECAFBF8" w14:textId="77777777" w:rsidR="007E6BA1" w:rsidRPr="00E47AA9" w:rsidRDefault="007E6BA1"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312,85</w:t>
            </w:r>
          </w:p>
        </w:tc>
      </w:tr>
      <w:tr w:rsidR="00E47AA9" w:rsidRPr="00E47AA9" w14:paraId="208BE4D1" w14:textId="77777777" w:rsidTr="00D717FF">
        <w:trPr>
          <w:trHeight w:val="20"/>
        </w:trPr>
        <w:tc>
          <w:tcPr>
            <w:tcW w:w="3261" w:type="dxa"/>
            <w:tcBorders>
              <w:top w:val="nil"/>
              <w:left w:val="single" w:sz="4" w:space="0" w:color="auto"/>
              <w:bottom w:val="single" w:sz="4" w:space="0" w:color="auto"/>
              <w:right w:val="single" w:sz="4" w:space="0" w:color="auto"/>
            </w:tcBorders>
            <w:shd w:val="clear" w:color="auto" w:fill="auto"/>
            <w:vAlign w:val="center"/>
            <w:hideMark/>
          </w:tcPr>
          <w:p w14:paraId="760311ED" w14:textId="77777777" w:rsidR="007E6BA1" w:rsidRPr="00E47AA9" w:rsidRDefault="007E6BA1" w:rsidP="00D717FF">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проектные мероприятия</w:t>
            </w:r>
          </w:p>
        </w:tc>
        <w:tc>
          <w:tcPr>
            <w:tcW w:w="1389" w:type="dxa"/>
            <w:tcBorders>
              <w:top w:val="nil"/>
              <w:left w:val="nil"/>
              <w:bottom w:val="single" w:sz="4" w:space="0" w:color="auto"/>
              <w:right w:val="single" w:sz="4" w:space="0" w:color="auto"/>
            </w:tcBorders>
            <w:shd w:val="clear" w:color="auto" w:fill="auto"/>
            <w:vAlign w:val="center"/>
            <w:hideMark/>
          </w:tcPr>
          <w:p w14:paraId="6ED39E1E" w14:textId="77777777" w:rsidR="007E6BA1" w:rsidRPr="00E47AA9" w:rsidRDefault="007E6BA1"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69,00</w:t>
            </w:r>
          </w:p>
        </w:tc>
        <w:tc>
          <w:tcPr>
            <w:tcW w:w="1159" w:type="dxa"/>
            <w:tcBorders>
              <w:top w:val="nil"/>
              <w:left w:val="nil"/>
              <w:bottom w:val="single" w:sz="4" w:space="0" w:color="auto"/>
              <w:right w:val="single" w:sz="4" w:space="0" w:color="auto"/>
            </w:tcBorders>
            <w:shd w:val="clear" w:color="auto" w:fill="auto"/>
            <w:vAlign w:val="center"/>
            <w:hideMark/>
          </w:tcPr>
          <w:p w14:paraId="4765C9D4" w14:textId="77777777" w:rsidR="007E6BA1" w:rsidRPr="00E47AA9" w:rsidRDefault="007E6BA1"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9,56</w:t>
            </w:r>
          </w:p>
        </w:tc>
        <w:tc>
          <w:tcPr>
            <w:tcW w:w="1221" w:type="dxa"/>
            <w:tcBorders>
              <w:top w:val="nil"/>
              <w:left w:val="nil"/>
              <w:bottom w:val="single" w:sz="4" w:space="0" w:color="auto"/>
              <w:right w:val="single" w:sz="4" w:space="0" w:color="auto"/>
            </w:tcBorders>
            <w:shd w:val="clear" w:color="auto" w:fill="auto"/>
            <w:vAlign w:val="center"/>
            <w:hideMark/>
          </w:tcPr>
          <w:p w14:paraId="26FC9745" w14:textId="77777777" w:rsidR="007E6BA1" w:rsidRPr="00E47AA9" w:rsidRDefault="007E6BA1"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13,86</w:t>
            </w:r>
          </w:p>
        </w:tc>
        <w:tc>
          <w:tcPr>
            <w:tcW w:w="1156" w:type="dxa"/>
            <w:tcBorders>
              <w:top w:val="nil"/>
              <w:left w:val="nil"/>
              <w:bottom w:val="single" w:sz="4" w:space="0" w:color="auto"/>
              <w:right w:val="single" w:sz="4" w:space="0" w:color="auto"/>
            </w:tcBorders>
            <w:shd w:val="clear" w:color="auto" w:fill="auto"/>
            <w:vAlign w:val="center"/>
            <w:hideMark/>
          </w:tcPr>
          <w:p w14:paraId="4343EFF5" w14:textId="77777777" w:rsidR="007E6BA1" w:rsidRPr="00E47AA9" w:rsidRDefault="007E6BA1"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0,36</w:t>
            </w:r>
          </w:p>
        </w:tc>
        <w:tc>
          <w:tcPr>
            <w:tcW w:w="1183" w:type="dxa"/>
            <w:tcBorders>
              <w:top w:val="nil"/>
              <w:left w:val="nil"/>
              <w:bottom w:val="single" w:sz="4" w:space="0" w:color="auto"/>
              <w:right w:val="single" w:sz="4" w:space="0" w:color="auto"/>
            </w:tcBorders>
            <w:shd w:val="clear" w:color="auto" w:fill="auto"/>
            <w:vAlign w:val="center"/>
            <w:hideMark/>
          </w:tcPr>
          <w:p w14:paraId="20596532" w14:textId="77777777" w:rsidR="007E6BA1" w:rsidRPr="00E47AA9" w:rsidRDefault="007E6BA1"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59,44</w:t>
            </w:r>
          </w:p>
        </w:tc>
      </w:tr>
      <w:tr w:rsidR="00E47AA9" w:rsidRPr="00E47AA9" w14:paraId="4A6D47D5" w14:textId="77777777" w:rsidTr="00D717FF">
        <w:trPr>
          <w:trHeight w:val="20"/>
        </w:trPr>
        <w:tc>
          <w:tcPr>
            <w:tcW w:w="3261" w:type="dxa"/>
            <w:tcBorders>
              <w:top w:val="nil"/>
              <w:left w:val="single" w:sz="4" w:space="0" w:color="auto"/>
              <w:bottom w:val="single" w:sz="4" w:space="0" w:color="auto"/>
              <w:right w:val="single" w:sz="4" w:space="0" w:color="auto"/>
            </w:tcBorders>
            <w:shd w:val="clear" w:color="auto" w:fill="auto"/>
            <w:hideMark/>
          </w:tcPr>
          <w:p w14:paraId="31D5DB80" w14:textId="77777777" w:rsidR="007E6BA1" w:rsidRPr="00E47AA9" w:rsidRDefault="007E6BA1" w:rsidP="00D717FF">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ВП "Развитие </w:t>
            </w:r>
            <w:proofErr w:type="spellStart"/>
            <w:r w:rsidRPr="00E47AA9">
              <w:rPr>
                <w:rFonts w:ascii="Times New Roman" w:eastAsia="Times New Roman" w:hAnsi="Times New Roman" w:cs="Times New Roman"/>
                <w:sz w:val="20"/>
                <w:szCs w:val="20"/>
                <w:lang w:eastAsia="ru-RU"/>
              </w:rPr>
              <w:t>электрозарядной</w:t>
            </w:r>
            <w:proofErr w:type="spellEnd"/>
            <w:r w:rsidRPr="00E47AA9">
              <w:rPr>
                <w:rFonts w:ascii="Times New Roman" w:eastAsia="Times New Roman" w:hAnsi="Times New Roman" w:cs="Times New Roman"/>
                <w:sz w:val="20"/>
                <w:szCs w:val="20"/>
                <w:lang w:eastAsia="ru-RU"/>
              </w:rPr>
              <w:t xml:space="preserve"> инфраструктуры и популяризация электрического транспорта в Приморском крае"</w:t>
            </w:r>
          </w:p>
        </w:tc>
        <w:tc>
          <w:tcPr>
            <w:tcW w:w="1389" w:type="dxa"/>
            <w:tcBorders>
              <w:top w:val="nil"/>
              <w:left w:val="nil"/>
              <w:bottom w:val="single" w:sz="4" w:space="0" w:color="auto"/>
              <w:right w:val="single" w:sz="4" w:space="0" w:color="auto"/>
            </w:tcBorders>
            <w:shd w:val="clear" w:color="auto" w:fill="auto"/>
            <w:vAlign w:val="center"/>
            <w:hideMark/>
          </w:tcPr>
          <w:p w14:paraId="74529277" w14:textId="77777777" w:rsidR="007E6BA1" w:rsidRPr="00E47AA9" w:rsidRDefault="007E6BA1" w:rsidP="00D717FF">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69,00</w:t>
            </w:r>
          </w:p>
        </w:tc>
        <w:tc>
          <w:tcPr>
            <w:tcW w:w="1159" w:type="dxa"/>
            <w:tcBorders>
              <w:top w:val="nil"/>
              <w:left w:val="nil"/>
              <w:bottom w:val="single" w:sz="4" w:space="0" w:color="auto"/>
              <w:right w:val="single" w:sz="4" w:space="0" w:color="auto"/>
            </w:tcBorders>
            <w:shd w:val="clear" w:color="auto" w:fill="auto"/>
            <w:vAlign w:val="center"/>
            <w:hideMark/>
          </w:tcPr>
          <w:p w14:paraId="1EC9DEB0" w14:textId="77777777" w:rsidR="007E6BA1" w:rsidRPr="00E47AA9" w:rsidRDefault="007E6BA1" w:rsidP="00D717FF">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9,56</w:t>
            </w:r>
          </w:p>
        </w:tc>
        <w:tc>
          <w:tcPr>
            <w:tcW w:w="1221" w:type="dxa"/>
            <w:tcBorders>
              <w:top w:val="nil"/>
              <w:left w:val="nil"/>
              <w:bottom w:val="single" w:sz="4" w:space="0" w:color="auto"/>
              <w:right w:val="single" w:sz="4" w:space="0" w:color="auto"/>
            </w:tcBorders>
            <w:shd w:val="clear" w:color="auto" w:fill="auto"/>
            <w:vAlign w:val="center"/>
            <w:hideMark/>
          </w:tcPr>
          <w:p w14:paraId="4170B85D" w14:textId="77777777" w:rsidR="007E6BA1" w:rsidRPr="00E47AA9" w:rsidRDefault="007E6BA1" w:rsidP="00D717FF">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13,85</w:t>
            </w:r>
          </w:p>
        </w:tc>
        <w:tc>
          <w:tcPr>
            <w:tcW w:w="1156" w:type="dxa"/>
            <w:tcBorders>
              <w:top w:val="nil"/>
              <w:left w:val="nil"/>
              <w:bottom w:val="single" w:sz="4" w:space="0" w:color="auto"/>
              <w:right w:val="single" w:sz="4" w:space="0" w:color="auto"/>
            </w:tcBorders>
            <w:shd w:val="clear" w:color="auto" w:fill="auto"/>
            <w:vAlign w:val="center"/>
            <w:hideMark/>
          </w:tcPr>
          <w:p w14:paraId="1C5DAAFE" w14:textId="77777777" w:rsidR="007E6BA1" w:rsidRPr="00E47AA9" w:rsidRDefault="007E6BA1" w:rsidP="00D717FF">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0,36</w:t>
            </w:r>
          </w:p>
        </w:tc>
        <w:tc>
          <w:tcPr>
            <w:tcW w:w="1183" w:type="dxa"/>
            <w:tcBorders>
              <w:top w:val="nil"/>
              <w:left w:val="nil"/>
              <w:bottom w:val="single" w:sz="4" w:space="0" w:color="auto"/>
              <w:right w:val="single" w:sz="4" w:space="0" w:color="auto"/>
            </w:tcBorders>
            <w:shd w:val="clear" w:color="auto" w:fill="auto"/>
            <w:vAlign w:val="center"/>
            <w:hideMark/>
          </w:tcPr>
          <w:p w14:paraId="507598A1" w14:textId="77777777" w:rsidR="007E6BA1" w:rsidRPr="00E47AA9" w:rsidRDefault="007E6BA1" w:rsidP="00D717FF">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59,44</w:t>
            </w:r>
          </w:p>
        </w:tc>
      </w:tr>
      <w:tr w:rsidR="007E6BA1" w:rsidRPr="00E47AA9" w14:paraId="6C00173A" w14:textId="77777777" w:rsidTr="00D717FF">
        <w:trPr>
          <w:trHeight w:val="20"/>
        </w:trPr>
        <w:tc>
          <w:tcPr>
            <w:tcW w:w="3261" w:type="dxa"/>
            <w:tcBorders>
              <w:top w:val="nil"/>
              <w:left w:val="single" w:sz="4" w:space="0" w:color="auto"/>
              <w:bottom w:val="single" w:sz="4" w:space="0" w:color="auto"/>
              <w:right w:val="single" w:sz="4" w:space="0" w:color="auto"/>
            </w:tcBorders>
            <w:shd w:val="clear" w:color="auto" w:fill="auto"/>
            <w:vAlign w:val="center"/>
            <w:hideMark/>
          </w:tcPr>
          <w:p w14:paraId="5D698D12" w14:textId="77777777" w:rsidR="007E6BA1" w:rsidRPr="00E47AA9" w:rsidRDefault="007E6BA1" w:rsidP="00D717FF">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комплексы процессных мероприятий</w:t>
            </w:r>
          </w:p>
        </w:tc>
        <w:tc>
          <w:tcPr>
            <w:tcW w:w="1389" w:type="dxa"/>
            <w:tcBorders>
              <w:top w:val="nil"/>
              <w:left w:val="nil"/>
              <w:bottom w:val="single" w:sz="4" w:space="0" w:color="auto"/>
              <w:right w:val="single" w:sz="4" w:space="0" w:color="auto"/>
            </w:tcBorders>
            <w:shd w:val="clear" w:color="auto" w:fill="auto"/>
            <w:vAlign w:val="center"/>
            <w:hideMark/>
          </w:tcPr>
          <w:p w14:paraId="3555CB73" w14:textId="77777777" w:rsidR="007E6BA1" w:rsidRPr="00E47AA9" w:rsidRDefault="007E6BA1"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2926,53</w:t>
            </w:r>
          </w:p>
        </w:tc>
        <w:tc>
          <w:tcPr>
            <w:tcW w:w="1159" w:type="dxa"/>
            <w:tcBorders>
              <w:top w:val="nil"/>
              <w:left w:val="nil"/>
              <w:bottom w:val="single" w:sz="4" w:space="0" w:color="auto"/>
              <w:right w:val="single" w:sz="4" w:space="0" w:color="auto"/>
            </w:tcBorders>
            <w:shd w:val="clear" w:color="auto" w:fill="auto"/>
            <w:vAlign w:val="center"/>
            <w:hideMark/>
          </w:tcPr>
          <w:p w14:paraId="376AC170" w14:textId="77777777" w:rsidR="007E6BA1" w:rsidRPr="00E47AA9" w:rsidRDefault="007E6BA1"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2673,12</w:t>
            </w:r>
          </w:p>
        </w:tc>
        <w:tc>
          <w:tcPr>
            <w:tcW w:w="1221" w:type="dxa"/>
            <w:tcBorders>
              <w:top w:val="nil"/>
              <w:left w:val="nil"/>
              <w:bottom w:val="single" w:sz="4" w:space="0" w:color="auto"/>
              <w:right w:val="single" w:sz="4" w:space="0" w:color="auto"/>
            </w:tcBorders>
            <w:shd w:val="clear" w:color="auto" w:fill="auto"/>
            <w:vAlign w:val="center"/>
            <w:hideMark/>
          </w:tcPr>
          <w:p w14:paraId="158BA42E" w14:textId="77777777" w:rsidR="007E6BA1" w:rsidRPr="00E47AA9" w:rsidRDefault="007E6BA1"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91,35</w:t>
            </w:r>
          </w:p>
        </w:tc>
        <w:tc>
          <w:tcPr>
            <w:tcW w:w="1156" w:type="dxa"/>
            <w:tcBorders>
              <w:top w:val="nil"/>
              <w:left w:val="nil"/>
              <w:bottom w:val="single" w:sz="4" w:space="0" w:color="auto"/>
              <w:right w:val="single" w:sz="4" w:space="0" w:color="auto"/>
            </w:tcBorders>
            <w:shd w:val="clear" w:color="auto" w:fill="auto"/>
            <w:vAlign w:val="center"/>
            <w:hideMark/>
          </w:tcPr>
          <w:p w14:paraId="29263EEC" w14:textId="77777777" w:rsidR="007E6BA1" w:rsidRPr="00E47AA9" w:rsidRDefault="007E6BA1"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99,64</w:t>
            </w:r>
          </w:p>
        </w:tc>
        <w:tc>
          <w:tcPr>
            <w:tcW w:w="1183" w:type="dxa"/>
            <w:tcBorders>
              <w:top w:val="nil"/>
              <w:left w:val="nil"/>
              <w:bottom w:val="single" w:sz="4" w:space="0" w:color="auto"/>
              <w:right w:val="single" w:sz="4" w:space="0" w:color="auto"/>
            </w:tcBorders>
            <w:shd w:val="clear" w:color="auto" w:fill="auto"/>
            <w:vAlign w:val="center"/>
            <w:hideMark/>
          </w:tcPr>
          <w:p w14:paraId="3B489EC7" w14:textId="77777777" w:rsidR="007E6BA1" w:rsidRPr="00E47AA9" w:rsidRDefault="007E6BA1"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253,41</w:t>
            </w:r>
          </w:p>
        </w:tc>
      </w:tr>
    </w:tbl>
    <w:p w14:paraId="05A0B163" w14:textId="77777777" w:rsidR="00F6074A" w:rsidRPr="00E47AA9" w:rsidRDefault="00F6074A" w:rsidP="007E6BA1">
      <w:pPr>
        <w:spacing w:after="0" w:line="240" w:lineRule="auto"/>
        <w:ind w:firstLine="709"/>
        <w:jc w:val="both"/>
        <w:outlineLvl w:val="4"/>
        <w:rPr>
          <w:rFonts w:ascii="Times New Roman" w:eastAsia="Times New Roman" w:hAnsi="Times New Roman" w:cs="Times New Roman"/>
          <w:sz w:val="28"/>
          <w:szCs w:val="28"/>
          <w:lang w:eastAsia="ru-RU"/>
        </w:rPr>
      </w:pPr>
    </w:p>
    <w:p w14:paraId="11872D0A" w14:textId="77777777" w:rsidR="00F6074A" w:rsidRPr="00E47AA9" w:rsidRDefault="00F6074A" w:rsidP="00F6074A">
      <w:pPr>
        <w:spacing w:after="0" w:line="240" w:lineRule="auto"/>
        <w:ind w:firstLine="709"/>
        <w:jc w:val="both"/>
        <w:outlineLvl w:val="4"/>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Согласно Сводному годовому докладу:</w:t>
      </w:r>
    </w:p>
    <w:p w14:paraId="264FE136" w14:textId="5039151E" w:rsidR="00F6074A" w:rsidRPr="00E47AA9" w:rsidRDefault="00F6074A" w:rsidP="00F6074A">
      <w:pPr>
        <w:spacing w:after="0" w:line="240" w:lineRule="auto"/>
        <w:ind w:firstLine="709"/>
        <w:jc w:val="both"/>
        <w:outlineLvl w:val="4"/>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из 16 мероприятий государственной программы, запланированных к выполнению в 2024 году, выполнены в полном объеме 8 мероприятий, </w:t>
      </w:r>
      <w:r w:rsidR="00A948E4" w:rsidRPr="00E47AA9">
        <w:rPr>
          <w:rFonts w:ascii="Times New Roman" w:eastAsia="Times New Roman" w:hAnsi="Times New Roman" w:cs="Times New Roman"/>
          <w:sz w:val="28"/>
          <w:szCs w:val="28"/>
        </w:rPr>
        <w:br/>
      </w:r>
      <w:r w:rsidRPr="00E47AA9">
        <w:rPr>
          <w:rFonts w:ascii="Times New Roman" w:eastAsia="Times New Roman" w:hAnsi="Times New Roman" w:cs="Times New Roman"/>
          <w:sz w:val="28"/>
          <w:szCs w:val="28"/>
        </w:rPr>
        <w:t>6 мероприятий выполнены не в полном объеме, 2 мероприятия не выполнены;</w:t>
      </w:r>
    </w:p>
    <w:p w14:paraId="3AD66890" w14:textId="6DF179E7" w:rsidR="00F6074A" w:rsidRPr="00E47AA9" w:rsidRDefault="00F6074A" w:rsidP="00F6074A">
      <w:pPr>
        <w:spacing w:after="0" w:line="240" w:lineRule="auto"/>
        <w:ind w:firstLine="709"/>
        <w:jc w:val="both"/>
        <w:outlineLvl w:val="4"/>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из 16 показателей государственной программы 8 достигли планового значения, 7 показателей достигнуты не в полном объеме, 1 показатель не достигнут, при этом по 3 показателям не предоставлены документы, подтверждающие их фактически достигнутые значения;</w:t>
      </w:r>
    </w:p>
    <w:p w14:paraId="0AE37276" w14:textId="702B9DA9" w:rsidR="00F6074A" w:rsidRPr="00E47AA9" w:rsidRDefault="00F6074A" w:rsidP="00F6074A">
      <w:pPr>
        <w:spacing w:after="0" w:line="240" w:lineRule="auto"/>
        <w:ind w:firstLine="709"/>
        <w:jc w:val="both"/>
        <w:outlineLvl w:val="4"/>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эффективность реализации государственной программы составила 80,6</w:t>
      </w:r>
      <w:r w:rsidR="009C59FC"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(ниже среднего уровня).</w:t>
      </w:r>
    </w:p>
    <w:p w14:paraId="2B580449" w14:textId="77777777" w:rsidR="007E6BA1" w:rsidRPr="00E47AA9" w:rsidRDefault="007E6BA1" w:rsidP="007E6BA1">
      <w:pPr>
        <w:spacing w:after="0" w:line="240" w:lineRule="auto"/>
        <w:ind w:firstLine="709"/>
        <w:jc w:val="both"/>
        <w:outlineLvl w:val="4"/>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2024 году расходы предусмотрены по 6 комплексам процессных мероприятий и одному ведомственному проекту. </w:t>
      </w:r>
    </w:p>
    <w:p w14:paraId="6AA933CB" w14:textId="77777777" w:rsidR="007E6BA1" w:rsidRPr="00E47AA9" w:rsidRDefault="007E6BA1" w:rsidP="007E6BA1">
      <w:pPr>
        <w:autoSpaceDE w:val="0"/>
        <w:autoSpaceDN w:val="0"/>
        <w:adjustRightInd w:val="0"/>
        <w:spacing w:after="0" w:line="240" w:lineRule="auto"/>
        <w:ind w:firstLine="709"/>
        <w:jc w:val="both"/>
        <w:rPr>
          <w:rFonts w:ascii="Times New Roman" w:hAnsi="Times New Roman" w:cs="Times New Roman"/>
          <w:b/>
          <w:sz w:val="28"/>
          <w:szCs w:val="28"/>
        </w:rPr>
      </w:pPr>
      <w:r w:rsidRPr="00E47AA9">
        <w:rPr>
          <w:rFonts w:ascii="Times New Roman" w:eastAsia="Times New Roman" w:hAnsi="Times New Roman" w:cs="Times New Roman"/>
          <w:b/>
          <w:sz w:val="28"/>
          <w:szCs w:val="28"/>
          <w:lang w:eastAsia="ru-RU"/>
        </w:rPr>
        <w:t>Подпрограмма "</w:t>
      </w:r>
      <w:r w:rsidRPr="00E47AA9">
        <w:rPr>
          <w:rFonts w:ascii="Times New Roman" w:hAnsi="Times New Roman" w:cs="Times New Roman"/>
          <w:b/>
          <w:sz w:val="28"/>
          <w:szCs w:val="28"/>
        </w:rPr>
        <w:t>Энергоэффективность, развитие системы газоснабжения Приморского края</w:t>
      </w:r>
    </w:p>
    <w:p w14:paraId="7834D353" w14:textId="40D4A12A" w:rsidR="007E6BA1" w:rsidRPr="00E47AA9" w:rsidRDefault="007E6BA1" w:rsidP="007E6BA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По </w:t>
      </w:r>
      <w:r w:rsidRPr="00E47AA9">
        <w:rPr>
          <w:rFonts w:ascii="Times New Roman" w:eastAsia="Times New Roman" w:hAnsi="Times New Roman" w:cs="Times New Roman"/>
          <w:i/>
          <w:sz w:val="28"/>
          <w:szCs w:val="28"/>
          <w:lang w:eastAsia="ru-RU"/>
        </w:rPr>
        <w:t>КПМ</w:t>
      </w:r>
      <w:r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i/>
          <w:sz w:val="28"/>
          <w:szCs w:val="28"/>
          <w:lang w:eastAsia="ru-RU"/>
        </w:rPr>
        <w:t>"Газоснабжение и газификация Приморского края"</w:t>
      </w:r>
      <w:r w:rsidRPr="00E47AA9">
        <w:rPr>
          <w:rFonts w:ascii="Times New Roman" w:eastAsia="Times New Roman" w:hAnsi="Times New Roman" w:cs="Times New Roman"/>
          <w:sz w:val="28"/>
          <w:szCs w:val="28"/>
          <w:lang w:eastAsia="ru-RU"/>
        </w:rPr>
        <w:t xml:space="preserve"> расходы осуществлены </w:t>
      </w:r>
      <w:r w:rsidRPr="00E47AA9">
        <w:rPr>
          <w:rFonts w:ascii="Times New Roman" w:eastAsia="Times New Roman" w:hAnsi="Times New Roman" w:cs="Times New Roman"/>
          <w:sz w:val="28"/>
          <w:szCs w:val="28"/>
          <w:u w:val="single"/>
          <w:lang w:eastAsia="ru-RU"/>
        </w:rPr>
        <w:t xml:space="preserve">министерством ЖКХ </w:t>
      </w:r>
      <w:r w:rsidRPr="00E47AA9">
        <w:rPr>
          <w:rFonts w:ascii="Times New Roman" w:eastAsia="Times New Roman" w:hAnsi="Times New Roman" w:cs="Times New Roman"/>
          <w:sz w:val="28"/>
          <w:szCs w:val="28"/>
          <w:lang w:eastAsia="ru-RU"/>
        </w:rPr>
        <w:t xml:space="preserve">в размере 281,50 млн рублей, или 97,28 % (план </w:t>
      </w:r>
      <w:r w:rsidR="00E02DD2"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289,36 млн рублей). В 2024 году с</w:t>
      </w:r>
      <w:r w:rsidRPr="00E47AA9">
        <w:rPr>
          <w:rFonts w:ascii="Times New Roman" w:eastAsia="Calibri" w:hAnsi="Times New Roman" w:cs="Times New Roman"/>
          <w:sz w:val="28"/>
          <w:szCs w:val="28"/>
          <w:lang w:eastAsia="ru-RU"/>
        </w:rPr>
        <w:t xml:space="preserve">убсидии направлены бюджетам муниципальных образований Приморского края: </w:t>
      </w:r>
    </w:p>
    <w:p w14:paraId="1D9C1C87" w14:textId="3BA19F8F" w:rsidR="007E6BA1" w:rsidRPr="00E47AA9" w:rsidRDefault="007E6BA1" w:rsidP="007E6BA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на выполнение научно-исследовательских работ по разработке схем газоснабжения в полном объеме – 59,68 млн рублей, в том числе: </w:t>
      </w:r>
      <w:proofErr w:type="spellStart"/>
      <w:r w:rsidRPr="00E47AA9">
        <w:rPr>
          <w:rFonts w:ascii="Times New Roman" w:eastAsia="Times New Roman" w:hAnsi="Times New Roman" w:cs="Times New Roman"/>
          <w:sz w:val="28"/>
          <w:szCs w:val="28"/>
          <w:lang w:eastAsia="ru-RU"/>
        </w:rPr>
        <w:t>Дальнереченский</w:t>
      </w:r>
      <w:proofErr w:type="spellEnd"/>
      <w:r w:rsidRPr="00E47AA9">
        <w:rPr>
          <w:rFonts w:ascii="Times New Roman" w:eastAsia="Times New Roman" w:hAnsi="Times New Roman" w:cs="Times New Roman"/>
          <w:sz w:val="28"/>
          <w:szCs w:val="28"/>
          <w:lang w:eastAsia="ru-RU"/>
        </w:rPr>
        <w:t xml:space="preserve"> МР – 4,12 млн рублей</w:t>
      </w:r>
      <w:r w:rsidR="003F3FE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Партизанский ГО – 8,92 млн рублей</w:t>
      </w:r>
      <w:r w:rsidR="003F3FE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br/>
        <w:t>Спасский МР – 7,58 млн рублей</w:t>
      </w:r>
      <w:r w:rsidR="003F3FE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Михайловский </w:t>
      </w:r>
      <w:r w:rsidR="00AF55CD" w:rsidRPr="00E47AA9">
        <w:rPr>
          <w:rFonts w:ascii="Times New Roman" w:eastAsia="Times New Roman" w:hAnsi="Times New Roman" w:cs="Times New Roman"/>
          <w:sz w:val="28"/>
          <w:szCs w:val="28"/>
          <w:lang w:eastAsia="ru-RU"/>
        </w:rPr>
        <w:t>МО</w:t>
      </w:r>
      <w:r w:rsidRPr="00E47AA9">
        <w:rPr>
          <w:rFonts w:ascii="Times New Roman" w:eastAsia="Times New Roman" w:hAnsi="Times New Roman" w:cs="Times New Roman"/>
          <w:sz w:val="28"/>
          <w:szCs w:val="28"/>
          <w:lang w:eastAsia="ru-RU"/>
        </w:rPr>
        <w:t xml:space="preserve"> – 9,58 млн рублей</w:t>
      </w:r>
      <w:r w:rsidR="003F3FE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Уссурийский ГО – 11,49 млн рублей</w:t>
      </w:r>
      <w:r w:rsidR="003F3FE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ГО Большой Камень – 1,11 </w:t>
      </w:r>
      <w:r w:rsidR="003F3FE7" w:rsidRPr="00E47AA9">
        <w:rPr>
          <w:rFonts w:ascii="Times New Roman" w:eastAsia="Times New Roman" w:hAnsi="Times New Roman" w:cs="Times New Roman"/>
          <w:sz w:val="28"/>
          <w:szCs w:val="28"/>
          <w:lang w:eastAsia="ru-RU"/>
        </w:rPr>
        <w:t>млн рублей,</w:t>
      </w:r>
      <w:r w:rsidRPr="00E47AA9">
        <w:rPr>
          <w:rFonts w:ascii="Times New Roman" w:eastAsia="Times New Roman" w:hAnsi="Times New Roman" w:cs="Times New Roman"/>
          <w:sz w:val="28"/>
          <w:szCs w:val="28"/>
          <w:lang w:eastAsia="ru-RU"/>
        </w:rPr>
        <w:t xml:space="preserve"> Партизанский МО – 9,40 млн рублей</w:t>
      </w:r>
      <w:r w:rsidR="003F3FE7"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w:t>
      </w:r>
      <w:proofErr w:type="spellStart"/>
      <w:r w:rsidRPr="00E47AA9">
        <w:rPr>
          <w:rFonts w:ascii="Times New Roman" w:eastAsia="Times New Roman" w:hAnsi="Times New Roman" w:cs="Times New Roman"/>
          <w:sz w:val="28"/>
          <w:szCs w:val="28"/>
          <w:lang w:eastAsia="ru-RU"/>
        </w:rPr>
        <w:t>Шкотовский</w:t>
      </w:r>
      <w:proofErr w:type="spellEnd"/>
      <w:r w:rsidRPr="00E47AA9">
        <w:rPr>
          <w:rFonts w:ascii="Times New Roman" w:eastAsia="Times New Roman" w:hAnsi="Times New Roman" w:cs="Times New Roman"/>
          <w:sz w:val="28"/>
          <w:szCs w:val="28"/>
          <w:lang w:eastAsia="ru-RU"/>
        </w:rPr>
        <w:t xml:space="preserve"> МО – 7,48 млн рублей;</w:t>
      </w:r>
    </w:p>
    <w:p w14:paraId="08FF26D0" w14:textId="499A4785" w:rsidR="007E6BA1" w:rsidRPr="00E47AA9" w:rsidRDefault="007E6BA1" w:rsidP="007E6BA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на строительство объектов газоснабжения Владивостокского ГО </w:t>
      </w:r>
      <w:r w:rsidRPr="00E47AA9">
        <w:rPr>
          <w:rFonts w:ascii="Times New Roman" w:eastAsia="Times New Roman" w:hAnsi="Times New Roman" w:cs="Times New Roman"/>
          <w:sz w:val="28"/>
          <w:szCs w:val="28"/>
          <w:lang w:eastAsia="ru-RU"/>
        </w:rPr>
        <w:br/>
        <w:t>в рамках исполнения АИП – 221,81 млн рублей, или 96,59 % (план</w:t>
      </w:r>
      <w:r w:rsidR="00E02DD2" w:rsidRPr="00E47AA9">
        <w:rPr>
          <w:rFonts w:ascii="Times New Roman" w:eastAsia="Times New Roman" w:hAnsi="Times New Roman" w:cs="Times New Roman"/>
          <w:sz w:val="28"/>
          <w:szCs w:val="28"/>
          <w:lang w:eastAsia="ru-RU"/>
        </w:rPr>
        <w:t> –</w:t>
      </w:r>
      <w:r w:rsidR="009D2AD1" w:rsidRPr="00E47AA9">
        <w:rPr>
          <w:rFonts w:ascii="Times New Roman" w:eastAsia="Times New Roman" w:hAnsi="Times New Roman" w:cs="Times New Roman"/>
          <w:sz w:val="28"/>
          <w:szCs w:val="28"/>
          <w:lang w:eastAsia="ru-RU"/>
        </w:rPr>
        <w:t xml:space="preserve"> </w:t>
      </w:r>
      <w:r w:rsidR="009D2AD1" w:rsidRPr="00E47AA9">
        <w:rPr>
          <w:rFonts w:ascii="Times New Roman" w:eastAsia="Times New Roman" w:hAnsi="Times New Roman" w:cs="Times New Roman"/>
          <w:sz w:val="28"/>
          <w:szCs w:val="28"/>
          <w:lang w:eastAsia="ru-RU"/>
        </w:rPr>
        <w:br/>
        <w:t>229,65</w:t>
      </w:r>
      <w:r w:rsidRPr="00E47AA9">
        <w:rPr>
          <w:rFonts w:ascii="Times New Roman" w:eastAsia="Times New Roman" w:hAnsi="Times New Roman" w:cs="Times New Roman"/>
          <w:sz w:val="28"/>
          <w:szCs w:val="28"/>
          <w:lang w:eastAsia="ru-RU"/>
        </w:rPr>
        <w:t>млн рублей), в том числе на строительство объектов:</w:t>
      </w:r>
    </w:p>
    <w:p w14:paraId="3F809CC7" w14:textId="5BE1EACF" w:rsidR="007E6BA1" w:rsidRPr="00E47AA9" w:rsidRDefault="007E6BA1" w:rsidP="007E6BA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 xml:space="preserve">"Распределительный газопровод от ГРП "Пригород-1" </w:t>
      </w:r>
      <w:r w:rsidRPr="00E47AA9">
        <w:rPr>
          <w:rFonts w:ascii="Times New Roman" w:eastAsia="Times New Roman" w:hAnsi="Times New Roman" w:cs="Times New Roman"/>
          <w:sz w:val="28"/>
          <w:szCs w:val="28"/>
          <w:lang w:eastAsia="ru-RU"/>
        </w:rPr>
        <w:br/>
        <w:t xml:space="preserve">для газоснабжения муниципальной котельной № 61, расположенной </w:t>
      </w:r>
      <w:r w:rsidRPr="00E47AA9">
        <w:rPr>
          <w:rFonts w:ascii="Times New Roman" w:eastAsia="Times New Roman" w:hAnsi="Times New Roman" w:cs="Times New Roman"/>
          <w:sz w:val="28"/>
          <w:szCs w:val="28"/>
          <w:lang w:eastAsia="ru-RU"/>
        </w:rPr>
        <w:br/>
        <w:t xml:space="preserve">по адресу: г. Владивосток, ул. 2-ая Шоссейная, в районе д. 1 а. 1-й этап строительства" – 179,87 </w:t>
      </w:r>
      <w:r w:rsidR="000C564B" w:rsidRPr="00E47AA9">
        <w:rPr>
          <w:rFonts w:ascii="Times New Roman" w:eastAsia="Times New Roman" w:hAnsi="Times New Roman" w:cs="Times New Roman"/>
          <w:sz w:val="28"/>
          <w:szCs w:val="28"/>
          <w:lang w:eastAsia="ru-RU"/>
        </w:rPr>
        <w:t xml:space="preserve">млн рублей </w:t>
      </w:r>
      <w:r w:rsidRPr="00E47AA9">
        <w:rPr>
          <w:rFonts w:ascii="Times New Roman" w:eastAsia="Times New Roman" w:hAnsi="Times New Roman" w:cs="Times New Roman"/>
          <w:sz w:val="28"/>
          <w:szCs w:val="28"/>
          <w:lang w:eastAsia="ru-RU"/>
        </w:rPr>
        <w:t xml:space="preserve">(план </w:t>
      </w:r>
      <w:r w:rsidR="00E02DD2"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181,27 млн рублей); </w:t>
      </w:r>
    </w:p>
    <w:p w14:paraId="440B665E" w14:textId="7EF5C327" w:rsidR="007E6BA1" w:rsidRPr="00E47AA9" w:rsidRDefault="007E6BA1" w:rsidP="007E6BA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"Распределительный газопровод до муниципальной котельной № 79, расположенной по адресу: г. Владивосток, ул. Александровича, 48" – </w:t>
      </w:r>
      <w:r w:rsidRPr="00E47AA9">
        <w:rPr>
          <w:rFonts w:ascii="Times New Roman" w:eastAsia="Times New Roman" w:hAnsi="Times New Roman" w:cs="Times New Roman"/>
          <w:sz w:val="28"/>
          <w:szCs w:val="28"/>
          <w:lang w:eastAsia="ru-RU"/>
        </w:rPr>
        <w:br/>
        <w:t>41,94 млн рублей (план</w:t>
      </w:r>
      <w:r w:rsidR="00E02DD2"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 48,40 млн рублей). </w:t>
      </w:r>
    </w:p>
    <w:p w14:paraId="04630975" w14:textId="16542946" w:rsidR="007E6BA1" w:rsidRPr="00E47AA9" w:rsidRDefault="007E6BA1" w:rsidP="007E6BA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Неисполненные назначения составили 7,86 млн рублей в связи экономией, возникшей с внесением изменений проектировщиками в рабочую документацию проведения строительно-монтажных работ с открытого метода производства работ на метод горизонтально-наклонного бурения </w:t>
      </w:r>
      <w:r w:rsidRPr="00E47AA9">
        <w:rPr>
          <w:rFonts w:ascii="Times New Roman" w:eastAsia="Times New Roman" w:hAnsi="Times New Roman" w:cs="Times New Roman"/>
          <w:sz w:val="28"/>
          <w:szCs w:val="28"/>
          <w:lang w:eastAsia="ru-RU"/>
        </w:rPr>
        <w:br/>
        <w:t xml:space="preserve">и уменьшением объема вырубки зеленых насаждений, предусмотренного </w:t>
      </w:r>
      <w:r w:rsidRPr="00E47AA9">
        <w:rPr>
          <w:rFonts w:ascii="Times New Roman" w:eastAsia="Times New Roman" w:hAnsi="Times New Roman" w:cs="Times New Roman"/>
          <w:sz w:val="28"/>
          <w:szCs w:val="28"/>
          <w:lang w:eastAsia="ru-RU"/>
        </w:rPr>
        <w:br/>
        <w:t>в проектной документации.</w:t>
      </w:r>
    </w:p>
    <w:p w14:paraId="666E70CB" w14:textId="77777777" w:rsidR="007E6BA1" w:rsidRPr="00E47AA9" w:rsidRDefault="007E6BA1" w:rsidP="007E6BA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За 2024 год эффективность реализации отдельных целевых показателей, характеризующих результаты использования субсидии, представленной муниципальным образованиям на мероприятия по созданию и развитию системы газоснабжения Приморского края следующие:</w:t>
      </w:r>
    </w:p>
    <w:p w14:paraId="72C07A24" w14:textId="77777777" w:rsidR="009D2AD1" w:rsidRPr="00E47AA9" w:rsidRDefault="007E6BA1" w:rsidP="007E6BA1">
      <w:pPr>
        <w:autoSpaceDE w:val="0"/>
        <w:autoSpaceDN w:val="0"/>
        <w:adjustRightInd w:val="0"/>
        <w:spacing w:after="0" w:line="240" w:lineRule="auto"/>
        <w:ind w:firstLine="708"/>
        <w:jc w:val="both"/>
        <w:rPr>
          <w:rFonts w:ascii="Times New Roman" w:hAnsi="Times New Roman" w:cs="Times New Roman"/>
          <w:sz w:val="28"/>
          <w:szCs w:val="28"/>
          <w:u w:val="single"/>
        </w:rPr>
      </w:pPr>
      <w:r w:rsidRPr="00E47AA9">
        <w:rPr>
          <w:rFonts w:ascii="Times New Roman" w:hAnsi="Times New Roman" w:cs="Times New Roman"/>
          <w:sz w:val="28"/>
          <w:szCs w:val="28"/>
          <w:u w:val="single"/>
        </w:rPr>
        <w:t>не достигнуто</w:t>
      </w:r>
      <w:r w:rsidR="009D2AD1" w:rsidRPr="00E47AA9">
        <w:rPr>
          <w:rFonts w:ascii="Times New Roman" w:hAnsi="Times New Roman" w:cs="Times New Roman"/>
          <w:sz w:val="28"/>
          <w:szCs w:val="28"/>
          <w:u w:val="single"/>
        </w:rPr>
        <w:t>:</w:t>
      </w:r>
    </w:p>
    <w:p w14:paraId="35EA0ACA" w14:textId="65F5EB51" w:rsidR="007E6BA1" w:rsidRPr="00E47AA9" w:rsidRDefault="007E6BA1" w:rsidP="007E6BA1">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потребление природного газа в Приморском крае составило 1,69 млрд м3/год, или 49,27 % от планового целевого показателя</w:t>
      </w:r>
      <w:r w:rsidRPr="00E47AA9">
        <w:rPr>
          <w:rFonts w:ascii="Times New Roman" w:hAnsi="Times New Roman" w:cs="Times New Roman"/>
        </w:rPr>
        <w:t xml:space="preserve"> </w:t>
      </w:r>
      <w:r w:rsidRPr="00E47AA9">
        <w:rPr>
          <w:rFonts w:ascii="Times New Roman" w:hAnsi="Times New Roman" w:cs="Times New Roman"/>
        </w:rPr>
        <w:br/>
      </w:r>
      <w:r w:rsidRPr="00E47AA9">
        <w:rPr>
          <w:rFonts w:ascii="Times New Roman" w:hAnsi="Times New Roman" w:cs="Times New Roman"/>
          <w:sz w:val="28"/>
          <w:szCs w:val="28"/>
        </w:rPr>
        <w:t xml:space="preserve">на 2024 год (3,43 млрд м3/год). По информации АО "Газпром </w:t>
      </w:r>
      <w:proofErr w:type="spellStart"/>
      <w:r w:rsidRPr="00E47AA9">
        <w:rPr>
          <w:rFonts w:ascii="Times New Roman" w:hAnsi="Times New Roman" w:cs="Times New Roman"/>
          <w:sz w:val="28"/>
          <w:szCs w:val="28"/>
        </w:rPr>
        <w:t>межрегионгаз</w:t>
      </w:r>
      <w:proofErr w:type="spellEnd"/>
      <w:r w:rsidRPr="00E47AA9">
        <w:rPr>
          <w:rFonts w:ascii="Times New Roman" w:hAnsi="Times New Roman" w:cs="Times New Roman"/>
          <w:sz w:val="28"/>
          <w:szCs w:val="28"/>
        </w:rPr>
        <w:t xml:space="preserve"> Дальний Восток", как и в предыдущий период в связи с переносом срока ввода в эксплуатацию потребителя АО "Находкинский завод минеральных удобрений", отбор газа потребителем не осуществлялся в 2024 году;</w:t>
      </w:r>
    </w:p>
    <w:p w14:paraId="6EACC890" w14:textId="77777777" w:rsidR="007E6BA1" w:rsidRPr="00E47AA9" w:rsidRDefault="007E6BA1" w:rsidP="007E6BA1">
      <w:pPr>
        <w:spacing w:after="0" w:line="240" w:lineRule="auto"/>
        <w:ind w:firstLine="709"/>
        <w:jc w:val="both"/>
        <w:rPr>
          <w:rFonts w:ascii="Times New Roman" w:hAnsi="Times New Roman" w:cs="Times New Roman"/>
          <w:sz w:val="28"/>
          <w:szCs w:val="28"/>
          <w:u w:val="single"/>
        </w:rPr>
      </w:pPr>
      <w:r w:rsidRPr="00E47AA9">
        <w:rPr>
          <w:rFonts w:ascii="Times New Roman" w:hAnsi="Times New Roman" w:cs="Times New Roman"/>
          <w:sz w:val="28"/>
          <w:szCs w:val="28"/>
          <w:u w:val="single"/>
        </w:rPr>
        <w:t>достигнуто:</w:t>
      </w:r>
    </w:p>
    <w:p w14:paraId="75972CB4" w14:textId="7DCCC851" w:rsidR="007E6BA1" w:rsidRPr="00E47AA9" w:rsidRDefault="007E6BA1" w:rsidP="007E6BA1">
      <w:pPr>
        <w:spacing w:after="0" w:line="240" w:lineRule="auto"/>
        <w:ind w:firstLine="680"/>
        <w:jc w:val="both"/>
        <w:rPr>
          <w:rFonts w:ascii="Times New Roman" w:hAnsi="Times New Roman" w:cs="Times New Roman"/>
          <w:sz w:val="28"/>
          <w:szCs w:val="28"/>
        </w:rPr>
      </w:pPr>
      <w:r w:rsidRPr="00E47AA9">
        <w:rPr>
          <w:rFonts w:ascii="Times New Roman" w:hAnsi="Times New Roman" w:cs="Times New Roman"/>
          <w:sz w:val="28"/>
          <w:szCs w:val="28"/>
        </w:rPr>
        <w:t>количество населенных пунктов, газифицированных природным газом</w:t>
      </w:r>
      <w:r w:rsidR="009D2AD1" w:rsidRPr="00E47AA9">
        <w:rPr>
          <w:rFonts w:ascii="Times New Roman" w:hAnsi="Times New Roman" w:cs="Times New Roman"/>
          <w:sz w:val="28"/>
          <w:szCs w:val="28"/>
        </w:rPr>
        <w:t>, </w:t>
      </w:r>
      <w:r w:rsidRPr="00E47AA9">
        <w:rPr>
          <w:rFonts w:ascii="Times New Roman" w:hAnsi="Times New Roman" w:cs="Times New Roman"/>
          <w:sz w:val="28"/>
          <w:szCs w:val="28"/>
        </w:rPr>
        <w:t xml:space="preserve">– 1 населенный пункт, или 100 % от планового значения. Населенный пункт считается газифицированным, когда хотя бы один потребитель начинает разбор газа. В 2024 году введен в эксплуатацию объект газоснабжения </w:t>
      </w:r>
      <w:r w:rsidRPr="00E47AA9">
        <w:rPr>
          <w:rFonts w:ascii="Times New Roman" w:hAnsi="Times New Roman" w:cs="Times New Roman"/>
          <w:sz w:val="28"/>
          <w:szCs w:val="28"/>
        </w:rPr>
        <w:br/>
        <w:t>с. Воздвиженка Уссурийского ГО;</w:t>
      </w:r>
    </w:p>
    <w:p w14:paraId="439AE0EA" w14:textId="342DC556" w:rsidR="007E6BA1" w:rsidRPr="00E47AA9" w:rsidRDefault="007E6BA1" w:rsidP="007E6BA1">
      <w:pPr>
        <w:spacing w:after="0" w:line="240" w:lineRule="auto"/>
        <w:ind w:firstLine="680"/>
        <w:jc w:val="both"/>
        <w:rPr>
          <w:rFonts w:ascii="Times New Roman" w:hAnsi="Times New Roman" w:cs="Times New Roman"/>
        </w:rPr>
      </w:pPr>
      <w:r w:rsidRPr="00E47AA9">
        <w:rPr>
          <w:rFonts w:ascii="Times New Roman" w:hAnsi="Times New Roman" w:cs="Times New Roman"/>
          <w:sz w:val="28"/>
          <w:szCs w:val="28"/>
        </w:rPr>
        <w:t>протяженность сетей газоснабжения (построенные) – фактическое значение показателя – 7,72 км (100 %), а именно с</w:t>
      </w:r>
      <w:r w:rsidRPr="00E47AA9">
        <w:rPr>
          <w:rFonts w:ascii="Times New Roman" w:hAnsi="Times New Roman" w:cs="Times New Roman"/>
          <w:spacing w:val="-1"/>
          <w:w w:val="105"/>
          <w:sz w:val="28"/>
          <w:szCs w:val="28"/>
        </w:rPr>
        <w:t>троительство распределительного газопровода во Владивостокском ГО для газоснабжения муниципальной котельной № 61 и муниципальной котельной № 79;</w:t>
      </w:r>
    </w:p>
    <w:p w14:paraId="27B33DA9" w14:textId="5AF83C19" w:rsidR="007E6BA1" w:rsidRPr="00E47AA9" w:rsidRDefault="007E6BA1" w:rsidP="007E6BA1">
      <w:pPr>
        <w:spacing w:after="0" w:line="240" w:lineRule="auto"/>
        <w:ind w:firstLine="680"/>
        <w:jc w:val="both"/>
        <w:rPr>
          <w:rFonts w:ascii="Times New Roman" w:hAnsi="Times New Roman" w:cs="Times New Roman"/>
          <w:sz w:val="28"/>
          <w:szCs w:val="28"/>
        </w:rPr>
      </w:pPr>
      <w:r w:rsidRPr="00E47AA9">
        <w:rPr>
          <w:rFonts w:ascii="Times New Roman" w:hAnsi="Times New Roman" w:cs="Times New Roman"/>
          <w:spacing w:val="-1"/>
          <w:w w:val="105"/>
          <w:sz w:val="28"/>
          <w:szCs w:val="28"/>
        </w:rPr>
        <w:t>установленная тепловая мощность котельного оборудования, работающего на природном газе</w:t>
      </w:r>
      <w:r w:rsidR="009D2AD1" w:rsidRPr="00E47AA9">
        <w:rPr>
          <w:rFonts w:ascii="Times New Roman" w:hAnsi="Times New Roman" w:cs="Times New Roman"/>
          <w:spacing w:val="-1"/>
          <w:w w:val="105"/>
          <w:sz w:val="28"/>
          <w:szCs w:val="28"/>
        </w:rPr>
        <w:t>,</w:t>
      </w:r>
      <w:r w:rsidRPr="00E47AA9">
        <w:rPr>
          <w:rFonts w:ascii="Times New Roman" w:hAnsi="Times New Roman" w:cs="Times New Roman"/>
          <w:spacing w:val="-1"/>
          <w:w w:val="105"/>
          <w:sz w:val="28"/>
          <w:szCs w:val="28"/>
        </w:rPr>
        <w:t xml:space="preserve"> – 8,6 Гкал/час, или 100 %</w:t>
      </w:r>
      <w:r w:rsidRPr="00E47AA9">
        <w:rPr>
          <w:rFonts w:ascii="Times New Roman" w:hAnsi="Times New Roman" w:cs="Times New Roman"/>
          <w:spacing w:val="-1"/>
          <w:w w:val="105"/>
          <w:sz w:val="28"/>
          <w:szCs w:val="28"/>
          <w:vertAlign w:val="superscript"/>
        </w:rPr>
        <w:footnoteReference w:id="74"/>
      </w:r>
      <w:r w:rsidRPr="00E47AA9">
        <w:rPr>
          <w:rFonts w:ascii="Times New Roman" w:hAnsi="Times New Roman" w:cs="Times New Roman"/>
          <w:spacing w:val="-1"/>
          <w:w w:val="105"/>
          <w:sz w:val="28"/>
          <w:szCs w:val="28"/>
        </w:rPr>
        <w:t>;</w:t>
      </w:r>
    </w:p>
    <w:p w14:paraId="22514F44" w14:textId="2913A96D" w:rsidR="007E6BA1" w:rsidRPr="00E47AA9" w:rsidRDefault="007E6BA1" w:rsidP="007E6BA1">
      <w:pPr>
        <w:spacing w:after="0" w:line="240" w:lineRule="auto"/>
        <w:ind w:firstLine="680"/>
        <w:jc w:val="both"/>
        <w:rPr>
          <w:rFonts w:ascii="Times New Roman" w:hAnsi="Times New Roman" w:cs="Times New Roman"/>
          <w:sz w:val="28"/>
          <w:szCs w:val="28"/>
        </w:rPr>
      </w:pPr>
      <w:r w:rsidRPr="00E47AA9">
        <w:rPr>
          <w:rFonts w:ascii="Times New Roman" w:hAnsi="Times New Roman" w:cs="Times New Roman"/>
          <w:spacing w:val="-1"/>
          <w:w w:val="105"/>
          <w:sz w:val="28"/>
          <w:szCs w:val="28"/>
        </w:rPr>
        <w:t xml:space="preserve">разработка (корректировка) схемы газоснабжения – 8 единиц. Корректировка схемы газоснабжения </w:t>
      </w:r>
      <w:r w:rsidR="00B5153F" w:rsidRPr="00E47AA9">
        <w:rPr>
          <w:rFonts w:ascii="Times New Roman" w:hAnsi="Times New Roman" w:cs="Times New Roman"/>
          <w:spacing w:val="-1"/>
          <w:w w:val="105"/>
          <w:sz w:val="28"/>
          <w:szCs w:val="28"/>
        </w:rPr>
        <w:t xml:space="preserve">в </w:t>
      </w:r>
      <w:r w:rsidRPr="00E47AA9">
        <w:rPr>
          <w:rFonts w:ascii="Times New Roman" w:hAnsi="Times New Roman" w:cs="Times New Roman"/>
          <w:spacing w:val="-1"/>
          <w:w w:val="105"/>
          <w:sz w:val="28"/>
          <w:szCs w:val="28"/>
        </w:rPr>
        <w:t xml:space="preserve">Дальнереченском МР, </w:t>
      </w:r>
      <w:r w:rsidRPr="00E47AA9">
        <w:rPr>
          <w:rFonts w:ascii="Times New Roman" w:hAnsi="Times New Roman" w:cs="Times New Roman"/>
          <w:sz w:val="28"/>
          <w:szCs w:val="28"/>
        </w:rPr>
        <w:t xml:space="preserve">Партизанском ГО, Спасском МР, </w:t>
      </w:r>
      <w:r w:rsidRPr="00E47AA9">
        <w:rPr>
          <w:rFonts w:ascii="Times New Roman" w:hAnsi="Times New Roman" w:cs="Times New Roman"/>
          <w:spacing w:val="-1"/>
          <w:w w:val="105"/>
          <w:sz w:val="28"/>
          <w:szCs w:val="28"/>
        </w:rPr>
        <w:t>Михайловском М</w:t>
      </w:r>
      <w:r w:rsidR="00AF55CD" w:rsidRPr="00E47AA9">
        <w:rPr>
          <w:rFonts w:ascii="Times New Roman" w:hAnsi="Times New Roman" w:cs="Times New Roman"/>
          <w:spacing w:val="-1"/>
          <w:w w:val="105"/>
          <w:sz w:val="28"/>
          <w:szCs w:val="28"/>
        </w:rPr>
        <w:t>О</w:t>
      </w:r>
      <w:r w:rsidRPr="00E47AA9">
        <w:rPr>
          <w:rFonts w:ascii="Times New Roman" w:hAnsi="Times New Roman" w:cs="Times New Roman"/>
          <w:spacing w:val="-1"/>
          <w:w w:val="105"/>
          <w:sz w:val="28"/>
          <w:szCs w:val="28"/>
        </w:rPr>
        <w:t xml:space="preserve">, Уссурийском ГО, </w:t>
      </w:r>
      <w:r w:rsidR="00B5153F" w:rsidRPr="00E47AA9">
        <w:rPr>
          <w:rFonts w:ascii="Times New Roman" w:hAnsi="Times New Roman" w:cs="Times New Roman"/>
          <w:spacing w:val="-1"/>
          <w:w w:val="105"/>
          <w:sz w:val="28"/>
          <w:szCs w:val="28"/>
        </w:rPr>
        <w:br/>
      </w:r>
      <w:r w:rsidRPr="00E47AA9">
        <w:rPr>
          <w:rFonts w:ascii="Times New Roman" w:hAnsi="Times New Roman" w:cs="Times New Roman"/>
          <w:sz w:val="28"/>
          <w:szCs w:val="28"/>
        </w:rPr>
        <w:t xml:space="preserve">ГО Большой Камень, Партизанском МО, </w:t>
      </w:r>
      <w:proofErr w:type="spellStart"/>
      <w:r w:rsidRPr="00E47AA9">
        <w:rPr>
          <w:rFonts w:ascii="Times New Roman" w:hAnsi="Times New Roman" w:cs="Times New Roman"/>
          <w:spacing w:val="-1"/>
          <w:w w:val="105"/>
          <w:sz w:val="28"/>
          <w:szCs w:val="28"/>
        </w:rPr>
        <w:t>Шкотовском</w:t>
      </w:r>
      <w:proofErr w:type="spellEnd"/>
      <w:r w:rsidRPr="00E47AA9">
        <w:rPr>
          <w:rFonts w:ascii="Times New Roman" w:hAnsi="Times New Roman" w:cs="Times New Roman"/>
          <w:spacing w:val="-1"/>
          <w:w w:val="105"/>
          <w:sz w:val="28"/>
          <w:szCs w:val="28"/>
        </w:rPr>
        <w:t xml:space="preserve"> МО;</w:t>
      </w:r>
    </w:p>
    <w:p w14:paraId="245AB97F" w14:textId="77777777" w:rsidR="007E6BA1" w:rsidRPr="00E47AA9" w:rsidRDefault="007E6BA1" w:rsidP="007E6BA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lastRenderedPageBreak/>
        <w:t xml:space="preserve">уровень газификации потребителей природным газом – 21,16 %. </w:t>
      </w:r>
    </w:p>
    <w:p w14:paraId="478B1627" w14:textId="77777777" w:rsidR="007E6BA1" w:rsidRPr="00E47AA9" w:rsidRDefault="007E6BA1" w:rsidP="007E6BA1">
      <w:pPr>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bCs/>
          <w:sz w:val="28"/>
          <w:szCs w:val="28"/>
          <w:lang w:eastAsia="ru-RU"/>
        </w:rPr>
        <w:t>П</w:t>
      </w:r>
      <w:r w:rsidRPr="00E47AA9">
        <w:rPr>
          <w:rFonts w:ascii="Times New Roman" w:eastAsia="Times New Roman" w:hAnsi="Times New Roman" w:cs="Times New Roman"/>
          <w:b/>
          <w:sz w:val="28"/>
          <w:szCs w:val="28"/>
          <w:lang w:eastAsia="ru-RU"/>
        </w:rPr>
        <w:t>одпрограмма "Развитие энергетики в Приморском крае"</w:t>
      </w:r>
    </w:p>
    <w:p w14:paraId="3DDDA7EA" w14:textId="3992F025" w:rsidR="007E6BA1" w:rsidRPr="00E47AA9" w:rsidRDefault="007E6BA1" w:rsidP="007E6BA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bCs/>
          <w:sz w:val="28"/>
          <w:szCs w:val="28"/>
        </w:rPr>
        <w:t xml:space="preserve">По </w:t>
      </w:r>
      <w:r w:rsidRPr="00E47AA9">
        <w:rPr>
          <w:rFonts w:ascii="Times New Roman" w:hAnsi="Times New Roman" w:cs="Times New Roman"/>
          <w:bCs/>
          <w:i/>
          <w:sz w:val="28"/>
          <w:szCs w:val="28"/>
        </w:rPr>
        <w:t xml:space="preserve">ВП "Развитие </w:t>
      </w:r>
      <w:proofErr w:type="spellStart"/>
      <w:r w:rsidRPr="00E47AA9">
        <w:rPr>
          <w:rFonts w:ascii="Times New Roman" w:hAnsi="Times New Roman" w:cs="Times New Roman"/>
          <w:bCs/>
          <w:i/>
          <w:sz w:val="28"/>
          <w:szCs w:val="28"/>
        </w:rPr>
        <w:t>электрозарядной</w:t>
      </w:r>
      <w:proofErr w:type="spellEnd"/>
      <w:r w:rsidRPr="00E47AA9">
        <w:rPr>
          <w:rFonts w:ascii="Times New Roman" w:hAnsi="Times New Roman" w:cs="Times New Roman"/>
          <w:bCs/>
          <w:i/>
          <w:sz w:val="28"/>
          <w:szCs w:val="28"/>
        </w:rPr>
        <w:t xml:space="preserve"> инфраструктуры и популяризация электрического транспорта в Приморском крае" </w:t>
      </w:r>
      <w:r w:rsidRPr="00E47AA9">
        <w:rPr>
          <w:rFonts w:ascii="Times New Roman" w:hAnsi="Times New Roman" w:cs="Times New Roman"/>
          <w:bCs/>
          <w:sz w:val="28"/>
          <w:szCs w:val="28"/>
        </w:rPr>
        <w:t xml:space="preserve">исполнен </w:t>
      </w:r>
      <w:r w:rsidRPr="00E47AA9">
        <w:rPr>
          <w:rFonts w:ascii="Times New Roman" w:hAnsi="Times New Roman" w:cs="Times New Roman"/>
          <w:sz w:val="28"/>
          <w:szCs w:val="28"/>
        </w:rPr>
        <w:t xml:space="preserve">на уровне 13,85 %, или 9,56 млн рублей (план – 69,00 млн рублей, в том числе средства федерального бюджета – 57,96 млн рублей, краевого бюджета – 11,04 млн рублей). Расходы осуществлены </w:t>
      </w:r>
      <w:r w:rsidRPr="00E47AA9">
        <w:rPr>
          <w:rFonts w:ascii="Times New Roman" w:hAnsi="Times New Roman" w:cs="Times New Roman"/>
          <w:sz w:val="28"/>
          <w:szCs w:val="28"/>
          <w:u w:val="single"/>
        </w:rPr>
        <w:t xml:space="preserve">министерством </w:t>
      </w:r>
      <w:r w:rsidR="00C56909" w:rsidRPr="00E47AA9">
        <w:rPr>
          <w:rFonts w:ascii="Times New Roman" w:hAnsi="Times New Roman" w:cs="Times New Roman"/>
          <w:sz w:val="28"/>
          <w:szCs w:val="28"/>
          <w:u w:val="single"/>
        </w:rPr>
        <w:t>энергетики</w:t>
      </w:r>
      <w:r w:rsidRPr="00E47AA9">
        <w:rPr>
          <w:rFonts w:ascii="Times New Roman" w:hAnsi="Times New Roman" w:cs="Times New Roman"/>
          <w:sz w:val="28"/>
          <w:szCs w:val="28"/>
        </w:rPr>
        <w:t xml:space="preserve"> и направлены на реализацию мероприятий по развитию зарядной инфраструктуры для электромобилей в рамках</w:t>
      </w:r>
      <w:r w:rsidRPr="00E47AA9">
        <w:rPr>
          <w:rFonts w:ascii="Times New Roman" w:hAnsi="Times New Roman" w:cs="Times New Roman"/>
          <w:sz w:val="28"/>
          <w:szCs w:val="28"/>
          <w:shd w:val="clear" w:color="auto" w:fill="FFFFFF"/>
        </w:rPr>
        <w:t xml:space="preserve"> соглашения между Министерством энергетики Российской Федерации и Правительством Приморского края о предоставлении иного межбюджетного трансферта, имеющего целевое назначение, из федерального бюджета бюджету Приморского края. В связи с удорожанием услуги технологического присоединения </w:t>
      </w:r>
      <w:r w:rsidRPr="00E47AA9">
        <w:rPr>
          <w:rFonts w:ascii="Times New Roman" w:hAnsi="Times New Roman" w:cs="Times New Roman"/>
          <w:sz w:val="28"/>
          <w:szCs w:val="28"/>
        </w:rPr>
        <w:t>заключено дополнительное соглашение в части изменения суммы финансового обеспечения расходных обязательств с 69,00 млн рублей до 9,56 млн рублей (в том числе средст</w:t>
      </w:r>
      <w:r w:rsidR="00691938" w:rsidRPr="00E47AA9">
        <w:rPr>
          <w:rFonts w:ascii="Times New Roman" w:hAnsi="Times New Roman" w:cs="Times New Roman"/>
          <w:sz w:val="28"/>
          <w:szCs w:val="28"/>
        </w:rPr>
        <w:t>ва федерального бюджета – 8,03 </w:t>
      </w:r>
      <w:r w:rsidRPr="00E47AA9">
        <w:rPr>
          <w:rFonts w:ascii="Times New Roman" w:hAnsi="Times New Roman" w:cs="Times New Roman"/>
          <w:sz w:val="28"/>
          <w:szCs w:val="28"/>
        </w:rPr>
        <w:t>млн рублей, краевого бюджета – 1,53 млн рублей).</w:t>
      </w:r>
      <w:r w:rsidRPr="00E47AA9">
        <w:rPr>
          <w:rFonts w:ascii="Times New Roman" w:hAnsi="Times New Roman" w:cs="Times New Roman"/>
          <w:sz w:val="28"/>
          <w:szCs w:val="28"/>
          <w:shd w:val="clear" w:color="auto" w:fill="FFFFFF"/>
        </w:rPr>
        <w:t xml:space="preserve"> </w:t>
      </w:r>
      <w:r w:rsidRPr="00E47AA9">
        <w:rPr>
          <w:rFonts w:ascii="Times New Roman" w:hAnsi="Times New Roman" w:cs="Times New Roman"/>
          <w:sz w:val="28"/>
          <w:szCs w:val="28"/>
        </w:rPr>
        <w:t xml:space="preserve">Неисполненные назначения составили 59,44 млн рублей. В 2024 году в Приморском крае введено в эксплуатацию 14 объектов зарядной инфраструктуры (первоначально планировалось 25). </w:t>
      </w:r>
    </w:p>
    <w:p w14:paraId="7B7F9C5D" w14:textId="1513B201" w:rsidR="007E6BA1" w:rsidRPr="00E47AA9" w:rsidRDefault="007E6BA1" w:rsidP="007E6BA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bCs/>
          <w:iCs/>
          <w:sz w:val="28"/>
          <w:szCs w:val="28"/>
        </w:rPr>
        <w:t xml:space="preserve">По </w:t>
      </w:r>
      <w:r w:rsidRPr="00E47AA9">
        <w:rPr>
          <w:rFonts w:ascii="Times New Roman" w:hAnsi="Times New Roman" w:cs="Times New Roman"/>
          <w:bCs/>
          <w:i/>
          <w:sz w:val="28"/>
          <w:szCs w:val="28"/>
        </w:rPr>
        <w:t>КПМ</w:t>
      </w:r>
      <w:r w:rsidRPr="00E47AA9">
        <w:rPr>
          <w:rFonts w:ascii="Times New Roman" w:hAnsi="Times New Roman" w:cs="Times New Roman"/>
          <w:bCs/>
          <w:i/>
          <w:iCs/>
          <w:sz w:val="28"/>
          <w:szCs w:val="28"/>
        </w:rPr>
        <w:t xml:space="preserve"> "Развитие электроэнергетики и системы электроснабжения в Приморском крае" </w:t>
      </w:r>
      <w:r w:rsidRPr="00E47AA9">
        <w:rPr>
          <w:rFonts w:ascii="Times New Roman" w:eastAsia="Calibri" w:hAnsi="Times New Roman" w:cs="Times New Roman"/>
          <w:bCs/>
          <w:iCs/>
          <w:sz w:val="28"/>
          <w:szCs w:val="28"/>
          <w:u w:val="single"/>
        </w:rPr>
        <w:t xml:space="preserve">министерством </w:t>
      </w:r>
      <w:r w:rsidR="00C56909" w:rsidRPr="00E47AA9">
        <w:rPr>
          <w:rFonts w:ascii="Times New Roman" w:eastAsia="Calibri" w:hAnsi="Times New Roman" w:cs="Times New Roman"/>
          <w:bCs/>
          <w:iCs/>
          <w:sz w:val="28"/>
          <w:szCs w:val="28"/>
          <w:u w:val="single"/>
        </w:rPr>
        <w:t>энергетики</w:t>
      </w:r>
      <w:r w:rsidRPr="00E47AA9">
        <w:rPr>
          <w:rFonts w:ascii="Times New Roman" w:eastAsia="Calibri" w:hAnsi="Times New Roman" w:cs="Times New Roman"/>
          <w:bCs/>
          <w:iCs/>
          <w:sz w:val="28"/>
          <w:szCs w:val="28"/>
        </w:rPr>
        <w:t xml:space="preserve"> </w:t>
      </w:r>
      <w:r w:rsidRPr="00E47AA9">
        <w:rPr>
          <w:rFonts w:ascii="Times New Roman" w:eastAsia="Times New Roman" w:hAnsi="Times New Roman" w:cs="Times New Roman"/>
          <w:sz w:val="28"/>
          <w:szCs w:val="28"/>
          <w:lang w:eastAsia="ru-RU"/>
        </w:rPr>
        <w:t>бюджетные ассигнования исполнены в сумме 147,84  млн рублей, или 78,35 % к утвержденным назначениям на 2024 год (188,70 млн рублей),</w:t>
      </w:r>
      <w:r w:rsidR="00F62AE0"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в том числе: </w:t>
      </w:r>
      <w:r w:rsidRPr="00E47AA9">
        <w:rPr>
          <w:rFonts w:ascii="Times New Roman" w:hAnsi="Times New Roman" w:cs="Times New Roman"/>
          <w:sz w:val="28"/>
          <w:szCs w:val="28"/>
        </w:rPr>
        <w:t>по субсидии гарантирующим поставщикам, реализующим электрическую энергию (мощность) покупателям на розничных рынках в Приморском крае на территориях, технологически не связанных с Единой энергетической системой России на возмещение недополученных доходов. В соответствии с паспортом ГП объем реализации электрической энергии, определенный регулирующим органом</w:t>
      </w:r>
      <w:r w:rsidR="00F62AE0" w:rsidRPr="00E47AA9">
        <w:rPr>
          <w:rFonts w:ascii="Times New Roman" w:hAnsi="Times New Roman" w:cs="Times New Roman"/>
          <w:sz w:val="28"/>
          <w:szCs w:val="28"/>
        </w:rPr>
        <w:t>,</w:t>
      </w:r>
      <w:r w:rsidRPr="00E47AA9">
        <w:rPr>
          <w:rFonts w:ascii="Times New Roman" w:hAnsi="Times New Roman" w:cs="Times New Roman"/>
          <w:sz w:val="28"/>
          <w:szCs w:val="28"/>
        </w:rPr>
        <w:t xml:space="preserve"> в 2024 году запланирован 9625436,00 кВт/ч, </w:t>
      </w:r>
      <w:r w:rsidRPr="00E47AA9">
        <w:rPr>
          <w:rFonts w:ascii="Times New Roman" w:hAnsi="Times New Roman" w:cs="Times New Roman"/>
          <w:spacing w:val="-1"/>
          <w:w w:val="105"/>
          <w:sz w:val="28"/>
          <w:szCs w:val="28"/>
        </w:rPr>
        <w:t>фактическое значение</w:t>
      </w:r>
      <w:r w:rsidR="00F62AE0" w:rsidRPr="00E47AA9">
        <w:rPr>
          <w:rFonts w:ascii="Times New Roman" w:hAnsi="Times New Roman" w:cs="Times New Roman"/>
          <w:spacing w:val="-1"/>
          <w:w w:val="105"/>
          <w:sz w:val="28"/>
          <w:szCs w:val="28"/>
        </w:rPr>
        <w:t> </w:t>
      </w:r>
      <w:r w:rsidRPr="00E47AA9">
        <w:rPr>
          <w:rFonts w:ascii="Times New Roman" w:hAnsi="Times New Roman" w:cs="Times New Roman"/>
          <w:spacing w:val="-1"/>
          <w:w w:val="105"/>
          <w:sz w:val="28"/>
          <w:szCs w:val="28"/>
        </w:rPr>
        <w:t xml:space="preserve">– 8538510 </w:t>
      </w:r>
      <w:r w:rsidRPr="00E47AA9">
        <w:rPr>
          <w:rFonts w:ascii="Times New Roman" w:hAnsi="Times New Roman" w:cs="Times New Roman"/>
          <w:sz w:val="28"/>
          <w:szCs w:val="28"/>
        </w:rPr>
        <w:t xml:space="preserve">кВт/ч (88,70 % от запланированного объема). Неиспользованный остаток безвозмездных целевых взносов сложился </w:t>
      </w:r>
      <w:r w:rsidRPr="00E47AA9">
        <w:rPr>
          <w:rFonts w:ascii="Times New Roman" w:eastAsia="Calibri" w:hAnsi="Times New Roman" w:cs="Times New Roman"/>
          <w:sz w:val="28"/>
          <w:szCs w:val="28"/>
        </w:rPr>
        <w:t xml:space="preserve">исходя из фактического отпуска электрической энергии и </w:t>
      </w:r>
      <w:r w:rsidRPr="00E47AA9">
        <w:rPr>
          <w:rFonts w:ascii="Times New Roman" w:hAnsi="Times New Roman" w:cs="Times New Roman"/>
          <w:sz w:val="28"/>
          <w:szCs w:val="28"/>
        </w:rPr>
        <w:t>составил 40,86 млн рублей.</w:t>
      </w:r>
    </w:p>
    <w:p w14:paraId="699E8C40" w14:textId="77777777" w:rsidR="007E6BA1" w:rsidRPr="00E47AA9" w:rsidRDefault="007E6BA1" w:rsidP="007E6BA1">
      <w:pPr>
        <w:shd w:val="clear" w:color="auto" w:fill="FFFFFF" w:themeFill="background1"/>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В рамках </w:t>
      </w:r>
      <w:r w:rsidRPr="00E47AA9">
        <w:rPr>
          <w:rFonts w:ascii="Times New Roman" w:hAnsi="Times New Roman" w:cs="Times New Roman"/>
          <w:b/>
          <w:sz w:val="28"/>
          <w:szCs w:val="28"/>
        </w:rPr>
        <w:t xml:space="preserve">подпрограммы </w:t>
      </w:r>
      <w:r w:rsidRPr="00E47AA9">
        <w:rPr>
          <w:rFonts w:ascii="Times New Roman" w:eastAsia="Times New Roman" w:hAnsi="Times New Roman" w:cs="Times New Roman"/>
          <w:b/>
          <w:sz w:val="28"/>
          <w:szCs w:val="28"/>
          <w:lang w:eastAsia="ru-RU"/>
        </w:rPr>
        <w:t xml:space="preserve">"Развитие энергетики в Приморском крае" </w:t>
      </w:r>
      <w:r w:rsidRPr="00E47AA9">
        <w:rPr>
          <w:rFonts w:ascii="Times New Roman" w:hAnsi="Times New Roman" w:cs="Times New Roman"/>
          <w:sz w:val="28"/>
          <w:szCs w:val="28"/>
        </w:rPr>
        <w:t xml:space="preserve">министерство энергетики и газоснабжения Приморского края осуществляет реализацию по </w:t>
      </w:r>
      <w:r w:rsidRPr="00E47AA9">
        <w:rPr>
          <w:rFonts w:ascii="Times New Roman" w:hAnsi="Times New Roman" w:cs="Times New Roman"/>
          <w:i/>
          <w:iCs/>
          <w:sz w:val="28"/>
          <w:szCs w:val="28"/>
        </w:rPr>
        <w:t>КПМ</w:t>
      </w:r>
      <w:r w:rsidRPr="00E47AA9">
        <w:rPr>
          <w:rFonts w:ascii="Times New Roman" w:hAnsi="Times New Roman" w:cs="Times New Roman"/>
          <w:sz w:val="28"/>
          <w:szCs w:val="28"/>
        </w:rPr>
        <w:t xml:space="preserve"> </w:t>
      </w:r>
      <w:r w:rsidRPr="00E47AA9">
        <w:rPr>
          <w:rFonts w:ascii="Times New Roman" w:hAnsi="Times New Roman" w:cs="Times New Roman"/>
          <w:i/>
          <w:sz w:val="28"/>
          <w:szCs w:val="28"/>
        </w:rPr>
        <w:t xml:space="preserve">"Развитие инфраструктуры территорий опережающего развития в Приморском крае". </w:t>
      </w:r>
      <w:r w:rsidRPr="00E47AA9">
        <w:rPr>
          <w:rFonts w:ascii="Times New Roman" w:hAnsi="Times New Roman" w:cs="Times New Roman"/>
          <w:sz w:val="28"/>
          <w:szCs w:val="28"/>
        </w:rPr>
        <w:t>В 2024 году</w:t>
      </w:r>
      <w:r w:rsidRPr="00E47AA9">
        <w:rPr>
          <w:rFonts w:ascii="Times New Roman" w:hAnsi="Times New Roman" w:cs="Times New Roman"/>
          <w:i/>
          <w:sz w:val="28"/>
          <w:szCs w:val="28"/>
        </w:rPr>
        <w:t xml:space="preserve"> </w:t>
      </w:r>
      <w:r w:rsidRPr="00E47AA9">
        <w:rPr>
          <w:rFonts w:ascii="Times New Roman" w:hAnsi="Times New Roman" w:cs="Times New Roman"/>
          <w:sz w:val="28"/>
          <w:szCs w:val="28"/>
        </w:rPr>
        <w:t>бюджетные ассигнования исполнены в полном объеме 659,19 млн рублей на реализацию мероприятий планов социального развития центров экономического роста субъектов РФ, входящих в состав ДФО, в том числе субсидии:</w:t>
      </w:r>
    </w:p>
    <w:p w14:paraId="027765D2" w14:textId="3EF6BDDC" w:rsidR="007E6BA1" w:rsidRPr="00E47AA9" w:rsidRDefault="007E6BA1" w:rsidP="007E6BA1">
      <w:pPr>
        <w:shd w:val="clear" w:color="auto" w:fill="FFFFFF" w:themeFill="background1"/>
        <w:autoSpaceDE w:val="0"/>
        <w:autoSpaceDN w:val="0"/>
        <w:adjustRightInd w:val="0"/>
        <w:spacing w:after="0" w:line="240" w:lineRule="auto"/>
        <w:ind w:firstLine="680"/>
        <w:jc w:val="both"/>
        <w:rPr>
          <w:rFonts w:ascii="Times New Roman" w:hAnsi="Times New Roman" w:cs="Times New Roman"/>
          <w:sz w:val="28"/>
          <w:szCs w:val="28"/>
        </w:rPr>
      </w:pPr>
      <w:r w:rsidRPr="00E47AA9">
        <w:rPr>
          <w:rFonts w:ascii="Times New Roman" w:hAnsi="Times New Roman" w:cs="Times New Roman"/>
          <w:sz w:val="28"/>
          <w:szCs w:val="28"/>
        </w:rPr>
        <w:t xml:space="preserve">на выполнение проектно-изыскательских и строительно-монтажных работ ООО "КРДВ Приморье" на развитие инфраструктуры территорий опережающего развития в Приморском крае – 411,74 млн рублей, включая расходы на реализацию мероприятия "Технологическое присоединение </w:t>
      </w:r>
      <w:r w:rsidRPr="00E47AA9">
        <w:rPr>
          <w:rFonts w:ascii="Times New Roman" w:hAnsi="Times New Roman" w:cs="Times New Roman"/>
          <w:sz w:val="28"/>
          <w:szCs w:val="28"/>
        </w:rPr>
        <w:lastRenderedPageBreak/>
        <w:t xml:space="preserve">объектов резидента ООО "Бизнес центр "Русский остров" </w:t>
      </w:r>
      <w:r w:rsidRPr="00E47AA9">
        <w:rPr>
          <w:rFonts w:ascii="Times New Roman" w:hAnsi="Times New Roman" w:cs="Times New Roman"/>
          <w:sz w:val="28"/>
          <w:szCs w:val="28"/>
        </w:rPr>
        <w:br/>
        <w:t>к электрическим сетям" (25,75 млн рублей);</w:t>
      </w:r>
    </w:p>
    <w:p w14:paraId="3989D25A" w14:textId="232ADA1D" w:rsidR="007E6BA1" w:rsidRPr="00E47AA9" w:rsidRDefault="007E6BA1" w:rsidP="007E6BA1">
      <w:pPr>
        <w:shd w:val="clear" w:color="auto" w:fill="FFFFFF" w:themeFill="background1"/>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 xml:space="preserve">на технологическое присоединение к электрическим сетям двух подстанций </w:t>
      </w:r>
      <w:r w:rsidR="00EF731E" w:rsidRPr="00E47AA9">
        <w:rPr>
          <w:rFonts w:ascii="Times New Roman" w:hAnsi="Times New Roman" w:cs="Times New Roman"/>
          <w:sz w:val="28"/>
          <w:szCs w:val="28"/>
        </w:rPr>
        <w:t xml:space="preserve">к </w:t>
      </w:r>
      <w:r w:rsidRPr="00E47AA9">
        <w:rPr>
          <w:rFonts w:ascii="Times New Roman" w:hAnsi="Times New Roman" w:cs="Times New Roman"/>
          <w:sz w:val="28"/>
          <w:szCs w:val="28"/>
        </w:rPr>
        <w:t>Центру питания в г. Находка по ул.  Сове</w:t>
      </w:r>
      <w:r w:rsidR="00F62AE0" w:rsidRPr="00E47AA9">
        <w:rPr>
          <w:rFonts w:ascii="Times New Roman" w:hAnsi="Times New Roman" w:cs="Times New Roman"/>
          <w:sz w:val="28"/>
          <w:szCs w:val="28"/>
        </w:rPr>
        <w:t xml:space="preserve">тская </w:t>
      </w:r>
      <w:r w:rsidR="00F62AE0" w:rsidRPr="00E47AA9">
        <w:rPr>
          <w:rFonts w:ascii="Times New Roman" w:hAnsi="Times New Roman" w:cs="Times New Roman"/>
          <w:sz w:val="28"/>
          <w:szCs w:val="28"/>
        </w:rPr>
        <w:br/>
        <w:t>и ул.  Пляжная – 247,46 </w:t>
      </w:r>
      <w:r w:rsidRPr="00E47AA9">
        <w:rPr>
          <w:rFonts w:ascii="Times New Roman" w:hAnsi="Times New Roman" w:cs="Times New Roman"/>
          <w:sz w:val="28"/>
          <w:szCs w:val="28"/>
        </w:rPr>
        <w:t xml:space="preserve">млн рублей. Стоит отметить, что при 100,0 % финансировании в составе дебиторской задолженности по мероприятию </w:t>
      </w:r>
      <w:r w:rsidRPr="00E47AA9">
        <w:rPr>
          <w:rFonts w:ascii="Times New Roman" w:hAnsi="Times New Roman" w:cs="Times New Roman"/>
          <w:sz w:val="28"/>
          <w:szCs w:val="28"/>
        </w:rPr>
        <w:br/>
        <w:t>на 01.01.2025 задолженность составила тот же объем (247,46 млн рублей).</w:t>
      </w:r>
    </w:p>
    <w:p w14:paraId="77578EDA" w14:textId="3319848D" w:rsidR="007E6BA1" w:rsidRPr="00E47AA9" w:rsidRDefault="007E6BA1" w:rsidP="007E6BA1">
      <w:pPr>
        <w:shd w:val="clear" w:color="auto" w:fill="FFFFFF" w:themeFill="background1"/>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 xml:space="preserve">По </w:t>
      </w:r>
      <w:r w:rsidRPr="00E47AA9">
        <w:rPr>
          <w:rFonts w:ascii="Times New Roman" w:hAnsi="Times New Roman" w:cs="Times New Roman"/>
          <w:i/>
          <w:iCs/>
          <w:sz w:val="28"/>
          <w:szCs w:val="28"/>
        </w:rPr>
        <w:t>КПМ</w:t>
      </w:r>
      <w:r w:rsidRPr="00E47AA9">
        <w:rPr>
          <w:rFonts w:ascii="Times New Roman" w:hAnsi="Times New Roman" w:cs="Times New Roman"/>
          <w:i/>
          <w:sz w:val="28"/>
          <w:szCs w:val="28"/>
        </w:rPr>
        <w:t xml:space="preserve"> "Управление, организационно-правовое и методическое обеспечение в сфере установленных функций органов исполнительной власти Приморского края" </w:t>
      </w:r>
      <w:r w:rsidRPr="00E47AA9">
        <w:rPr>
          <w:rFonts w:ascii="Times New Roman" w:hAnsi="Times New Roman" w:cs="Times New Roman"/>
          <w:sz w:val="28"/>
          <w:szCs w:val="28"/>
        </w:rPr>
        <w:t xml:space="preserve">исполнение расходов по министерству </w:t>
      </w:r>
      <w:r w:rsidR="00871851" w:rsidRPr="00E47AA9">
        <w:rPr>
          <w:rFonts w:ascii="Times New Roman" w:hAnsi="Times New Roman" w:cs="Times New Roman"/>
          <w:sz w:val="28"/>
          <w:szCs w:val="28"/>
        </w:rPr>
        <w:t>энергетики</w:t>
      </w:r>
      <w:r w:rsidRPr="00E47AA9">
        <w:rPr>
          <w:rFonts w:ascii="Times New Roman" w:hAnsi="Times New Roman" w:cs="Times New Roman"/>
          <w:sz w:val="28"/>
          <w:szCs w:val="28"/>
        </w:rPr>
        <w:t xml:space="preserve"> составило 43,19 млн рублей, или 97,03 % </w:t>
      </w:r>
      <w:r w:rsidRPr="00E47AA9">
        <w:rPr>
          <w:rFonts w:ascii="Times New Roman" w:eastAsia="Times New Roman" w:hAnsi="Times New Roman" w:cs="Times New Roman"/>
          <w:sz w:val="28"/>
          <w:szCs w:val="28"/>
        </w:rPr>
        <w:t xml:space="preserve">от уточненных бюджетных назначений (44,51 млн рублей). Остаток неисполненных расходов </w:t>
      </w:r>
      <w:r w:rsidR="004C5424"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1,32 млн рублей (причина</w:t>
      </w:r>
      <w:r w:rsidR="004C5424"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rPr>
        <w:t xml:space="preserve"> экономия по взносам по обязательному социальному страхованию, иным выплатам работникам государственных органов, командировочным расходам).</w:t>
      </w:r>
    </w:p>
    <w:p w14:paraId="75102EF6" w14:textId="77777777" w:rsidR="007E6BA1" w:rsidRPr="00E47AA9" w:rsidRDefault="007E6BA1" w:rsidP="007E6BA1">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Подпрограмма "Энергосбережение и повышение энергетической эффективности в Приморском крае"</w:t>
      </w:r>
      <w:r w:rsidRPr="00E47AA9">
        <w:rPr>
          <w:rFonts w:ascii="Times New Roman" w:eastAsia="Times New Roman" w:hAnsi="Times New Roman" w:cs="Times New Roman"/>
          <w:sz w:val="28"/>
          <w:szCs w:val="28"/>
          <w:lang w:eastAsia="ru-RU"/>
        </w:rPr>
        <w:t xml:space="preserve"> </w:t>
      </w:r>
    </w:p>
    <w:p w14:paraId="08E6979F" w14:textId="0ADEABB6" w:rsidR="007E6BA1" w:rsidRPr="00E47AA9" w:rsidRDefault="007E6BA1" w:rsidP="007E6BA1">
      <w:pPr>
        <w:autoSpaceDE w:val="0"/>
        <w:autoSpaceDN w:val="0"/>
        <w:adjustRightInd w:val="0"/>
        <w:spacing w:after="0" w:line="240" w:lineRule="auto"/>
        <w:ind w:firstLine="708"/>
        <w:jc w:val="both"/>
        <w:rPr>
          <w:rFonts w:ascii="Times New Roman" w:eastAsia="Times New Roman" w:hAnsi="Times New Roman" w:cs="Times New Roman"/>
          <w:sz w:val="28"/>
          <w:szCs w:val="28"/>
        </w:rPr>
      </w:pPr>
      <w:r w:rsidRPr="00E47AA9">
        <w:rPr>
          <w:rFonts w:ascii="Times New Roman" w:hAnsi="Times New Roman" w:cs="Times New Roman"/>
          <w:sz w:val="28"/>
          <w:szCs w:val="28"/>
        </w:rPr>
        <w:lastRenderedPageBreak/>
        <w:t xml:space="preserve">По </w:t>
      </w:r>
      <w:r w:rsidRPr="00E47AA9">
        <w:rPr>
          <w:rFonts w:ascii="Times New Roman" w:hAnsi="Times New Roman" w:cs="Times New Roman"/>
          <w:i/>
          <w:iCs/>
          <w:sz w:val="28"/>
          <w:szCs w:val="28"/>
        </w:rPr>
        <w:t>КПМ</w:t>
      </w:r>
      <w:r w:rsidRPr="00E47AA9">
        <w:rPr>
          <w:rFonts w:ascii="Times New Roman" w:hAnsi="Times New Roman" w:cs="Times New Roman"/>
          <w:sz w:val="28"/>
          <w:szCs w:val="28"/>
        </w:rPr>
        <w:t xml:space="preserve"> </w:t>
      </w:r>
      <w:r w:rsidRPr="00E47AA9">
        <w:rPr>
          <w:rFonts w:ascii="Times New Roman" w:hAnsi="Times New Roman" w:cs="Times New Roman"/>
          <w:i/>
          <w:sz w:val="28"/>
          <w:szCs w:val="28"/>
        </w:rPr>
        <w:t xml:space="preserve">"Энергосбережение и повышение энергетической эффективности в системах коммунальной инфраструктуры и жилищном фонде" </w:t>
      </w:r>
      <w:r w:rsidRPr="00E47AA9">
        <w:rPr>
          <w:rFonts w:ascii="Times New Roman" w:hAnsi="Times New Roman" w:cs="Times New Roman"/>
          <w:sz w:val="28"/>
          <w:szCs w:val="28"/>
        </w:rPr>
        <w:t>расходы осуществлялись</w:t>
      </w:r>
      <w:r w:rsidRPr="00E47AA9">
        <w:rPr>
          <w:rFonts w:ascii="Times New Roman" w:hAnsi="Times New Roman" w:cs="Times New Roman"/>
          <w:i/>
          <w:sz w:val="28"/>
          <w:szCs w:val="28"/>
        </w:rPr>
        <w:t xml:space="preserve"> </w:t>
      </w:r>
      <w:r w:rsidRPr="00E47AA9">
        <w:rPr>
          <w:rFonts w:ascii="Times New Roman" w:eastAsia="Times New Roman" w:hAnsi="Times New Roman" w:cs="Times New Roman"/>
          <w:sz w:val="28"/>
          <w:szCs w:val="28"/>
          <w:u w:val="single"/>
        </w:rPr>
        <w:t>министерством ЖКХ</w:t>
      </w:r>
      <w:r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lang w:eastAsia="ru-RU"/>
        </w:rPr>
        <w:t>в сумме</w:t>
      </w:r>
      <w:r w:rsidRPr="00E47AA9">
        <w:rPr>
          <w:rFonts w:ascii="Times New Roman" w:eastAsia="Times New Roman" w:hAnsi="Times New Roman" w:cs="Times New Roman"/>
          <w:sz w:val="28"/>
          <w:szCs w:val="28"/>
        </w:rPr>
        <w:t xml:space="preserve"> 1049,00 млн рублей, или 83,76 % к уточненным бюджетным назначениям (1252,36 млн рублей), в том числе</w:t>
      </w:r>
      <w:r w:rsidR="0042399C" w:rsidRPr="00E47AA9">
        <w:rPr>
          <w:rFonts w:ascii="Times New Roman" w:hAnsi="Times New Roman" w:cs="Times New Roman"/>
          <w:sz w:val="28"/>
          <w:szCs w:val="28"/>
        </w:rPr>
        <w:t xml:space="preserve"> </w:t>
      </w:r>
      <w:r w:rsidR="00DE356D" w:rsidRPr="00E47AA9">
        <w:rPr>
          <w:rFonts w:ascii="Times New Roman" w:hAnsi="Times New Roman" w:cs="Times New Roman"/>
          <w:sz w:val="28"/>
          <w:szCs w:val="28"/>
        </w:rPr>
        <w:t xml:space="preserve">в полном объеме </w:t>
      </w:r>
      <w:r w:rsidR="006E1B7B" w:rsidRPr="00E47AA9">
        <w:rPr>
          <w:rFonts w:ascii="Times New Roman" w:hAnsi="Times New Roman" w:cs="Times New Roman"/>
          <w:sz w:val="28"/>
          <w:szCs w:val="28"/>
        </w:rPr>
        <w:t>субсидии КГУП "Примтеплоэнерго"</w:t>
      </w:r>
      <w:r w:rsidRPr="00E47AA9">
        <w:rPr>
          <w:rFonts w:ascii="Times New Roman" w:eastAsia="Times New Roman" w:hAnsi="Times New Roman" w:cs="Times New Roman"/>
          <w:sz w:val="28"/>
          <w:szCs w:val="28"/>
        </w:rPr>
        <w:t>:</w:t>
      </w:r>
    </w:p>
    <w:p w14:paraId="449C6A79" w14:textId="37089157" w:rsidR="007E6BA1" w:rsidRPr="00E47AA9" w:rsidRDefault="0042399C" w:rsidP="007E6BA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363,78 млн рублей </w:t>
      </w:r>
      <w:r w:rsidR="009C59FC" w:rsidRPr="00E47AA9">
        <w:rPr>
          <w:rFonts w:ascii="Times New Roman" w:hAnsi="Times New Roman" w:cs="Times New Roman"/>
          <w:sz w:val="28"/>
          <w:szCs w:val="28"/>
        </w:rPr>
        <w:t>–</w:t>
      </w:r>
      <w:r w:rsidRPr="00E47AA9">
        <w:rPr>
          <w:rFonts w:ascii="Times New Roman" w:hAnsi="Times New Roman" w:cs="Times New Roman"/>
          <w:sz w:val="28"/>
          <w:szCs w:val="28"/>
        </w:rPr>
        <w:t xml:space="preserve"> </w:t>
      </w:r>
      <w:r w:rsidR="007E6BA1" w:rsidRPr="00E47AA9">
        <w:rPr>
          <w:rFonts w:ascii="Times New Roman" w:hAnsi="Times New Roman" w:cs="Times New Roman"/>
          <w:sz w:val="28"/>
          <w:szCs w:val="28"/>
        </w:rPr>
        <w:t xml:space="preserve">на проведение мероприятий </w:t>
      </w:r>
      <w:proofErr w:type="spellStart"/>
      <w:r w:rsidR="007E6BA1" w:rsidRPr="00E47AA9">
        <w:rPr>
          <w:rFonts w:ascii="Times New Roman" w:hAnsi="Times New Roman" w:cs="Times New Roman"/>
          <w:sz w:val="28"/>
          <w:szCs w:val="28"/>
        </w:rPr>
        <w:t>энергоресурсосбережения</w:t>
      </w:r>
      <w:proofErr w:type="spellEnd"/>
      <w:r w:rsidR="007E6BA1" w:rsidRPr="00E47AA9">
        <w:rPr>
          <w:rFonts w:ascii="Times New Roman" w:hAnsi="Times New Roman" w:cs="Times New Roman"/>
          <w:sz w:val="28"/>
          <w:szCs w:val="28"/>
        </w:rPr>
        <w:t xml:space="preserve"> и модернизации объектов коммунальной инфраструктуры Приморского края. Стоит отметить, что в паспорте ГП отсутствуют такие целевые показатели, как количество построенных и введенных в эксплуатацию котельных, которые представляют собой конечные результаты исполнения расходов и соответствуют результатам структурных элементов ГП</w:t>
      </w:r>
      <w:r w:rsidR="007E6BA1" w:rsidRPr="00E47AA9">
        <w:rPr>
          <w:rFonts w:ascii="Times New Roman" w:hAnsi="Times New Roman" w:cs="Times New Roman"/>
          <w:sz w:val="28"/>
          <w:szCs w:val="28"/>
          <w:vertAlign w:val="superscript"/>
        </w:rPr>
        <w:footnoteReference w:id="75"/>
      </w:r>
      <w:r w:rsidR="007E6BA1" w:rsidRPr="00E47AA9">
        <w:rPr>
          <w:rFonts w:ascii="Times New Roman" w:hAnsi="Times New Roman" w:cs="Times New Roman"/>
          <w:sz w:val="28"/>
          <w:szCs w:val="28"/>
        </w:rPr>
        <w:t xml:space="preserve">. Согласно </w:t>
      </w:r>
      <w:proofErr w:type="gramStart"/>
      <w:r w:rsidR="007E6BA1" w:rsidRPr="00E47AA9">
        <w:rPr>
          <w:rFonts w:ascii="Times New Roman" w:hAnsi="Times New Roman" w:cs="Times New Roman"/>
          <w:sz w:val="28"/>
          <w:szCs w:val="28"/>
        </w:rPr>
        <w:t>информации министерства ЖК</w:t>
      </w:r>
      <w:r w:rsidR="009C59FC" w:rsidRPr="00E47AA9">
        <w:rPr>
          <w:rFonts w:ascii="Times New Roman" w:hAnsi="Times New Roman" w:cs="Times New Roman"/>
          <w:sz w:val="28"/>
          <w:szCs w:val="28"/>
        </w:rPr>
        <w:t>Х</w:t>
      </w:r>
      <w:proofErr w:type="gramEnd"/>
      <w:r w:rsidR="007E6BA1" w:rsidRPr="00E47AA9">
        <w:rPr>
          <w:rFonts w:ascii="Times New Roman" w:hAnsi="Times New Roman" w:cs="Times New Roman"/>
          <w:sz w:val="28"/>
          <w:szCs w:val="28"/>
        </w:rPr>
        <w:t xml:space="preserve"> в 2024 году субсидии направлены на:</w:t>
      </w:r>
    </w:p>
    <w:p w14:paraId="3FAD824B" w14:textId="77777777" w:rsidR="007E6BA1" w:rsidRPr="00E47AA9" w:rsidRDefault="007E6BA1" w:rsidP="007E6BA1">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капитальный ремонт оборудования котельных в Партизанском ГО, Дальнегорском ГО, Лесозаводском ГО и Кировском МР; </w:t>
      </w:r>
    </w:p>
    <w:p w14:paraId="7E6C4505" w14:textId="77777777" w:rsidR="007E6BA1" w:rsidRPr="00E47AA9" w:rsidRDefault="007E6BA1" w:rsidP="007E6BA1">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приобретение 73 единиц оборудования для замены выработавшего ресурс на 62 объектах в 22 муниципальных образованиях Приморского края; </w:t>
      </w:r>
    </w:p>
    <w:p w14:paraId="1AA0BF7D" w14:textId="39A5CD78" w:rsidR="007E6BA1" w:rsidRPr="00E47AA9" w:rsidRDefault="007E6BA1" w:rsidP="007E6BA1">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приобретение 19 </w:t>
      </w:r>
      <w:proofErr w:type="spellStart"/>
      <w:r w:rsidRPr="00E47AA9">
        <w:rPr>
          <w:rFonts w:ascii="Times New Roman" w:eastAsia="Calibri" w:hAnsi="Times New Roman" w:cs="Times New Roman"/>
          <w:sz w:val="28"/>
          <w:szCs w:val="28"/>
        </w:rPr>
        <w:t>блочно</w:t>
      </w:r>
      <w:proofErr w:type="spellEnd"/>
      <w:r w:rsidRPr="00E47AA9">
        <w:rPr>
          <w:rFonts w:ascii="Times New Roman" w:eastAsia="Calibri" w:hAnsi="Times New Roman" w:cs="Times New Roman"/>
          <w:sz w:val="28"/>
          <w:szCs w:val="28"/>
        </w:rPr>
        <w:t>-модульных котельных общей установленной мощностью 24 МВт для переключения нагрузки от котельных в 10 муниципальных образованиях Приморского края (</w:t>
      </w:r>
      <w:proofErr w:type="spellStart"/>
      <w:r w:rsidRPr="00E47AA9">
        <w:rPr>
          <w:rFonts w:ascii="Times New Roman" w:eastAsia="Calibri" w:hAnsi="Times New Roman" w:cs="Times New Roman"/>
          <w:sz w:val="28"/>
          <w:szCs w:val="28"/>
        </w:rPr>
        <w:t>Арсеньевском</w:t>
      </w:r>
      <w:proofErr w:type="spellEnd"/>
      <w:r w:rsidRPr="00E47AA9">
        <w:rPr>
          <w:rFonts w:ascii="Times New Roman" w:eastAsia="Calibri" w:hAnsi="Times New Roman" w:cs="Times New Roman"/>
          <w:sz w:val="28"/>
          <w:szCs w:val="28"/>
        </w:rPr>
        <w:t>, Владивостокском, Лесозаводском и Находкинском ГО, Кировском</w:t>
      </w:r>
      <w:r w:rsidR="00EF731E" w:rsidRPr="00E47AA9">
        <w:rPr>
          <w:rFonts w:ascii="Times New Roman" w:eastAsia="Calibri" w:hAnsi="Times New Roman" w:cs="Times New Roman"/>
          <w:sz w:val="28"/>
          <w:szCs w:val="28"/>
        </w:rPr>
        <w:t xml:space="preserve"> МР</w:t>
      </w:r>
      <w:r w:rsidRPr="00E47AA9">
        <w:rPr>
          <w:rFonts w:ascii="Times New Roman" w:eastAsia="Calibri" w:hAnsi="Times New Roman" w:cs="Times New Roman"/>
          <w:sz w:val="28"/>
          <w:szCs w:val="28"/>
        </w:rPr>
        <w:t>, Михайловском</w:t>
      </w:r>
      <w:r w:rsidR="00EF731E" w:rsidRPr="00E47AA9">
        <w:rPr>
          <w:rFonts w:ascii="Times New Roman" w:eastAsia="Calibri" w:hAnsi="Times New Roman" w:cs="Times New Roman"/>
          <w:sz w:val="28"/>
          <w:szCs w:val="28"/>
        </w:rPr>
        <w:t xml:space="preserve"> МО</w:t>
      </w:r>
      <w:r w:rsidRPr="00E47AA9">
        <w:rPr>
          <w:rFonts w:ascii="Times New Roman" w:eastAsia="Calibri" w:hAnsi="Times New Roman" w:cs="Times New Roman"/>
          <w:sz w:val="28"/>
          <w:szCs w:val="28"/>
        </w:rPr>
        <w:t>, Партизанском</w:t>
      </w:r>
      <w:r w:rsidR="00EF731E" w:rsidRPr="00E47AA9">
        <w:rPr>
          <w:rFonts w:ascii="Times New Roman" w:eastAsia="Calibri" w:hAnsi="Times New Roman" w:cs="Times New Roman"/>
          <w:sz w:val="28"/>
          <w:szCs w:val="28"/>
        </w:rPr>
        <w:t xml:space="preserve"> МО</w:t>
      </w:r>
      <w:r w:rsidRPr="00E47AA9">
        <w:rPr>
          <w:rFonts w:ascii="Times New Roman" w:eastAsia="Calibri" w:hAnsi="Times New Roman" w:cs="Times New Roman"/>
          <w:sz w:val="28"/>
          <w:szCs w:val="28"/>
        </w:rPr>
        <w:t xml:space="preserve">, </w:t>
      </w:r>
      <w:proofErr w:type="spellStart"/>
      <w:r w:rsidRPr="00E47AA9">
        <w:rPr>
          <w:rFonts w:ascii="Times New Roman" w:eastAsia="Calibri" w:hAnsi="Times New Roman" w:cs="Times New Roman"/>
          <w:sz w:val="28"/>
          <w:szCs w:val="28"/>
        </w:rPr>
        <w:t>Хасанском</w:t>
      </w:r>
      <w:proofErr w:type="spellEnd"/>
      <w:r w:rsidR="00EF731E" w:rsidRPr="00E47AA9">
        <w:rPr>
          <w:rFonts w:ascii="Times New Roman" w:eastAsia="Calibri" w:hAnsi="Times New Roman" w:cs="Times New Roman"/>
          <w:sz w:val="28"/>
          <w:szCs w:val="28"/>
        </w:rPr>
        <w:t xml:space="preserve"> МО</w:t>
      </w:r>
      <w:r w:rsidRPr="00E47AA9">
        <w:rPr>
          <w:rFonts w:ascii="Times New Roman" w:eastAsia="Calibri" w:hAnsi="Times New Roman" w:cs="Times New Roman"/>
          <w:sz w:val="28"/>
          <w:szCs w:val="28"/>
        </w:rPr>
        <w:t xml:space="preserve">, Хорольском </w:t>
      </w:r>
      <w:r w:rsidR="00EF731E" w:rsidRPr="00E47AA9">
        <w:rPr>
          <w:rFonts w:ascii="Times New Roman" w:eastAsia="Calibri" w:hAnsi="Times New Roman" w:cs="Times New Roman"/>
          <w:sz w:val="28"/>
          <w:szCs w:val="28"/>
        </w:rPr>
        <w:t xml:space="preserve">МО </w:t>
      </w:r>
      <w:r w:rsidRPr="00E47AA9">
        <w:rPr>
          <w:rFonts w:ascii="Times New Roman" w:eastAsia="Calibri" w:hAnsi="Times New Roman" w:cs="Times New Roman"/>
          <w:sz w:val="28"/>
          <w:szCs w:val="28"/>
        </w:rPr>
        <w:t xml:space="preserve">и </w:t>
      </w:r>
      <w:proofErr w:type="spellStart"/>
      <w:r w:rsidRPr="00E47AA9">
        <w:rPr>
          <w:rFonts w:ascii="Times New Roman" w:eastAsia="Calibri" w:hAnsi="Times New Roman" w:cs="Times New Roman"/>
          <w:sz w:val="28"/>
          <w:szCs w:val="28"/>
        </w:rPr>
        <w:t>Чугуевском</w:t>
      </w:r>
      <w:proofErr w:type="spellEnd"/>
      <w:r w:rsidRPr="00E47AA9">
        <w:rPr>
          <w:rFonts w:ascii="Times New Roman" w:eastAsia="Calibri" w:hAnsi="Times New Roman" w:cs="Times New Roman"/>
          <w:sz w:val="28"/>
          <w:szCs w:val="28"/>
        </w:rPr>
        <w:t xml:space="preserve"> </w:t>
      </w:r>
      <w:r w:rsidR="00EF731E" w:rsidRPr="00E47AA9">
        <w:rPr>
          <w:rFonts w:ascii="Times New Roman" w:eastAsia="Calibri" w:hAnsi="Times New Roman" w:cs="Times New Roman"/>
          <w:sz w:val="28"/>
          <w:szCs w:val="28"/>
        </w:rPr>
        <w:t>МО</w:t>
      </w:r>
      <w:r w:rsidRPr="00E47AA9">
        <w:rPr>
          <w:rFonts w:ascii="Times New Roman" w:eastAsia="Calibri" w:hAnsi="Times New Roman" w:cs="Times New Roman"/>
          <w:sz w:val="28"/>
          <w:szCs w:val="28"/>
        </w:rPr>
        <w:t xml:space="preserve">); </w:t>
      </w:r>
    </w:p>
    <w:p w14:paraId="23DEDCD4" w14:textId="573BF541" w:rsidR="007E6BA1" w:rsidRPr="00E47AA9" w:rsidRDefault="007E6BA1" w:rsidP="007E6BA1">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приобретение 44 дизель-генераторных установок для замены выработавших ресурс</w:t>
      </w:r>
      <w:r w:rsidR="00EC46EA"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w:t>
      </w:r>
    </w:p>
    <w:p w14:paraId="37CA7042" w14:textId="4769FD83" w:rsidR="007E6BA1" w:rsidRPr="00E47AA9" w:rsidRDefault="007E6BA1" w:rsidP="007E6BA1">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73,31 млн рублей </w:t>
      </w:r>
      <w:r w:rsidR="004C5424" w:rsidRPr="00E47AA9">
        <w:rPr>
          <w:rFonts w:ascii="Times New Roman" w:hAnsi="Times New Roman" w:cs="Times New Roman"/>
          <w:sz w:val="28"/>
          <w:szCs w:val="28"/>
        </w:rPr>
        <w:t>–</w:t>
      </w:r>
      <w:r w:rsidR="006E1B7B" w:rsidRPr="00E47AA9">
        <w:rPr>
          <w:rFonts w:ascii="Times New Roman" w:hAnsi="Times New Roman" w:cs="Times New Roman"/>
          <w:sz w:val="28"/>
          <w:szCs w:val="28"/>
        </w:rPr>
        <w:t xml:space="preserve"> </w:t>
      </w:r>
      <w:r w:rsidRPr="00E47AA9">
        <w:rPr>
          <w:rFonts w:ascii="Times New Roman" w:hAnsi="Times New Roman" w:cs="Times New Roman"/>
          <w:sz w:val="28"/>
          <w:szCs w:val="28"/>
        </w:rPr>
        <w:t>на возмещение затрат, связанных с ростом цен на топливо при производстве электрической энергии дизельными электростанциями;</w:t>
      </w:r>
    </w:p>
    <w:p w14:paraId="6C415324" w14:textId="1A17DC69" w:rsidR="007E6BA1" w:rsidRPr="00E47AA9" w:rsidRDefault="007E6BA1" w:rsidP="007E6BA1">
      <w:pPr>
        <w:spacing w:after="0" w:line="240" w:lineRule="auto"/>
        <w:ind w:firstLine="708"/>
        <w:jc w:val="both"/>
        <w:rPr>
          <w:rFonts w:ascii="Times New Roman" w:hAnsi="Times New Roman" w:cs="Times New Roman"/>
          <w:bCs/>
          <w:sz w:val="28"/>
          <w:szCs w:val="28"/>
        </w:rPr>
      </w:pPr>
      <w:r w:rsidRPr="00E47AA9">
        <w:rPr>
          <w:rFonts w:ascii="Times New Roman" w:hAnsi="Times New Roman" w:cs="Times New Roman"/>
          <w:sz w:val="28"/>
          <w:szCs w:val="28"/>
        </w:rPr>
        <w:t xml:space="preserve">218,98 млн рублей </w:t>
      </w:r>
      <w:r w:rsidR="004C5424" w:rsidRPr="00E47AA9">
        <w:rPr>
          <w:rFonts w:ascii="Times New Roman" w:hAnsi="Times New Roman" w:cs="Times New Roman"/>
          <w:sz w:val="28"/>
          <w:szCs w:val="28"/>
        </w:rPr>
        <w:t>–</w:t>
      </w:r>
      <w:r w:rsidRPr="00E47AA9">
        <w:rPr>
          <w:rFonts w:ascii="Times New Roman" w:hAnsi="Times New Roman" w:cs="Times New Roman"/>
          <w:sz w:val="28"/>
          <w:szCs w:val="28"/>
        </w:rPr>
        <w:t xml:space="preserve"> на реализацию мероприятий, источником финансового обеспечения которых являются специальные казначейские кредиты из федерального бюджета (на строительство новой котельной в селе Новопокровка Красноармейского </w:t>
      </w:r>
      <w:r w:rsidR="00EF731E" w:rsidRPr="00E47AA9">
        <w:rPr>
          <w:rFonts w:ascii="Times New Roman" w:hAnsi="Times New Roman" w:cs="Times New Roman"/>
          <w:sz w:val="28"/>
          <w:szCs w:val="28"/>
        </w:rPr>
        <w:t>МО</w:t>
      </w:r>
      <w:r w:rsidR="00DF483D" w:rsidRPr="00E47AA9">
        <w:rPr>
          <w:rFonts w:ascii="Times New Roman" w:hAnsi="Times New Roman" w:cs="Times New Roman"/>
          <w:sz w:val="28"/>
          <w:szCs w:val="28"/>
        </w:rPr>
        <w:t xml:space="preserve">, работающей на </w:t>
      </w:r>
      <w:proofErr w:type="spellStart"/>
      <w:r w:rsidR="00DF483D" w:rsidRPr="00E47AA9">
        <w:rPr>
          <w:rFonts w:ascii="Times New Roman" w:hAnsi="Times New Roman" w:cs="Times New Roman"/>
          <w:sz w:val="28"/>
          <w:szCs w:val="28"/>
        </w:rPr>
        <w:t>биотопливе</w:t>
      </w:r>
      <w:proofErr w:type="spellEnd"/>
      <w:r w:rsidR="00EC46EA" w:rsidRPr="00E47AA9">
        <w:rPr>
          <w:rFonts w:ascii="Times New Roman" w:hAnsi="Times New Roman" w:cs="Times New Roman"/>
          <w:sz w:val="28"/>
          <w:szCs w:val="28"/>
        </w:rPr>
        <w:t>). При этом</w:t>
      </w:r>
      <w:r w:rsidRPr="00E47AA9">
        <w:rPr>
          <w:rFonts w:ascii="Times New Roman" w:hAnsi="Times New Roman" w:cs="Times New Roman"/>
          <w:sz w:val="28"/>
          <w:szCs w:val="28"/>
        </w:rPr>
        <w:t xml:space="preserve"> только 26.12.2024 получено положительное заключение государственной экспертизы и приступили к составлению сметной документации. При 100 % финансировании в 2024 году </w:t>
      </w:r>
      <w:r w:rsidR="00DF483D" w:rsidRPr="00E47AA9">
        <w:rPr>
          <w:rFonts w:ascii="Times New Roman" w:hAnsi="Times New Roman" w:cs="Times New Roman"/>
          <w:sz w:val="28"/>
          <w:szCs w:val="28"/>
        </w:rPr>
        <w:t xml:space="preserve">в составе дебиторской задолженности министерства ЖКХ </w:t>
      </w:r>
      <w:r w:rsidRPr="00E47AA9">
        <w:rPr>
          <w:rFonts w:ascii="Times New Roman" w:hAnsi="Times New Roman" w:cs="Times New Roman"/>
          <w:sz w:val="28"/>
          <w:szCs w:val="28"/>
        </w:rPr>
        <w:t xml:space="preserve">по состоянию на 01.01.2025 не освоено </w:t>
      </w:r>
      <w:r w:rsidR="00E46271" w:rsidRPr="00E47AA9">
        <w:rPr>
          <w:rFonts w:ascii="Times New Roman" w:hAnsi="Times New Roman" w:cs="Times New Roman"/>
          <w:sz w:val="28"/>
          <w:szCs w:val="28"/>
        </w:rPr>
        <w:t xml:space="preserve">КГУП "Примтеплоэнерго" </w:t>
      </w:r>
      <w:r w:rsidRPr="00E47AA9">
        <w:rPr>
          <w:rFonts w:ascii="Times New Roman" w:hAnsi="Times New Roman" w:cs="Times New Roman"/>
          <w:sz w:val="28"/>
          <w:szCs w:val="28"/>
        </w:rPr>
        <w:t>131,54 млн рублей.</w:t>
      </w:r>
    </w:p>
    <w:p w14:paraId="211F6AA4" w14:textId="77777777" w:rsidR="007E6BA1" w:rsidRPr="00E47AA9" w:rsidRDefault="007E6BA1" w:rsidP="007E6BA1">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lastRenderedPageBreak/>
        <w:t>На обеспечение мероприятий по модернизации систем коммунальной инфраструктуры направлено администрациям МО и КГУП "Примтеплоэнерго" за счет средств:</w:t>
      </w:r>
    </w:p>
    <w:p w14:paraId="4D4AD20B" w14:textId="147111FB" w:rsidR="007E6BA1" w:rsidRPr="00E47AA9" w:rsidRDefault="00EC46EA" w:rsidP="007E6BA1">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краевого бюджета – 24,39 </w:t>
      </w:r>
      <w:r w:rsidR="007E6BA1" w:rsidRPr="00E47AA9">
        <w:rPr>
          <w:rFonts w:ascii="Times New Roman" w:hAnsi="Times New Roman" w:cs="Times New Roman"/>
          <w:sz w:val="28"/>
          <w:szCs w:val="28"/>
        </w:rPr>
        <w:t>млн рублей, или на уровне 59,92 % (план</w:t>
      </w:r>
      <w:r w:rsidR="00E02DD2" w:rsidRPr="00E47AA9">
        <w:rPr>
          <w:rFonts w:ascii="Times New Roman" w:hAnsi="Times New Roman" w:cs="Times New Roman"/>
          <w:sz w:val="28"/>
          <w:szCs w:val="28"/>
        </w:rPr>
        <w:t> –</w:t>
      </w:r>
      <w:r w:rsidR="007E6BA1" w:rsidRPr="00E47AA9">
        <w:rPr>
          <w:rFonts w:ascii="Times New Roman" w:hAnsi="Times New Roman" w:cs="Times New Roman"/>
          <w:sz w:val="28"/>
          <w:szCs w:val="28"/>
        </w:rPr>
        <w:t xml:space="preserve">40,71 млн рублей). Согласно </w:t>
      </w:r>
      <w:proofErr w:type="gramStart"/>
      <w:r w:rsidR="00042E24" w:rsidRPr="00E47AA9">
        <w:rPr>
          <w:rFonts w:ascii="Times New Roman" w:hAnsi="Times New Roman" w:cs="Times New Roman"/>
          <w:sz w:val="28"/>
          <w:szCs w:val="28"/>
        </w:rPr>
        <w:t>информации министерства ЖКХ</w:t>
      </w:r>
      <w:proofErr w:type="gramEnd"/>
      <w:r w:rsidR="007E6BA1" w:rsidRPr="00E47AA9">
        <w:rPr>
          <w:rFonts w:ascii="Times New Roman" w:hAnsi="Times New Roman" w:cs="Times New Roman"/>
          <w:sz w:val="28"/>
          <w:szCs w:val="28"/>
        </w:rPr>
        <w:t xml:space="preserve"> муниципальными образованиями не исполнено 16,32 млн рублей в связи с экономией по результатам выполненных работ;</w:t>
      </w:r>
    </w:p>
    <w:p w14:paraId="4A68E03D" w14:textId="2C2E3352" w:rsidR="007E6BA1" w:rsidRPr="00E47AA9" w:rsidRDefault="007E6BA1" w:rsidP="007E6BA1">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ППК "Фонд развития территорий"</w:t>
      </w:r>
      <w:r w:rsidRPr="00E47AA9">
        <w:rPr>
          <w:rFonts w:ascii="Times New Roman" w:hAnsi="Times New Roman" w:cs="Times New Roman"/>
          <w:i/>
          <w:sz w:val="28"/>
          <w:szCs w:val="28"/>
        </w:rPr>
        <w:t xml:space="preserve"> </w:t>
      </w:r>
      <w:r w:rsidRPr="00E47AA9">
        <w:rPr>
          <w:rFonts w:ascii="Times New Roman" w:hAnsi="Times New Roman" w:cs="Times New Roman"/>
          <w:sz w:val="28"/>
          <w:szCs w:val="28"/>
        </w:rPr>
        <w:t xml:space="preserve">– 289,07 млн рублей, или 92,88 % (план </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311,24 млн рублей). В 2024 году расходы направлены:</w:t>
      </w:r>
    </w:p>
    <w:p w14:paraId="346F61BF" w14:textId="585F2C00" w:rsidR="007E6BA1" w:rsidRPr="00E47AA9" w:rsidRDefault="007E6BA1" w:rsidP="007E6BA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КГУП "Примтеплоэнерго" </w:t>
      </w:r>
      <w:r w:rsidR="00EC46EA" w:rsidRPr="00E47AA9">
        <w:rPr>
          <w:rFonts w:ascii="Times New Roman" w:hAnsi="Times New Roman" w:cs="Times New Roman"/>
          <w:sz w:val="28"/>
          <w:szCs w:val="28"/>
        </w:rPr>
        <w:t>–</w:t>
      </w:r>
      <w:r w:rsidR="00965246" w:rsidRPr="00E47AA9">
        <w:rPr>
          <w:rFonts w:ascii="Times New Roman" w:hAnsi="Times New Roman" w:cs="Times New Roman"/>
          <w:sz w:val="28"/>
          <w:szCs w:val="28"/>
        </w:rPr>
        <w:t xml:space="preserve"> </w:t>
      </w:r>
      <w:r w:rsidRPr="00E47AA9">
        <w:rPr>
          <w:rFonts w:ascii="Times New Roman" w:hAnsi="Times New Roman" w:cs="Times New Roman"/>
          <w:sz w:val="28"/>
          <w:szCs w:val="28"/>
        </w:rPr>
        <w:t>202,44 млн рублей в полном объеме в рамках АИП на 2024 год на завершение строительства котельных, работающих</w:t>
      </w:r>
      <w:r w:rsidR="00965246" w:rsidRPr="00E47AA9">
        <w:rPr>
          <w:rFonts w:ascii="Times New Roman" w:hAnsi="Times New Roman" w:cs="Times New Roman"/>
          <w:sz w:val="28"/>
          <w:szCs w:val="28"/>
        </w:rPr>
        <w:t xml:space="preserve"> </w:t>
      </w:r>
      <w:r w:rsidRPr="00E47AA9">
        <w:rPr>
          <w:rFonts w:ascii="Times New Roman" w:hAnsi="Times New Roman" w:cs="Times New Roman"/>
          <w:sz w:val="28"/>
          <w:szCs w:val="28"/>
        </w:rPr>
        <w:t>на угле</w:t>
      </w:r>
      <w:r w:rsidR="00EC46EA" w:rsidRPr="00E47AA9">
        <w:rPr>
          <w:rFonts w:ascii="Times New Roman" w:hAnsi="Times New Roman" w:cs="Times New Roman"/>
          <w:sz w:val="28"/>
          <w:szCs w:val="28"/>
        </w:rPr>
        <w:t>,</w:t>
      </w:r>
      <w:r w:rsidRPr="00E47AA9">
        <w:rPr>
          <w:rFonts w:ascii="Times New Roman" w:hAnsi="Times New Roman" w:cs="Times New Roman"/>
          <w:sz w:val="28"/>
          <w:szCs w:val="28"/>
        </w:rPr>
        <w:t xml:space="preserve"> в п. </w:t>
      </w:r>
      <w:proofErr w:type="spellStart"/>
      <w:r w:rsidRPr="00E47AA9">
        <w:rPr>
          <w:rFonts w:ascii="Times New Roman" w:hAnsi="Times New Roman" w:cs="Times New Roman"/>
          <w:sz w:val="28"/>
          <w:szCs w:val="28"/>
        </w:rPr>
        <w:t>Смоляниново</w:t>
      </w:r>
      <w:proofErr w:type="spellEnd"/>
      <w:r w:rsidRPr="00E47AA9">
        <w:rPr>
          <w:rFonts w:ascii="Times New Roman" w:hAnsi="Times New Roman" w:cs="Times New Roman"/>
          <w:sz w:val="28"/>
          <w:szCs w:val="28"/>
        </w:rPr>
        <w:t xml:space="preserve"> и п. </w:t>
      </w:r>
      <w:proofErr w:type="spellStart"/>
      <w:r w:rsidRPr="00E47AA9">
        <w:rPr>
          <w:rFonts w:ascii="Times New Roman" w:hAnsi="Times New Roman" w:cs="Times New Roman"/>
          <w:sz w:val="28"/>
          <w:szCs w:val="28"/>
        </w:rPr>
        <w:t>Липовцы</w:t>
      </w:r>
      <w:proofErr w:type="spellEnd"/>
      <w:r w:rsidRPr="00E47AA9">
        <w:rPr>
          <w:rFonts w:ascii="Times New Roman" w:hAnsi="Times New Roman" w:cs="Times New Roman"/>
          <w:sz w:val="28"/>
          <w:szCs w:val="28"/>
        </w:rPr>
        <w:t>;</w:t>
      </w:r>
    </w:p>
    <w:p w14:paraId="3005B135" w14:textId="40F5DBFD" w:rsidR="007E6BA1" w:rsidRPr="00E47AA9" w:rsidRDefault="007E6BA1" w:rsidP="007E6BA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бюджетам МО</w:t>
      </w:r>
      <w:r w:rsidRPr="00E47AA9">
        <w:rPr>
          <w:rFonts w:ascii="Times New Roman" w:hAnsi="Times New Roman" w:cs="Times New Roman"/>
          <w:sz w:val="28"/>
          <w:szCs w:val="28"/>
          <w:vertAlign w:val="superscript"/>
        </w:rPr>
        <w:footnoteReference w:id="76"/>
      </w:r>
      <w:r w:rsidRPr="00E47AA9">
        <w:rPr>
          <w:rFonts w:ascii="Times New Roman" w:hAnsi="Times New Roman" w:cs="Times New Roman"/>
          <w:sz w:val="28"/>
          <w:szCs w:val="28"/>
        </w:rPr>
        <w:t xml:space="preserve"> </w:t>
      </w:r>
      <w:r w:rsidR="00EC46EA" w:rsidRPr="00E47AA9">
        <w:rPr>
          <w:rFonts w:ascii="Times New Roman" w:hAnsi="Times New Roman" w:cs="Times New Roman"/>
          <w:sz w:val="28"/>
          <w:szCs w:val="28"/>
        </w:rPr>
        <w:t>–</w:t>
      </w:r>
      <w:r w:rsidRPr="00E47AA9">
        <w:rPr>
          <w:rFonts w:ascii="Times New Roman" w:hAnsi="Times New Roman" w:cs="Times New Roman"/>
          <w:sz w:val="28"/>
          <w:szCs w:val="28"/>
        </w:rPr>
        <w:t xml:space="preserve"> 86,63 млн рублей, или 79,62 % (план – 108,80 млн рублей). Согласно информации министерства ЖКХ</w:t>
      </w:r>
      <w:r w:rsidR="000A3AB6" w:rsidRPr="00E47AA9">
        <w:rPr>
          <w:rFonts w:ascii="Times New Roman" w:hAnsi="Times New Roman" w:cs="Times New Roman"/>
          <w:sz w:val="28"/>
          <w:szCs w:val="28"/>
        </w:rPr>
        <w:t>,</w:t>
      </w:r>
      <w:r w:rsidRPr="00E47AA9">
        <w:rPr>
          <w:rFonts w:ascii="Times New Roman" w:hAnsi="Times New Roman" w:cs="Times New Roman"/>
          <w:sz w:val="28"/>
          <w:szCs w:val="28"/>
        </w:rPr>
        <w:t xml:space="preserve"> неисполнение бюджетных ассигнований составило 22,17 млн рублей в связи с экономией, полученной по результатам выполненных работ</w:t>
      </w:r>
      <w:r w:rsidRPr="00E47AA9">
        <w:rPr>
          <w:rFonts w:ascii="Times New Roman" w:hAnsi="Times New Roman" w:cs="Times New Roman"/>
          <w:sz w:val="20"/>
          <w:szCs w:val="20"/>
        </w:rPr>
        <w:t xml:space="preserve"> </w:t>
      </w:r>
      <w:r w:rsidRPr="00E47AA9">
        <w:rPr>
          <w:rFonts w:ascii="Times New Roman" w:hAnsi="Times New Roman" w:cs="Times New Roman"/>
          <w:sz w:val="28"/>
          <w:szCs w:val="28"/>
        </w:rPr>
        <w:t>(Находкинский ГО, Пожарский МО).</w:t>
      </w:r>
    </w:p>
    <w:p w14:paraId="656C0968" w14:textId="69B75FA2" w:rsidR="007E6BA1" w:rsidRPr="00E47AA9" w:rsidRDefault="007E6BA1" w:rsidP="007E6BA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На низком уровне</w:t>
      </w:r>
      <w:r w:rsidRPr="00E47AA9">
        <w:rPr>
          <w:rFonts w:ascii="Times New Roman" w:hAnsi="Times New Roman" w:cs="Times New Roman"/>
          <w:i/>
          <w:sz w:val="28"/>
          <w:szCs w:val="28"/>
        </w:rPr>
        <w:t xml:space="preserve"> </w:t>
      </w:r>
      <w:r w:rsidRPr="00E47AA9">
        <w:rPr>
          <w:rFonts w:ascii="Times New Roman" w:hAnsi="Times New Roman" w:cs="Times New Roman"/>
          <w:sz w:val="28"/>
          <w:szCs w:val="28"/>
        </w:rPr>
        <w:t xml:space="preserve">исполнены расходы на мероприятия по энергосбережению и повышению энергетической эффективности систем коммунальной инфраструктуры Приморского края – 79,41 млн рублей, или 33,77 % (235,18 млн рублей). </w:t>
      </w:r>
      <w:r w:rsidR="00E46271" w:rsidRPr="00E47AA9">
        <w:rPr>
          <w:rFonts w:ascii="Times New Roman" w:hAnsi="Times New Roman" w:cs="Times New Roman"/>
          <w:sz w:val="28"/>
          <w:szCs w:val="28"/>
        </w:rPr>
        <w:t>Н</w:t>
      </w:r>
      <w:r w:rsidRPr="00E47AA9">
        <w:rPr>
          <w:rFonts w:ascii="Times New Roman" w:hAnsi="Times New Roman" w:cs="Times New Roman"/>
          <w:sz w:val="28"/>
          <w:szCs w:val="28"/>
        </w:rPr>
        <w:t>еисполнение бюджетных ассигнований составило 155,76 млн рублей (Находкинский ГО).</w:t>
      </w:r>
    </w:p>
    <w:p w14:paraId="7CB1BBBC" w14:textId="77777777" w:rsidR="007E6BA1" w:rsidRPr="00E47AA9" w:rsidRDefault="007E6BA1" w:rsidP="007E6BA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В полном объеме не исполнены мероприятия по приобретению объектов жилищно-коммунального хозяйства – 9,11 млн рублей в связи с отказом муниципального образования от освоения средств субсидии по причине отказа собственника выкупаемого имущества в его продаже ("Сооружение канализации, протяженностью 460 м, расположенное по адресу: Приморский край, городской округ Большой Камень, улица </w:t>
      </w:r>
      <w:proofErr w:type="spellStart"/>
      <w:r w:rsidRPr="00E47AA9">
        <w:rPr>
          <w:rFonts w:ascii="Times New Roman" w:hAnsi="Times New Roman" w:cs="Times New Roman"/>
          <w:sz w:val="28"/>
          <w:szCs w:val="28"/>
        </w:rPr>
        <w:t>Ганслеп</w:t>
      </w:r>
      <w:proofErr w:type="spellEnd"/>
      <w:r w:rsidRPr="00E47AA9">
        <w:rPr>
          <w:rFonts w:ascii="Times New Roman" w:hAnsi="Times New Roman" w:cs="Times New Roman"/>
          <w:sz w:val="28"/>
          <w:szCs w:val="28"/>
        </w:rPr>
        <w:t>, д. 10").</w:t>
      </w:r>
    </w:p>
    <w:p w14:paraId="497C1D26" w14:textId="77777777" w:rsidR="007E6BA1" w:rsidRPr="00E47AA9" w:rsidRDefault="007E6BA1" w:rsidP="007E6BA1">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По КПМ достигнут показатель снижение аварийности коммунальной инфраструктуры" – на 5,5 %, факт – 10,9 %;</w:t>
      </w:r>
    </w:p>
    <w:p w14:paraId="39770C67" w14:textId="77777777" w:rsidR="007E6BA1" w:rsidRPr="00E47AA9" w:rsidRDefault="007E6BA1" w:rsidP="007E6BA1">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не исполнен показатель: количество приобретенных объектов жилищно-коммунального хозяйства – 1 ед. </w:t>
      </w:r>
    </w:p>
    <w:p w14:paraId="27239DD7" w14:textId="7D18DF77" w:rsidR="007E6BA1" w:rsidRPr="00E47AA9" w:rsidRDefault="007E6BA1" w:rsidP="007E6BA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По </w:t>
      </w:r>
      <w:r w:rsidRPr="00E47AA9">
        <w:rPr>
          <w:rFonts w:ascii="Times New Roman" w:hAnsi="Times New Roman" w:cs="Times New Roman"/>
          <w:i/>
          <w:sz w:val="28"/>
          <w:szCs w:val="28"/>
        </w:rPr>
        <w:t>КПМ</w:t>
      </w:r>
      <w:r w:rsidRPr="00E47AA9">
        <w:rPr>
          <w:rFonts w:ascii="Times New Roman" w:hAnsi="Times New Roman" w:cs="Times New Roman"/>
          <w:sz w:val="28"/>
          <w:szCs w:val="28"/>
        </w:rPr>
        <w:t xml:space="preserve"> </w:t>
      </w:r>
      <w:r w:rsidRPr="00E47AA9">
        <w:rPr>
          <w:rFonts w:ascii="Times New Roman" w:hAnsi="Times New Roman" w:cs="Times New Roman"/>
          <w:i/>
          <w:sz w:val="28"/>
          <w:szCs w:val="28"/>
        </w:rPr>
        <w:t>"Повышение энергетической эффективности в системах коммунальной инфраструктуры в рамках концессии"</w:t>
      </w:r>
      <w:r w:rsidRPr="00E47AA9">
        <w:rPr>
          <w:rFonts w:ascii="Times New Roman" w:hAnsi="Times New Roman" w:cs="Times New Roman"/>
          <w:sz w:val="28"/>
          <w:szCs w:val="28"/>
        </w:rPr>
        <w:t xml:space="preserve"> бюджетные ассигнования исполнены в полном объеме 60,91 млн рублей и направлены на обеспечение мероприятий:</w:t>
      </w:r>
    </w:p>
    <w:p w14:paraId="1C6B1374" w14:textId="04D0C7D4" w:rsidR="007E6BA1" w:rsidRPr="00E47AA9" w:rsidRDefault="007E6BA1" w:rsidP="007E6BA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по модернизации систем коммунальной инфраструктуры – 60,83 млн рублей, в том числе за счет средств ППК Фонд развития территорий</w:t>
      </w:r>
      <w:r w:rsidR="00153705" w:rsidRPr="00E47AA9">
        <w:rPr>
          <w:rFonts w:ascii="Times New Roman" w:hAnsi="Times New Roman" w:cs="Times New Roman"/>
          <w:sz w:val="28"/>
          <w:szCs w:val="28"/>
        </w:rPr>
        <w:t> – 30,00 </w:t>
      </w:r>
      <w:r w:rsidRPr="00E47AA9">
        <w:rPr>
          <w:rFonts w:ascii="Times New Roman" w:hAnsi="Times New Roman" w:cs="Times New Roman"/>
          <w:sz w:val="28"/>
          <w:szCs w:val="28"/>
        </w:rPr>
        <w:t xml:space="preserve">млн рублей, краевого бюджета – </w:t>
      </w:r>
      <w:r w:rsidR="00153705" w:rsidRPr="00E47AA9">
        <w:rPr>
          <w:rFonts w:ascii="Times New Roman" w:hAnsi="Times New Roman" w:cs="Times New Roman"/>
          <w:sz w:val="28"/>
          <w:szCs w:val="28"/>
        </w:rPr>
        <w:t>30,8</w:t>
      </w:r>
      <w:r w:rsidRPr="00E47AA9">
        <w:rPr>
          <w:rFonts w:ascii="Times New Roman" w:hAnsi="Times New Roman" w:cs="Times New Roman"/>
          <w:sz w:val="28"/>
          <w:szCs w:val="28"/>
        </w:rPr>
        <w:t> млн рублей (ООО</w:t>
      </w:r>
      <w:r w:rsidR="009C59FC" w:rsidRPr="00E47AA9">
        <w:rPr>
          <w:rFonts w:ascii="Times New Roman" w:hAnsi="Times New Roman" w:cs="Times New Roman"/>
          <w:sz w:val="28"/>
          <w:szCs w:val="28"/>
        </w:rPr>
        <w:t> </w:t>
      </w:r>
      <w:r w:rsidRPr="00E47AA9">
        <w:rPr>
          <w:rFonts w:ascii="Times New Roman" w:hAnsi="Times New Roman" w:cs="Times New Roman"/>
          <w:sz w:val="28"/>
          <w:szCs w:val="28"/>
        </w:rPr>
        <w:t>"Интеллектуальные коммунальные системы Фокино"). По состоянию на 01.01.2025 в составе дебиторской задолженн</w:t>
      </w:r>
      <w:r w:rsidR="00153705" w:rsidRPr="00E47AA9">
        <w:rPr>
          <w:rFonts w:ascii="Times New Roman" w:hAnsi="Times New Roman" w:cs="Times New Roman"/>
          <w:sz w:val="28"/>
          <w:szCs w:val="28"/>
        </w:rPr>
        <w:t>ости министерства значится 30,8</w:t>
      </w:r>
      <w:r w:rsidRPr="00E47AA9">
        <w:rPr>
          <w:rFonts w:ascii="Times New Roman" w:hAnsi="Times New Roman" w:cs="Times New Roman"/>
          <w:sz w:val="28"/>
          <w:szCs w:val="28"/>
        </w:rPr>
        <w:t xml:space="preserve"> млн рублей – остаток неиспользованной субсидии, перечисленный в 2024 </w:t>
      </w:r>
      <w:r w:rsidRPr="00E47AA9">
        <w:rPr>
          <w:rFonts w:ascii="Times New Roman" w:hAnsi="Times New Roman" w:cs="Times New Roman"/>
          <w:sz w:val="28"/>
          <w:szCs w:val="28"/>
        </w:rPr>
        <w:lastRenderedPageBreak/>
        <w:t xml:space="preserve">году ООО "Интеллектуальные коммунальные системы Фокино" в целях обеспечения данных мероприятий в соответствии с порядком и условиями выплаты </w:t>
      </w:r>
      <w:proofErr w:type="spellStart"/>
      <w:r w:rsidRPr="00E47AA9">
        <w:rPr>
          <w:rFonts w:ascii="Times New Roman" w:hAnsi="Times New Roman" w:cs="Times New Roman"/>
          <w:sz w:val="28"/>
          <w:szCs w:val="28"/>
        </w:rPr>
        <w:t>Концедентом</w:t>
      </w:r>
      <w:proofErr w:type="spellEnd"/>
      <w:r w:rsidRPr="00E47AA9">
        <w:rPr>
          <w:rFonts w:ascii="Times New Roman" w:hAnsi="Times New Roman" w:cs="Times New Roman"/>
          <w:sz w:val="28"/>
          <w:szCs w:val="28"/>
        </w:rPr>
        <w:t xml:space="preserve"> софинансирования расходов на создание и реконструкцию объекта</w:t>
      </w:r>
      <w:r w:rsidR="00153705" w:rsidRPr="00E47AA9">
        <w:rPr>
          <w:rFonts w:ascii="Times New Roman" w:hAnsi="Times New Roman" w:cs="Times New Roman"/>
          <w:sz w:val="28"/>
          <w:szCs w:val="28"/>
        </w:rPr>
        <w:t xml:space="preserve"> </w:t>
      </w:r>
      <w:r w:rsidRPr="00E47AA9">
        <w:rPr>
          <w:rFonts w:ascii="Times New Roman" w:hAnsi="Times New Roman" w:cs="Times New Roman"/>
          <w:sz w:val="28"/>
          <w:szCs w:val="28"/>
        </w:rPr>
        <w:t>в соответствии с условиями концессионного соглашения;</w:t>
      </w:r>
    </w:p>
    <w:p w14:paraId="52D61485" w14:textId="0ADEA833" w:rsidR="007E6BA1" w:rsidRPr="00E47AA9" w:rsidRDefault="007E6BA1" w:rsidP="007E6BA1">
      <w:pPr>
        <w:shd w:val="clear" w:color="auto" w:fill="FFFFFF" w:themeFill="background1"/>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по осуществлению независимого строительного контроля в процессе создания, реконструкции, модернизации объектов коммунальной инфраструктуры с использованием средств Фонда развития территорий – </w:t>
      </w:r>
      <w:r w:rsidRPr="00E47AA9">
        <w:rPr>
          <w:rFonts w:ascii="Times New Roman" w:hAnsi="Times New Roman" w:cs="Times New Roman"/>
          <w:sz w:val="28"/>
          <w:szCs w:val="28"/>
        </w:rPr>
        <w:br/>
        <w:t xml:space="preserve">0,08 млн рублей. Необходимо отметить, что установленный в соответствии </w:t>
      </w:r>
      <w:r w:rsidRPr="00E47AA9">
        <w:rPr>
          <w:rFonts w:ascii="Times New Roman" w:hAnsi="Times New Roman" w:cs="Times New Roman"/>
          <w:sz w:val="28"/>
          <w:szCs w:val="28"/>
        </w:rPr>
        <w:br/>
        <w:t xml:space="preserve">с паспортом ГП целевой показатель "Количество заключенных договоров </w:t>
      </w:r>
      <w:r w:rsidRPr="00E47AA9">
        <w:rPr>
          <w:rFonts w:ascii="Times New Roman" w:hAnsi="Times New Roman" w:cs="Times New Roman"/>
          <w:sz w:val="28"/>
          <w:szCs w:val="28"/>
        </w:rPr>
        <w:br/>
        <w:t xml:space="preserve">на выполнение работ по обеспечению независимого строительного контроля </w:t>
      </w:r>
      <w:r w:rsidRPr="00E47AA9">
        <w:rPr>
          <w:rFonts w:ascii="Times New Roman" w:hAnsi="Times New Roman" w:cs="Times New Roman"/>
          <w:sz w:val="28"/>
          <w:szCs w:val="28"/>
        </w:rPr>
        <w:br/>
        <w:t>в процессе создания, реконструкции, модернизации объектов коммунальной инфраструктуры с использованием средств ППК "Фонд развития территорий" в 2024 году не имеет числового выражения.</w:t>
      </w:r>
    </w:p>
    <w:p w14:paraId="79DE01D0" w14:textId="77777777" w:rsidR="007E6BA1" w:rsidRPr="00E47AA9" w:rsidRDefault="007E6BA1" w:rsidP="007E6BA1">
      <w:pPr>
        <w:shd w:val="clear" w:color="auto" w:fill="FFFFFF" w:themeFill="background1"/>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hAnsi="Times New Roman" w:cs="Times New Roman"/>
          <w:b/>
          <w:sz w:val="28"/>
          <w:szCs w:val="28"/>
        </w:rPr>
        <w:t>Подпрограмма</w:t>
      </w:r>
      <w:r w:rsidRPr="00E47AA9">
        <w:rPr>
          <w:rFonts w:ascii="Times New Roman" w:hAnsi="Times New Roman" w:cs="Times New Roman"/>
          <w:sz w:val="28"/>
          <w:szCs w:val="28"/>
        </w:rPr>
        <w:t xml:space="preserve"> </w:t>
      </w:r>
      <w:r w:rsidRPr="00E47AA9">
        <w:rPr>
          <w:rFonts w:ascii="Times New Roman" w:eastAsia="Times New Roman" w:hAnsi="Times New Roman" w:cs="Times New Roman"/>
          <w:b/>
          <w:sz w:val="28"/>
          <w:szCs w:val="28"/>
          <w:lang w:eastAsia="ru-RU"/>
        </w:rPr>
        <w:t xml:space="preserve">"Энергосбережение и повышение энергетической эффективности в Приморском крае" </w:t>
      </w:r>
    </w:p>
    <w:p w14:paraId="54F87E0D" w14:textId="2A1DA4AD" w:rsidR="007E6BA1" w:rsidRPr="00E47AA9" w:rsidRDefault="007E6BA1" w:rsidP="007E6BA1">
      <w:pPr>
        <w:shd w:val="clear" w:color="auto" w:fill="FFFFFF" w:themeFill="background1"/>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sz w:val="28"/>
          <w:szCs w:val="28"/>
          <w:lang w:eastAsia="ru-RU"/>
        </w:rPr>
        <w:t>П</w:t>
      </w:r>
      <w:r w:rsidRPr="00E47AA9">
        <w:rPr>
          <w:rFonts w:ascii="Times New Roman" w:hAnsi="Times New Roman" w:cs="Times New Roman"/>
          <w:sz w:val="28"/>
          <w:szCs w:val="28"/>
        </w:rPr>
        <w:t xml:space="preserve">о </w:t>
      </w:r>
      <w:r w:rsidRPr="00E47AA9">
        <w:rPr>
          <w:rFonts w:ascii="Times New Roman" w:hAnsi="Times New Roman" w:cs="Times New Roman"/>
          <w:i/>
          <w:sz w:val="28"/>
          <w:szCs w:val="28"/>
        </w:rPr>
        <w:t>КПМ</w:t>
      </w:r>
      <w:r w:rsidRPr="00E47AA9">
        <w:rPr>
          <w:rFonts w:ascii="Times New Roman" w:hAnsi="Times New Roman" w:cs="Times New Roman"/>
          <w:sz w:val="28"/>
          <w:szCs w:val="28"/>
        </w:rPr>
        <w:t xml:space="preserve"> </w:t>
      </w:r>
      <w:r w:rsidRPr="00E47AA9">
        <w:rPr>
          <w:rFonts w:ascii="Times New Roman" w:hAnsi="Times New Roman" w:cs="Times New Roman"/>
          <w:i/>
          <w:sz w:val="28"/>
          <w:szCs w:val="28"/>
        </w:rPr>
        <w:t>"Развитие инфраструктуры территорий опережающего развития в Приморском крае"</w:t>
      </w:r>
      <w:r w:rsidRPr="00E47AA9">
        <w:rPr>
          <w:rFonts w:ascii="Times New Roman" w:hAnsi="Times New Roman" w:cs="Times New Roman"/>
          <w:sz w:val="28"/>
          <w:szCs w:val="28"/>
        </w:rPr>
        <w:t xml:space="preserve"> расходы осуществлялись </w:t>
      </w:r>
      <w:r w:rsidRPr="00E47AA9">
        <w:rPr>
          <w:rFonts w:ascii="Times New Roman" w:hAnsi="Times New Roman" w:cs="Times New Roman"/>
          <w:sz w:val="28"/>
          <w:szCs w:val="28"/>
          <w:u w:val="single"/>
        </w:rPr>
        <w:t>министерством ЖКХ</w:t>
      </w:r>
      <w:r w:rsidRPr="00E47AA9">
        <w:rPr>
          <w:rFonts w:ascii="Times New Roman" w:hAnsi="Times New Roman" w:cs="Times New Roman"/>
          <w:sz w:val="28"/>
          <w:szCs w:val="28"/>
        </w:rPr>
        <w:t>. За 2024 год бюджетные ассигнования исполнены в полном объеме 431,48 млн рублей по субсидиям ООО "КРДВ Приморье" на развитие инфраструктуры территорий опережающего развития в Приморском крае. По состоянию на 01.01.2025 по данному мероприятию сумма дебиторской задолженности министерства с начал</w:t>
      </w:r>
      <w:r w:rsidR="00620B6B" w:rsidRPr="00E47AA9">
        <w:rPr>
          <w:rFonts w:ascii="Times New Roman" w:hAnsi="Times New Roman" w:cs="Times New Roman"/>
          <w:sz w:val="28"/>
          <w:szCs w:val="28"/>
        </w:rPr>
        <w:t>а</w:t>
      </w:r>
      <w:r w:rsidRPr="00E47AA9">
        <w:rPr>
          <w:rFonts w:ascii="Times New Roman" w:hAnsi="Times New Roman" w:cs="Times New Roman"/>
          <w:sz w:val="28"/>
          <w:szCs w:val="28"/>
        </w:rPr>
        <w:t xml:space="preserve"> года увеличилась в том же объеме (431,48 млн рублей) до 1348,13 млн рублей (на 01.01.2024 – 916,65 млн рублей). Завершение вышеуказанных мероприятий в соответствии с заключенными соглашениями и графиками выполнения работ планируется до 01.04.2026. В 2024 году согласно постановлению Администрации Приморского края от 29.06.2018 № 303-па расходы планировались на объекты инфраструктуры:</w:t>
      </w:r>
    </w:p>
    <w:p w14:paraId="5C088B5E" w14:textId="77777777" w:rsidR="007E6BA1" w:rsidRPr="00E47AA9" w:rsidRDefault="007E6BA1" w:rsidP="007E6BA1">
      <w:pPr>
        <w:shd w:val="clear" w:color="auto" w:fill="FFFFFF" w:themeFill="background1"/>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ТОР "Большой Камень": </w:t>
      </w:r>
    </w:p>
    <w:p w14:paraId="4ED77C66" w14:textId="77777777" w:rsidR="007E6BA1" w:rsidRPr="00E47AA9" w:rsidRDefault="007E6BA1" w:rsidP="007E6BA1">
      <w:pPr>
        <w:shd w:val="clear" w:color="auto" w:fill="FFFFFF" w:themeFill="background1"/>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теплоснабжение жилого микрорайона "Нагорный" в г. Большой Камень (строительно-монтажные работы) – 23,22 млн рублей. В 2023 году расторгнут договор с подрядчиком ООО "Строй-Сервис" (19.10.2023). В 2024 году подрядчик не определен, проводилась подготовка комплекта документов </w:t>
      </w:r>
      <w:r w:rsidRPr="00E47AA9">
        <w:rPr>
          <w:rFonts w:ascii="Times New Roman" w:hAnsi="Times New Roman" w:cs="Times New Roman"/>
          <w:sz w:val="28"/>
          <w:szCs w:val="28"/>
        </w:rPr>
        <w:br/>
        <w:t xml:space="preserve">для организации закупочных процедур на СМР и корректировку ПД и РД </w:t>
      </w:r>
      <w:r w:rsidRPr="00E47AA9">
        <w:rPr>
          <w:rFonts w:ascii="Times New Roman" w:hAnsi="Times New Roman" w:cs="Times New Roman"/>
          <w:sz w:val="28"/>
          <w:szCs w:val="28"/>
        </w:rPr>
        <w:br/>
        <w:t xml:space="preserve">(в связи с необходимостью внесения изменений технических решений </w:t>
      </w:r>
      <w:r w:rsidRPr="00E47AA9">
        <w:rPr>
          <w:rFonts w:ascii="Times New Roman" w:hAnsi="Times New Roman" w:cs="Times New Roman"/>
          <w:sz w:val="28"/>
          <w:szCs w:val="28"/>
        </w:rPr>
        <w:br/>
        <w:t>и оборудования). По результатам закупочных процедур отсутствуют заявители;</w:t>
      </w:r>
    </w:p>
    <w:p w14:paraId="3BCC3A6F" w14:textId="77777777" w:rsidR="007E6BA1" w:rsidRPr="00E47AA9" w:rsidRDefault="007E6BA1" w:rsidP="007E6BA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создание внеплощадочных сетей водоснабжения и водоотведения объектов Приморского металлургического завода – 307,63 млн рублей. </w:t>
      </w:r>
      <w:r w:rsidRPr="00E47AA9">
        <w:rPr>
          <w:rFonts w:ascii="Times New Roman" w:hAnsi="Times New Roman" w:cs="Times New Roman"/>
          <w:sz w:val="28"/>
          <w:szCs w:val="28"/>
        </w:rPr>
        <w:br/>
        <w:t>В связи с некачественной подготовкой проектной документации бюджетные средства не освоены в 2024 году. В 2025 году ведется корректировка документации;</w:t>
      </w:r>
    </w:p>
    <w:p w14:paraId="24EA84F3" w14:textId="77777777" w:rsidR="007E6BA1" w:rsidRPr="00E47AA9" w:rsidRDefault="007E6BA1" w:rsidP="007E6BA1">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lastRenderedPageBreak/>
        <w:t xml:space="preserve">ТОР "Михайловский": внутриплощадочные сети водоснабжения </w:t>
      </w:r>
      <w:r w:rsidRPr="00E47AA9">
        <w:rPr>
          <w:rFonts w:ascii="Times New Roman" w:hAnsi="Times New Roman" w:cs="Times New Roman"/>
          <w:sz w:val="28"/>
          <w:szCs w:val="28"/>
        </w:rPr>
        <w:br/>
        <w:t xml:space="preserve">и водоотведения объектов площадки </w:t>
      </w:r>
      <w:proofErr w:type="spellStart"/>
      <w:r w:rsidRPr="00E47AA9">
        <w:rPr>
          <w:rFonts w:ascii="Times New Roman" w:hAnsi="Times New Roman" w:cs="Times New Roman"/>
          <w:sz w:val="28"/>
          <w:szCs w:val="28"/>
        </w:rPr>
        <w:t>Некруглово</w:t>
      </w:r>
      <w:proofErr w:type="spellEnd"/>
      <w:r w:rsidRPr="00E47AA9">
        <w:rPr>
          <w:rFonts w:ascii="Times New Roman" w:hAnsi="Times New Roman" w:cs="Times New Roman"/>
          <w:sz w:val="28"/>
          <w:szCs w:val="28"/>
        </w:rPr>
        <w:t xml:space="preserve"> (строительно-монтажные работы) – 100,63 млн рублей. В 2024 году заключен договор </w:t>
      </w:r>
      <w:r w:rsidRPr="00E47AA9">
        <w:rPr>
          <w:rFonts w:ascii="Times New Roman" w:hAnsi="Times New Roman" w:cs="Times New Roman"/>
          <w:sz w:val="28"/>
          <w:szCs w:val="28"/>
        </w:rPr>
        <w:br/>
        <w:t>с ООО "</w:t>
      </w:r>
      <w:proofErr w:type="spellStart"/>
      <w:r w:rsidRPr="00E47AA9">
        <w:rPr>
          <w:rFonts w:ascii="Times New Roman" w:hAnsi="Times New Roman" w:cs="Times New Roman"/>
          <w:sz w:val="28"/>
          <w:szCs w:val="28"/>
        </w:rPr>
        <w:t>ПолимерСтройПроект</w:t>
      </w:r>
      <w:proofErr w:type="spellEnd"/>
      <w:r w:rsidRPr="00E47AA9">
        <w:rPr>
          <w:rFonts w:ascii="Times New Roman" w:hAnsi="Times New Roman" w:cs="Times New Roman"/>
          <w:sz w:val="28"/>
          <w:szCs w:val="28"/>
        </w:rPr>
        <w:t xml:space="preserve">". </w:t>
      </w:r>
    </w:p>
    <w:p w14:paraId="53FB22D6" w14:textId="77777777" w:rsidR="000711E6" w:rsidRPr="00E47AA9" w:rsidRDefault="000711E6" w:rsidP="000711E6">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noProof/>
          <w:sz w:val="20"/>
          <w:szCs w:val="20"/>
          <w:lang w:eastAsia="ru-RU"/>
        </w:rPr>
        <w:drawing>
          <wp:anchor distT="0" distB="0" distL="114300" distR="114300" simplePos="0" relativeHeight="251692032" behindDoc="1" locked="0" layoutInCell="1" allowOverlap="1" wp14:anchorId="48EAFDEA" wp14:editId="7A1BD288">
            <wp:simplePos x="0" y="0"/>
            <wp:positionH relativeFrom="column">
              <wp:posOffset>-22860</wp:posOffset>
            </wp:positionH>
            <wp:positionV relativeFrom="paragraph">
              <wp:posOffset>206557</wp:posOffset>
            </wp:positionV>
            <wp:extent cx="1090295" cy="1104265"/>
            <wp:effectExtent l="0" t="0" r="0" b="635"/>
            <wp:wrapTight wrapText="bothSides">
              <wp:wrapPolygon edited="0">
                <wp:start x="0" y="0"/>
                <wp:lineTo x="0" y="21240"/>
                <wp:lineTo x="21135" y="21240"/>
                <wp:lineTo x="21135" y="0"/>
                <wp:lineTo x="0" y="0"/>
              </wp:wrapPolygon>
            </wp:wrapTight>
            <wp:docPr id="4" name="Рисунок 4" descr="C:\Users\zavzyataya_sv\Desktop\Картинки к исполнению\символ-сельское-хозяйство-векторные-клипарты_csp6317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zavzyataya_sv\Desktop\Картинки к исполнению\символ-сельское-хозяйство-векторные-клипарты_csp6317156.jpg"/>
                    <pic:cNvPicPr>
                      <a:picLocks noChangeAspect="1" noChangeArrowheads="1"/>
                    </pic:cNvPicPr>
                  </pic:nvPicPr>
                  <pic:blipFill rotWithShape="1">
                    <a:blip r:embed="rId65">
                      <a:extLst>
                        <a:ext uri="{28A0092B-C50C-407E-A947-70E740481C1C}">
                          <a14:useLocalDpi xmlns:a14="http://schemas.microsoft.com/office/drawing/2010/main" val="0"/>
                        </a:ext>
                      </a:extLst>
                    </a:blip>
                    <a:srcRect r="5875"/>
                    <a:stretch/>
                  </pic:blipFill>
                  <pic:spPr bwMode="auto">
                    <a:xfrm>
                      <a:off x="0" y="0"/>
                      <a:ext cx="1090295" cy="11042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744D4C" w14:textId="120C2A45" w:rsidR="000711E6" w:rsidRPr="00E47AA9" w:rsidRDefault="000711E6" w:rsidP="00FD476E">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5.2.14. Государственная программа Приморского края "Развитие сельского хозяйства и регулирования рынков сельскохозяйственной продукции, сырья и продовольствия"</w:t>
      </w:r>
    </w:p>
    <w:p w14:paraId="5CC6497B" w14:textId="77777777" w:rsidR="000711E6" w:rsidRPr="00E47AA9" w:rsidRDefault="000711E6" w:rsidP="000711E6">
      <w:pPr>
        <w:spacing w:after="0" w:line="240" w:lineRule="auto"/>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Уточненные бюджетные назначения на 2024 год на реализацию ГП составили 5628,58 млн рублей, исполнено 5592,27 млн рублей, или 99,35 %, в том числе: за счет средств федерального бюджета – 924,98 млн рублей, краевого бюджета – 4667,29 млн рублей. </w:t>
      </w:r>
    </w:p>
    <w:p w14:paraId="3DFDCA9A" w14:textId="5C9F6F1E" w:rsidR="000711E6" w:rsidRPr="00E47AA9" w:rsidRDefault="000711E6" w:rsidP="000711E6">
      <w:pPr>
        <w:spacing w:after="0" w:line="240" w:lineRule="auto"/>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ab/>
        <w:t xml:space="preserve">Согласно паспорту ГП ответственный исполнитель </w:t>
      </w:r>
      <w:r w:rsidR="00AB3579"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министерство сельского хозяйства Приморского края, соисполнители </w:t>
      </w:r>
      <w:r w:rsidR="00AB3579"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министерство культуры и архивного дела Приморского края</w:t>
      </w:r>
      <w:r w:rsidR="00AB3579"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министерство транспорта и дорожного хозяйства Приморского края</w:t>
      </w:r>
      <w:r w:rsidR="00AB3579"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министерство образования Приморского края</w:t>
      </w:r>
      <w:r w:rsidR="00AB3579"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министерство физической культуры и спорта Приморского края</w:t>
      </w:r>
      <w:r w:rsidR="00AB3579"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министерство жилищно-коммунального хозяйства Приморского края</w:t>
      </w:r>
      <w:r w:rsidR="00AB3579"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министерство строительства Приморского края</w:t>
      </w:r>
      <w:r w:rsidR="00AB3579"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государственная ветеринарная инспекция Приморского края</w:t>
      </w:r>
      <w:r w:rsidR="00AB3579"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департамент внутренней политики Приморского края.</w:t>
      </w:r>
    </w:p>
    <w:p w14:paraId="4C524465"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Исполнение ГП за 2024 год в разрезе главных распорядителей средств краевого бюджета приведено в таблице.</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613"/>
        <w:gridCol w:w="1418"/>
        <w:gridCol w:w="1417"/>
        <w:gridCol w:w="892"/>
        <w:gridCol w:w="1722"/>
      </w:tblGrid>
      <w:tr w:rsidR="00E47AA9" w:rsidRPr="00E47AA9" w14:paraId="0184B750" w14:textId="77777777" w:rsidTr="00845A54">
        <w:trPr>
          <w:trHeight w:val="20"/>
          <w:tblHeader/>
        </w:trPr>
        <w:tc>
          <w:tcPr>
            <w:tcW w:w="9606" w:type="dxa"/>
            <w:gridSpan w:val="6"/>
            <w:tcBorders>
              <w:top w:val="nil"/>
              <w:left w:val="nil"/>
              <w:bottom w:val="single" w:sz="4" w:space="0" w:color="auto"/>
              <w:right w:val="nil"/>
            </w:tcBorders>
            <w:shd w:val="clear" w:color="auto" w:fill="auto"/>
            <w:vAlign w:val="center"/>
          </w:tcPr>
          <w:p w14:paraId="0B16B75A" w14:textId="77777777" w:rsidR="000711E6" w:rsidRPr="00E47AA9" w:rsidRDefault="000711E6" w:rsidP="00845A54">
            <w:pPr>
              <w:spacing w:after="0" w:line="240" w:lineRule="auto"/>
              <w:jc w:val="right"/>
              <w:rPr>
                <w:rFonts w:ascii="Times New Roman" w:eastAsia="Times New Roman" w:hAnsi="Times New Roman" w:cs="Times New Roman"/>
                <w:sz w:val="24"/>
                <w:lang w:eastAsia="ru-RU"/>
              </w:rPr>
            </w:pPr>
            <w:r w:rsidRPr="00E47AA9">
              <w:rPr>
                <w:rFonts w:ascii="Times New Roman" w:eastAsia="Times New Roman" w:hAnsi="Times New Roman" w:cs="Times New Roman"/>
                <w:sz w:val="24"/>
                <w:lang w:eastAsia="ru-RU"/>
              </w:rPr>
              <w:t>(млн рублей)</w:t>
            </w:r>
          </w:p>
        </w:tc>
      </w:tr>
      <w:tr w:rsidR="00E47AA9" w:rsidRPr="00E47AA9" w14:paraId="02B0F105" w14:textId="77777777" w:rsidTr="00845A54">
        <w:trPr>
          <w:cantSplit/>
          <w:trHeight w:val="20"/>
          <w:tblHeader/>
        </w:trPr>
        <w:tc>
          <w:tcPr>
            <w:tcW w:w="3544" w:type="dxa"/>
            <w:tcBorders>
              <w:top w:val="single" w:sz="4" w:space="0" w:color="auto"/>
            </w:tcBorders>
            <w:shd w:val="clear" w:color="auto" w:fill="auto"/>
            <w:vAlign w:val="center"/>
            <w:hideMark/>
          </w:tcPr>
          <w:p w14:paraId="5B7933B4" w14:textId="77777777" w:rsidR="000711E6" w:rsidRPr="00E47AA9" w:rsidRDefault="000711E6"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Наименование показателя</w:t>
            </w:r>
          </w:p>
        </w:tc>
        <w:tc>
          <w:tcPr>
            <w:tcW w:w="613" w:type="dxa"/>
            <w:tcBorders>
              <w:top w:val="single" w:sz="4" w:space="0" w:color="auto"/>
            </w:tcBorders>
            <w:textDirection w:val="btLr"/>
          </w:tcPr>
          <w:p w14:paraId="53C170B5" w14:textId="77777777" w:rsidR="000711E6" w:rsidRPr="00E47AA9" w:rsidRDefault="000711E6" w:rsidP="00845A54">
            <w:pPr>
              <w:spacing w:after="0" w:line="240" w:lineRule="auto"/>
              <w:ind w:left="113" w:right="113"/>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Ведомство</w:t>
            </w:r>
          </w:p>
        </w:tc>
        <w:tc>
          <w:tcPr>
            <w:tcW w:w="1418" w:type="dxa"/>
            <w:tcBorders>
              <w:top w:val="single" w:sz="4" w:space="0" w:color="auto"/>
            </w:tcBorders>
            <w:shd w:val="clear" w:color="auto" w:fill="auto"/>
            <w:noWrap/>
            <w:vAlign w:val="center"/>
            <w:hideMark/>
          </w:tcPr>
          <w:p w14:paraId="3F0DBFC6" w14:textId="77777777" w:rsidR="000711E6" w:rsidRPr="00E47AA9" w:rsidRDefault="000711E6"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Уточненные бюджетные назначения на 2024 год</w:t>
            </w:r>
          </w:p>
        </w:tc>
        <w:tc>
          <w:tcPr>
            <w:tcW w:w="1417" w:type="dxa"/>
            <w:tcBorders>
              <w:top w:val="single" w:sz="4" w:space="0" w:color="auto"/>
            </w:tcBorders>
            <w:shd w:val="clear" w:color="auto" w:fill="auto"/>
            <w:noWrap/>
            <w:vAlign w:val="center"/>
            <w:hideMark/>
          </w:tcPr>
          <w:p w14:paraId="0D82D79D" w14:textId="77777777" w:rsidR="000711E6" w:rsidRPr="00E47AA9" w:rsidRDefault="000711E6"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Исполнено за 2024 год </w:t>
            </w:r>
          </w:p>
        </w:tc>
        <w:tc>
          <w:tcPr>
            <w:tcW w:w="892" w:type="dxa"/>
            <w:tcBorders>
              <w:top w:val="single" w:sz="4" w:space="0" w:color="auto"/>
            </w:tcBorders>
            <w:shd w:val="clear" w:color="auto" w:fill="auto"/>
            <w:noWrap/>
            <w:vAlign w:val="center"/>
          </w:tcPr>
          <w:p w14:paraId="6F965CDA" w14:textId="77777777" w:rsidR="000711E6" w:rsidRPr="00E47AA9" w:rsidRDefault="000711E6"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исп.</w:t>
            </w:r>
          </w:p>
        </w:tc>
        <w:tc>
          <w:tcPr>
            <w:tcW w:w="1722" w:type="dxa"/>
            <w:tcBorders>
              <w:top w:val="single" w:sz="4" w:space="0" w:color="auto"/>
            </w:tcBorders>
            <w:vAlign w:val="center"/>
          </w:tcPr>
          <w:p w14:paraId="76750796" w14:textId="77777777" w:rsidR="000711E6" w:rsidRPr="00E47AA9" w:rsidRDefault="000711E6" w:rsidP="00845A54">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Неисполненные бюджетные назначения</w:t>
            </w:r>
          </w:p>
        </w:tc>
      </w:tr>
      <w:tr w:rsidR="00E47AA9" w:rsidRPr="00E47AA9" w14:paraId="5E99B25E" w14:textId="77777777" w:rsidTr="00845A54">
        <w:trPr>
          <w:trHeight w:val="20"/>
        </w:trPr>
        <w:tc>
          <w:tcPr>
            <w:tcW w:w="3544" w:type="dxa"/>
            <w:tcBorders>
              <w:top w:val="single" w:sz="4" w:space="0" w:color="auto"/>
              <w:bottom w:val="single" w:sz="4" w:space="0" w:color="auto"/>
              <w:right w:val="single" w:sz="4" w:space="0" w:color="auto"/>
            </w:tcBorders>
            <w:shd w:val="clear" w:color="auto" w:fill="auto"/>
            <w:vAlign w:val="center"/>
            <w:hideMark/>
          </w:tcPr>
          <w:p w14:paraId="591AF31B" w14:textId="77777777" w:rsidR="000711E6" w:rsidRPr="00E47AA9" w:rsidRDefault="000711E6" w:rsidP="00845A54">
            <w:pPr>
              <w:spacing w:after="0" w:line="240" w:lineRule="auto"/>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Расходы по ГП всего,</w:t>
            </w:r>
          </w:p>
          <w:p w14:paraId="79ED25AE" w14:textId="6B76BE64" w:rsidR="000711E6" w:rsidRPr="00E47AA9" w:rsidRDefault="000711E6" w:rsidP="00AB3579">
            <w:pPr>
              <w:spacing w:after="0" w:line="240" w:lineRule="auto"/>
              <w:rPr>
                <w:rFonts w:ascii="Times New Roman" w:eastAsia="Times New Roman" w:hAnsi="Times New Roman" w:cs="Times New Roman"/>
                <w:b/>
                <w:bCs/>
                <w:lang w:eastAsia="ru-RU"/>
              </w:rPr>
            </w:pPr>
            <w:r w:rsidRPr="00E47AA9">
              <w:rPr>
                <w:rFonts w:ascii="Times New Roman" w:eastAsia="Times New Roman" w:hAnsi="Times New Roman" w:cs="Times New Roman"/>
                <w:lang w:eastAsia="ru-RU"/>
              </w:rPr>
              <w:t>в том числе по ведомствам</w:t>
            </w:r>
          </w:p>
        </w:tc>
        <w:tc>
          <w:tcPr>
            <w:tcW w:w="613" w:type="dxa"/>
            <w:tcBorders>
              <w:top w:val="single" w:sz="4" w:space="0" w:color="auto"/>
              <w:left w:val="single" w:sz="4" w:space="0" w:color="auto"/>
              <w:bottom w:val="single" w:sz="4" w:space="0" w:color="auto"/>
              <w:right w:val="single" w:sz="4" w:space="0" w:color="auto"/>
            </w:tcBorders>
          </w:tcPr>
          <w:p w14:paraId="19CB7102" w14:textId="77777777" w:rsidR="000711E6" w:rsidRPr="00E47AA9" w:rsidRDefault="000711E6" w:rsidP="00845A54">
            <w:pPr>
              <w:spacing w:after="0" w:line="240" w:lineRule="auto"/>
              <w:jc w:val="right"/>
              <w:rPr>
                <w:rFonts w:ascii="Times New Roman" w:eastAsia="Times New Roman" w:hAnsi="Times New Roman" w:cs="Times New Roman"/>
                <w:b/>
                <w:bCs/>
                <w:lang w:eastAsia="ru-RU"/>
              </w:rPr>
            </w:pP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2CBB29AD" w14:textId="77777777" w:rsidR="000711E6" w:rsidRPr="00E47AA9" w:rsidRDefault="000711E6"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5 628,58</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233AA46C" w14:textId="77777777" w:rsidR="000711E6" w:rsidRPr="00E47AA9" w:rsidRDefault="000711E6"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5 592,27</w:t>
            </w:r>
          </w:p>
        </w:tc>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1BC27D28" w14:textId="77777777" w:rsidR="000711E6" w:rsidRPr="00E47AA9" w:rsidRDefault="000711E6"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99,35</w:t>
            </w:r>
          </w:p>
        </w:tc>
        <w:tc>
          <w:tcPr>
            <w:tcW w:w="1722" w:type="dxa"/>
            <w:tcBorders>
              <w:top w:val="single" w:sz="4" w:space="0" w:color="auto"/>
              <w:left w:val="single" w:sz="4" w:space="0" w:color="auto"/>
              <w:bottom w:val="single" w:sz="4" w:space="0" w:color="auto"/>
              <w:right w:val="single" w:sz="4" w:space="0" w:color="auto"/>
            </w:tcBorders>
            <w:shd w:val="clear" w:color="auto" w:fill="auto"/>
          </w:tcPr>
          <w:p w14:paraId="0F482AAC" w14:textId="77777777" w:rsidR="000711E6" w:rsidRPr="00E47AA9" w:rsidRDefault="000711E6"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36,31</w:t>
            </w:r>
          </w:p>
        </w:tc>
      </w:tr>
      <w:tr w:rsidR="00E47AA9" w:rsidRPr="00E47AA9" w14:paraId="66BCCC2B" w14:textId="77777777" w:rsidTr="00845A54">
        <w:trPr>
          <w:trHeight w:val="20"/>
        </w:trPr>
        <w:tc>
          <w:tcPr>
            <w:tcW w:w="3544" w:type="dxa"/>
            <w:tcBorders>
              <w:top w:val="single" w:sz="4" w:space="0" w:color="auto"/>
              <w:bottom w:val="single" w:sz="4" w:space="0" w:color="auto"/>
              <w:right w:val="single" w:sz="4" w:space="0" w:color="auto"/>
            </w:tcBorders>
            <w:shd w:val="clear" w:color="auto" w:fill="auto"/>
            <w:hideMark/>
          </w:tcPr>
          <w:p w14:paraId="495CAE98" w14:textId="77777777" w:rsidR="000711E6" w:rsidRPr="00E47AA9" w:rsidRDefault="000711E6"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министерство сельского хозяйства Приморского края</w:t>
            </w:r>
          </w:p>
        </w:tc>
        <w:tc>
          <w:tcPr>
            <w:tcW w:w="613" w:type="dxa"/>
            <w:tcBorders>
              <w:top w:val="single" w:sz="4" w:space="0" w:color="auto"/>
              <w:left w:val="single" w:sz="4" w:space="0" w:color="auto"/>
              <w:bottom w:val="single" w:sz="4" w:space="0" w:color="auto"/>
              <w:right w:val="single" w:sz="4" w:space="0" w:color="auto"/>
            </w:tcBorders>
          </w:tcPr>
          <w:p w14:paraId="03A2CD05" w14:textId="77777777" w:rsidR="000711E6" w:rsidRPr="00E47AA9" w:rsidRDefault="000711E6"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758</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179FFD74"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4 465,96</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6FCB0D4D"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4 433,70</w:t>
            </w:r>
          </w:p>
        </w:tc>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5BCA2BB9"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99,28</w:t>
            </w:r>
          </w:p>
        </w:tc>
        <w:tc>
          <w:tcPr>
            <w:tcW w:w="1722" w:type="dxa"/>
            <w:tcBorders>
              <w:top w:val="single" w:sz="4" w:space="0" w:color="auto"/>
              <w:left w:val="single" w:sz="4" w:space="0" w:color="auto"/>
              <w:bottom w:val="single" w:sz="4" w:space="0" w:color="auto"/>
              <w:right w:val="single" w:sz="4" w:space="0" w:color="auto"/>
            </w:tcBorders>
            <w:shd w:val="clear" w:color="auto" w:fill="auto"/>
          </w:tcPr>
          <w:p w14:paraId="75FC2FA5"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32,26</w:t>
            </w:r>
          </w:p>
        </w:tc>
      </w:tr>
      <w:tr w:rsidR="00E47AA9" w:rsidRPr="00E47AA9" w14:paraId="3DDAD37D" w14:textId="77777777" w:rsidTr="00845A54">
        <w:trPr>
          <w:trHeight w:val="20"/>
        </w:trPr>
        <w:tc>
          <w:tcPr>
            <w:tcW w:w="3544" w:type="dxa"/>
            <w:tcBorders>
              <w:top w:val="single" w:sz="4" w:space="0" w:color="auto"/>
              <w:bottom w:val="single" w:sz="4" w:space="0" w:color="auto"/>
              <w:right w:val="single" w:sz="4" w:space="0" w:color="auto"/>
            </w:tcBorders>
            <w:shd w:val="clear" w:color="auto" w:fill="auto"/>
            <w:hideMark/>
          </w:tcPr>
          <w:p w14:paraId="73F177F1" w14:textId="77777777" w:rsidR="000711E6" w:rsidRPr="00E47AA9" w:rsidRDefault="000711E6"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министерство образования Приморского края</w:t>
            </w:r>
          </w:p>
        </w:tc>
        <w:tc>
          <w:tcPr>
            <w:tcW w:w="613" w:type="dxa"/>
            <w:tcBorders>
              <w:top w:val="single" w:sz="4" w:space="0" w:color="auto"/>
              <w:left w:val="single" w:sz="4" w:space="0" w:color="auto"/>
              <w:bottom w:val="single" w:sz="4" w:space="0" w:color="auto"/>
              <w:right w:val="single" w:sz="4" w:space="0" w:color="auto"/>
            </w:tcBorders>
          </w:tcPr>
          <w:p w14:paraId="11934F17" w14:textId="77777777" w:rsidR="000711E6" w:rsidRPr="00E47AA9" w:rsidRDefault="000711E6"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759</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5B4DE69E"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64,17</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56951D41"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63,44</w:t>
            </w:r>
          </w:p>
        </w:tc>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319028FF"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98,86</w:t>
            </w:r>
          </w:p>
        </w:tc>
        <w:tc>
          <w:tcPr>
            <w:tcW w:w="1722" w:type="dxa"/>
            <w:tcBorders>
              <w:top w:val="single" w:sz="4" w:space="0" w:color="auto"/>
              <w:left w:val="single" w:sz="4" w:space="0" w:color="auto"/>
              <w:bottom w:val="single" w:sz="4" w:space="0" w:color="auto"/>
              <w:right w:val="single" w:sz="4" w:space="0" w:color="auto"/>
            </w:tcBorders>
            <w:shd w:val="clear" w:color="auto" w:fill="auto"/>
          </w:tcPr>
          <w:p w14:paraId="02818513"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0,73</w:t>
            </w:r>
          </w:p>
        </w:tc>
      </w:tr>
      <w:tr w:rsidR="00E47AA9" w:rsidRPr="00E47AA9" w14:paraId="4F4537A9" w14:textId="77777777" w:rsidTr="00845A54">
        <w:trPr>
          <w:trHeight w:val="20"/>
        </w:trPr>
        <w:tc>
          <w:tcPr>
            <w:tcW w:w="3544" w:type="dxa"/>
            <w:tcBorders>
              <w:top w:val="single" w:sz="4" w:space="0" w:color="auto"/>
              <w:bottom w:val="single" w:sz="4" w:space="0" w:color="auto"/>
              <w:right w:val="single" w:sz="4" w:space="0" w:color="auto"/>
            </w:tcBorders>
            <w:shd w:val="clear" w:color="auto" w:fill="auto"/>
            <w:hideMark/>
          </w:tcPr>
          <w:p w14:paraId="0EF034FD" w14:textId="77777777" w:rsidR="000711E6" w:rsidRPr="00E47AA9" w:rsidRDefault="000711E6"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министерство жилищно-коммунального хозяйства Приморского края</w:t>
            </w:r>
          </w:p>
        </w:tc>
        <w:tc>
          <w:tcPr>
            <w:tcW w:w="613" w:type="dxa"/>
            <w:tcBorders>
              <w:top w:val="single" w:sz="4" w:space="0" w:color="auto"/>
              <w:left w:val="single" w:sz="4" w:space="0" w:color="auto"/>
              <w:bottom w:val="single" w:sz="4" w:space="0" w:color="auto"/>
              <w:right w:val="single" w:sz="4" w:space="0" w:color="auto"/>
            </w:tcBorders>
          </w:tcPr>
          <w:p w14:paraId="302D7879" w14:textId="77777777" w:rsidR="000711E6" w:rsidRPr="00E47AA9" w:rsidRDefault="000711E6"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768</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5B737406"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195,28</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7737019D"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195,28</w:t>
            </w:r>
          </w:p>
        </w:tc>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1445D268"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100,00</w:t>
            </w:r>
          </w:p>
        </w:tc>
        <w:tc>
          <w:tcPr>
            <w:tcW w:w="1722" w:type="dxa"/>
            <w:tcBorders>
              <w:top w:val="single" w:sz="4" w:space="0" w:color="auto"/>
              <w:left w:val="single" w:sz="4" w:space="0" w:color="auto"/>
              <w:bottom w:val="single" w:sz="4" w:space="0" w:color="auto"/>
              <w:right w:val="single" w:sz="4" w:space="0" w:color="auto"/>
            </w:tcBorders>
            <w:shd w:val="clear" w:color="auto" w:fill="auto"/>
          </w:tcPr>
          <w:p w14:paraId="55A5A8AF"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0,00</w:t>
            </w:r>
          </w:p>
        </w:tc>
      </w:tr>
      <w:tr w:rsidR="00E47AA9" w:rsidRPr="00E47AA9" w14:paraId="6729AAFB" w14:textId="77777777" w:rsidTr="00845A54">
        <w:trPr>
          <w:trHeight w:val="20"/>
        </w:trPr>
        <w:tc>
          <w:tcPr>
            <w:tcW w:w="3544" w:type="dxa"/>
            <w:tcBorders>
              <w:top w:val="single" w:sz="4" w:space="0" w:color="auto"/>
              <w:bottom w:val="single" w:sz="4" w:space="0" w:color="auto"/>
              <w:right w:val="single" w:sz="4" w:space="0" w:color="auto"/>
            </w:tcBorders>
            <w:shd w:val="clear" w:color="auto" w:fill="auto"/>
            <w:hideMark/>
          </w:tcPr>
          <w:p w14:paraId="2D75326D" w14:textId="77777777" w:rsidR="000711E6" w:rsidRPr="00E47AA9" w:rsidRDefault="000711E6"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министерство строительства Приморского края</w:t>
            </w:r>
          </w:p>
        </w:tc>
        <w:tc>
          <w:tcPr>
            <w:tcW w:w="613" w:type="dxa"/>
            <w:tcBorders>
              <w:top w:val="single" w:sz="4" w:space="0" w:color="auto"/>
              <w:left w:val="single" w:sz="4" w:space="0" w:color="auto"/>
              <w:bottom w:val="single" w:sz="4" w:space="0" w:color="auto"/>
              <w:right w:val="single" w:sz="4" w:space="0" w:color="auto"/>
            </w:tcBorders>
          </w:tcPr>
          <w:p w14:paraId="041C45E2" w14:textId="77777777" w:rsidR="000711E6" w:rsidRPr="00E47AA9" w:rsidRDefault="000711E6"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775</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4BB1B11D"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75,43</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7AE48058"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74,68</w:t>
            </w:r>
          </w:p>
        </w:tc>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2B1CB5DE"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99,01</w:t>
            </w:r>
          </w:p>
        </w:tc>
        <w:tc>
          <w:tcPr>
            <w:tcW w:w="1722" w:type="dxa"/>
            <w:tcBorders>
              <w:top w:val="single" w:sz="4" w:space="0" w:color="auto"/>
              <w:left w:val="single" w:sz="4" w:space="0" w:color="auto"/>
              <w:bottom w:val="single" w:sz="4" w:space="0" w:color="auto"/>
              <w:right w:val="single" w:sz="4" w:space="0" w:color="auto"/>
            </w:tcBorders>
            <w:shd w:val="clear" w:color="auto" w:fill="auto"/>
          </w:tcPr>
          <w:p w14:paraId="0779CFE8"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0,75</w:t>
            </w:r>
          </w:p>
        </w:tc>
      </w:tr>
      <w:tr w:rsidR="00E47AA9" w:rsidRPr="00E47AA9" w14:paraId="003C1418" w14:textId="77777777" w:rsidTr="00845A54">
        <w:trPr>
          <w:trHeight w:val="20"/>
        </w:trPr>
        <w:tc>
          <w:tcPr>
            <w:tcW w:w="3544" w:type="dxa"/>
            <w:tcBorders>
              <w:top w:val="single" w:sz="4" w:space="0" w:color="auto"/>
              <w:bottom w:val="single" w:sz="4" w:space="0" w:color="auto"/>
              <w:right w:val="single" w:sz="4" w:space="0" w:color="auto"/>
            </w:tcBorders>
            <w:shd w:val="clear" w:color="auto" w:fill="auto"/>
            <w:hideMark/>
          </w:tcPr>
          <w:p w14:paraId="449145C3" w14:textId="77777777" w:rsidR="000711E6" w:rsidRPr="00E47AA9" w:rsidRDefault="000711E6"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государственная ветеринарная инспекция Приморского края</w:t>
            </w:r>
          </w:p>
        </w:tc>
        <w:tc>
          <w:tcPr>
            <w:tcW w:w="613" w:type="dxa"/>
            <w:tcBorders>
              <w:top w:val="single" w:sz="4" w:space="0" w:color="auto"/>
              <w:left w:val="single" w:sz="4" w:space="0" w:color="auto"/>
              <w:bottom w:val="single" w:sz="4" w:space="0" w:color="auto"/>
              <w:right w:val="single" w:sz="4" w:space="0" w:color="auto"/>
            </w:tcBorders>
          </w:tcPr>
          <w:p w14:paraId="142E16DE" w14:textId="77777777" w:rsidR="000711E6" w:rsidRPr="00E47AA9" w:rsidRDefault="000711E6"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776</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473011FF"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774,78</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1A2F4B31"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772,78</w:t>
            </w:r>
          </w:p>
        </w:tc>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23644B54"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99,74</w:t>
            </w:r>
          </w:p>
        </w:tc>
        <w:tc>
          <w:tcPr>
            <w:tcW w:w="1722" w:type="dxa"/>
            <w:tcBorders>
              <w:top w:val="single" w:sz="4" w:space="0" w:color="auto"/>
              <w:left w:val="single" w:sz="4" w:space="0" w:color="auto"/>
              <w:bottom w:val="single" w:sz="4" w:space="0" w:color="auto"/>
              <w:right w:val="single" w:sz="4" w:space="0" w:color="auto"/>
            </w:tcBorders>
            <w:shd w:val="clear" w:color="auto" w:fill="auto"/>
          </w:tcPr>
          <w:p w14:paraId="59AA95A7"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2,00</w:t>
            </w:r>
          </w:p>
        </w:tc>
      </w:tr>
      <w:tr w:rsidR="00E47AA9" w:rsidRPr="00E47AA9" w14:paraId="262476D9" w14:textId="77777777" w:rsidTr="00845A54">
        <w:trPr>
          <w:trHeight w:val="20"/>
        </w:trPr>
        <w:tc>
          <w:tcPr>
            <w:tcW w:w="3544" w:type="dxa"/>
            <w:tcBorders>
              <w:top w:val="single" w:sz="4" w:space="0" w:color="auto"/>
              <w:bottom w:val="single" w:sz="4" w:space="0" w:color="auto"/>
              <w:right w:val="single" w:sz="4" w:space="0" w:color="auto"/>
            </w:tcBorders>
            <w:shd w:val="clear" w:color="auto" w:fill="auto"/>
            <w:hideMark/>
          </w:tcPr>
          <w:p w14:paraId="1BDB89D4" w14:textId="77777777" w:rsidR="000711E6" w:rsidRPr="00E47AA9" w:rsidRDefault="000711E6" w:rsidP="00845A54">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министерство имущественных и земельных отношений Приморского края</w:t>
            </w:r>
          </w:p>
        </w:tc>
        <w:tc>
          <w:tcPr>
            <w:tcW w:w="613" w:type="dxa"/>
            <w:tcBorders>
              <w:top w:val="single" w:sz="4" w:space="0" w:color="auto"/>
              <w:left w:val="single" w:sz="4" w:space="0" w:color="auto"/>
              <w:bottom w:val="single" w:sz="4" w:space="0" w:color="auto"/>
              <w:right w:val="single" w:sz="4" w:space="0" w:color="auto"/>
            </w:tcBorders>
          </w:tcPr>
          <w:p w14:paraId="50434AD4" w14:textId="77777777" w:rsidR="000711E6" w:rsidRPr="00E47AA9" w:rsidRDefault="000711E6"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779</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409A93D0"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8,63</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05256284"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8,05</w:t>
            </w:r>
          </w:p>
        </w:tc>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06410E2A"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93,30</w:t>
            </w:r>
          </w:p>
        </w:tc>
        <w:tc>
          <w:tcPr>
            <w:tcW w:w="1722" w:type="dxa"/>
            <w:tcBorders>
              <w:top w:val="single" w:sz="4" w:space="0" w:color="auto"/>
              <w:left w:val="single" w:sz="4" w:space="0" w:color="auto"/>
              <w:bottom w:val="single" w:sz="4" w:space="0" w:color="auto"/>
              <w:right w:val="single" w:sz="4" w:space="0" w:color="auto"/>
            </w:tcBorders>
            <w:shd w:val="clear" w:color="auto" w:fill="auto"/>
          </w:tcPr>
          <w:p w14:paraId="08C91B2E"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0,58</w:t>
            </w:r>
          </w:p>
        </w:tc>
      </w:tr>
      <w:tr w:rsidR="000711E6" w:rsidRPr="00E47AA9" w14:paraId="4690A146" w14:textId="77777777" w:rsidTr="00845A54">
        <w:trPr>
          <w:trHeight w:val="20"/>
        </w:trPr>
        <w:tc>
          <w:tcPr>
            <w:tcW w:w="3544" w:type="dxa"/>
            <w:tcBorders>
              <w:top w:val="single" w:sz="4" w:space="0" w:color="auto"/>
              <w:bottom w:val="single" w:sz="4" w:space="0" w:color="auto"/>
              <w:right w:val="single" w:sz="4" w:space="0" w:color="auto"/>
            </w:tcBorders>
            <w:shd w:val="clear" w:color="auto" w:fill="auto"/>
            <w:hideMark/>
          </w:tcPr>
          <w:p w14:paraId="5FF03314" w14:textId="77777777" w:rsidR="000711E6" w:rsidRPr="00E47AA9" w:rsidRDefault="000711E6" w:rsidP="00845A54">
            <w:pPr>
              <w:spacing w:after="0" w:line="240" w:lineRule="auto"/>
              <w:rPr>
                <w:rFonts w:ascii="Times New Roman" w:eastAsia="Times New Roman" w:hAnsi="Times New Roman" w:cs="Times New Roman"/>
                <w:lang w:eastAsia="ru-RU"/>
              </w:rPr>
            </w:pPr>
            <w:r w:rsidRPr="00E47AA9">
              <w:rPr>
                <w:rFonts w:ascii="Times New Roman" w:hAnsi="Times New Roman" w:cs="Times New Roman"/>
              </w:rPr>
              <w:t>министерство культуры и архивного дела Приморского края</w:t>
            </w:r>
          </w:p>
        </w:tc>
        <w:tc>
          <w:tcPr>
            <w:tcW w:w="613" w:type="dxa"/>
            <w:tcBorders>
              <w:top w:val="single" w:sz="4" w:space="0" w:color="auto"/>
              <w:left w:val="single" w:sz="4" w:space="0" w:color="auto"/>
              <w:bottom w:val="single" w:sz="4" w:space="0" w:color="auto"/>
              <w:right w:val="single" w:sz="4" w:space="0" w:color="auto"/>
            </w:tcBorders>
          </w:tcPr>
          <w:p w14:paraId="1CE474B6" w14:textId="77777777" w:rsidR="000711E6" w:rsidRPr="00E47AA9" w:rsidRDefault="000711E6"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789</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035E39EB"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44,33</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50E0B101"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44,33</w:t>
            </w:r>
          </w:p>
        </w:tc>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56F35BE3"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100,00</w:t>
            </w:r>
          </w:p>
        </w:tc>
        <w:tc>
          <w:tcPr>
            <w:tcW w:w="1722" w:type="dxa"/>
            <w:tcBorders>
              <w:top w:val="single" w:sz="4" w:space="0" w:color="auto"/>
              <w:left w:val="single" w:sz="4" w:space="0" w:color="auto"/>
              <w:bottom w:val="single" w:sz="4" w:space="0" w:color="auto"/>
              <w:right w:val="single" w:sz="4" w:space="0" w:color="auto"/>
            </w:tcBorders>
            <w:shd w:val="clear" w:color="auto" w:fill="auto"/>
          </w:tcPr>
          <w:p w14:paraId="5118FC37"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0,00</w:t>
            </w:r>
          </w:p>
        </w:tc>
      </w:tr>
    </w:tbl>
    <w:p w14:paraId="3587C55C"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p>
    <w:p w14:paraId="34AB267A"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Исполнение ГП за 2024 год в разрезе структурных элементов и включенных в их состав региональных проектов представлено в таблице.</w:t>
      </w:r>
    </w:p>
    <w:p w14:paraId="24EFD7CF"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tbl>
      <w:tblPr>
        <w:tblW w:w="9434" w:type="dxa"/>
        <w:tblInd w:w="103" w:type="dxa"/>
        <w:tblLook w:val="04A0" w:firstRow="1" w:lastRow="0" w:firstColumn="1" w:lastColumn="0" w:noHBand="0" w:noVBand="1"/>
      </w:tblPr>
      <w:tblGrid>
        <w:gridCol w:w="3451"/>
        <w:gridCol w:w="1746"/>
        <w:gridCol w:w="1305"/>
        <w:gridCol w:w="1432"/>
        <w:gridCol w:w="1500"/>
      </w:tblGrid>
      <w:tr w:rsidR="00E47AA9" w:rsidRPr="00E47AA9" w14:paraId="76B8F399" w14:textId="77777777" w:rsidTr="00845A54">
        <w:trPr>
          <w:trHeight w:val="20"/>
          <w:tblHeader/>
        </w:trPr>
        <w:tc>
          <w:tcPr>
            <w:tcW w:w="9434" w:type="dxa"/>
            <w:gridSpan w:val="5"/>
            <w:tcBorders>
              <w:bottom w:val="single" w:sz="4" w:space="0" w:color="auto"/>
            </w:tcBorders>
            <w:shd w:val="clear" w:color="000000" w:fill="FFFFFF"/>
            <w:vAlign w:val="bottom"/>
          </w:tcPr>
          <w:p w14:paraId="2036F099" w14:textId="77777777" w:rsidR="000711E6" w:rsidRPr="00E47AA9" w:rsidRDefault="000711E6" w:rsidP="00845A54">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sz w:val="24"/>
                <w:lang w:eastAsia="ru-RU"/>
              </w:rPr>
              <w:t>(млн рублей)</w:t>
            </w:r>
          </w:p>
        </w:tc>
      </w:tr>
      <w:tr w:rsidR="00E47AA9" w:rsidRPr="00E47AA9" w14:paraId="700406FB" w14:textId="77777777" w:rsidTr="00651A0B">
        <w:trPr>
          <w:trHeight w:val="20"/>
          <w:tblHeader/>
        </w:trPr>
        <w:tc>
          <w:tcPr>
            <w:tcW w:w="351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0662281" w14:textId="5E544C5D" w:rsidR="000711E6" w:rsidRPr="00E47AA9" w:rsidRDefault="000711E6" w:rsidP="00651A0B">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Наименование</w:t>
            </w:r>
          </w:p>
        </w:tc>
        <w:tc>
          <w:tcPr>
            <w:tcW w:w="176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9467452" w14:textId="630262ED" w:rsidR="000711E6" w:rsidRPr="00E47AA9" w:rsidRDefault="000711E6" w:rsidP="00651A0B">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Уточненные бюджетные назначения</w:t>
            </w:r>
          </w:p>
          <w:p w14:paraId="7EE9563C" w14:textId="77777777" w:rsidR="000711E6" w:rsidRPr="00E47AA9" w:rsidRDefault="000711E6" w:rsidP="00651A0B">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на 2024 год</w:t>
            </w:r>
          </w:p>
        </w:tc>
        <w:tc>
          <w:tcPr>
            <w:tcW w:w="13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89E43F1" w14:textId="77777777" w:rsidR="000711E6" w:rsidRPr="00E47AA9" w:rsidRDefault="000711E6" w:rsidP="00651A0B">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Исполнено за 2024 год</w:t>
            </w:r>
          </w:p>
        </w:tc>
        <w:tc>
          <w:tcPr>
            <w:tcW w:w="1296" w:type="dxa"/>
            <w:tcBorders>
              <w:top w:val="single" w:sz="4" w:space="0" w:color="auto"/>
              <w:left w:val="single" w:sz="4" w:space="0" w:color="auto"/>
              <w:bottom w:val="single" w:sz="4" w:space="0" w:color="auto"/>
              <w:right w:val="single" w:sz="4" w:space="0" w:color="auto"/>
            </w:tcBorders>
            <w:shd w:val="clear" w:color="000000" w:fill="FFFFFF"/>
            <w:vAlign w:val="center"/>
          </w:tcPr>
          <w:p w14:paraId="4AA1500A" w14:textId="5299B159" w:rsidR="000711E6" w:rsidRPr="00E47AA9" w:rsidRDefault="00651A0B" w:rsidP="00651A0B">
            <w:pPr>
              <w:spacing w:after="0" w:line="240" w:lineRule="auto"/>
              <w:jc w:val="center"/>
              <w:rPr>
                <w:rFonts w:ascii="Times New Roman" w:eastAsia="Times New Roman" w:hAnsi="Times New Roman" w:cs="Times New Roman"/>
                <w:lang w:eastAsia="ru-RU"/>
              </w:rPr>
            </w:pPr>
            <w:proofErr w:type="spellStart"/>
            <w:proofErr w:type="gramStart"/>
            <w:r w:rsidRPr="00E47AA9">
              <w:rPr>
                <w:rFonts w:ascii="Times New Roman" w:eastAsia="Times New Roman" w:hAnsi="Times New Roman" w:cs="Times New Roman"/>
                <w:lang w:eastAsia="ru-RU"/>
              </w:rPr>
              <w:t>Неисполнен-ные</w:t>
            </w:r>
            <w:proofErr w:type="spellEnd"/>
            <w:proofErr w:type="gramEnd"/>
            <w:r w:rsidRPr="00E47AA9">
              <w:rPr>
                <w:rFonts w:ascii="Times New Roman" w:eastAsia="Times New Roman" w:hAnsi="Times New Roman" w:cs="Times New Roman"/>
                <w:lang w:eastAsia="ru-RU"/>
              </w:rPr>
              <w:t xml:space="preserve"> назначения</w:t>
            </w:r>
          </w:p>
        </w:tc>
        <w:tc>
          <w:tcPr>
            <w:tcW w:w="1543" w:type="dxa"/>
            <w:tcBorders>
              <w:top w:val="single" w:sz="4" w:space="0" w:color="auto"/>
              <w:left w:val="single" w:sz="4" w:space="0" w:color="auto"/>
              <w:bottom w:val="single" w:sz="4" w:space="0" w:color="auto"/>
              <w:right w:val="single" w:sz="4" w:space="0" w:color="auto"/>
            </w:tcBorders>
            <w:shd w:val="clear" w:color="000000" w:fill="FFFFFF"/>
            <w:vAlign w:val="center"/>
          </w:tcPr>
          <w:p w14:paraId="29886128" w14:textId="6BA61A85" w:rsidR="000711E6" w:rsidRPr="00E47AA9" w:rsidRDefault="00651A0B" w:rsidP="00651A0B">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исп.</w:t>
            </w:r>
          </w:p>
        </w:tc>
      </w:tr>
      <w:tr w:rsidR="00E47AA9" w:rsidRPr="00E47AA9" w14:paraId="786913D9" w14:textId="77777777" w:rsidTr="00845A54">
        <w:trPr>
          <w:trHeight w:val="20"/>
        </w:trPr>
        <w:tc>
          <w:tcPr>
            <w:tcW w:w="3518" w:type="dxa"/>
            <w:tcBorders>
              <w:top w:val="single" w:sz="4" w:space="0" w:color="auto"/>
              <w:left w:val="single" w:sz="4" w:space="0" w:color="auto"/>
              <w:bottom w:val="single" w:sz="4" w:space="0" w:color="auto"/>
              <w:right w:val="single" w:sz="4" w:space="0" w:color="auto"/>
            </w:tcBorders>
            <w:shd w:val="clear" w:color="auto" w:fill="auto"/>
            <w:vAlign w:val="bottom"/>
          </w:tcPr>
          <w:p w14:paraId="658CC803" w14:textId="77777777" w:rsidR="000711E6" w:rsidRPr="00E47AA9" w:rsidRDefault="000711E6" w:rsidP="00845A54">
            <w:pPr>
              <w:spacing w:after="0" w:line="240" w:lineRule="auto"/>
              <w:rPr>
                <w:rFonts w:ascii="Times New Roman" w:hAnsi="Times New Roman" w:cs="Times New Roman"/>
                <w:b/>
                <w:bCs/>
              </w:rPr>
            </w:pPr>
            <w:r w:rsidRPr="00E47AA9">
              <w:rPr>
                <w:rFonts w:ascii="Times New Roman" w:hAnsi="Times New Roman" w:cs="Times New Roman"/>
                <w:b/>
                <w:bCs/>
              </w:rPr>
              <w:t xml:space="preserve">Расходы по ГП всего, </w:t>
            </w:r>
          </w:p>
          <w:p w14:paraId="64E20C9B" w14:textId="45730321" w:rsidR="000711E6" w:rsidRPr="00E47AA9" w:rsidRDefault="000711E6" w:rsidP="00AB3579">
            <w:pPr>
              <w:spacing w:after="0" w:line="240" w:lineRule="auto"/>
              <w:rPr>
                <w:rFonts w:ascii="Times New Roman" w:hAnsi="Times New Roman" w:cs="Times New Roman"/>
                <w:bCs/>
              </w:rPr>
            </w:pPr>
            <w:r w:rsidRPr="00E47AA9">
              <w:rPr>
                <w:rFonts w:ascii="Times New Roman" w:hAnsi="Times New Roman" w:cs="Times New Roman"/>
                <w:bCs/>
              </w:rPr>
              <w:t>в том числе</w:t>
            </w:r>
          </w:p>
        </w:tc>
        <w:tc>
          <w:tcPr>
            <w:tcW w:w="1769" w:type="dxa"/>
            <w:tcBorders>
              <w:top w:val="single" w:sz="4" w:space="0" w:color="auto"/>
              <w:left w:val="single" w:sz="4" w:space="0" w:color="auto"/>
              <w:bottom w:val="single" w:sz="4" w:space="0" w:color="auto"/>
              <w:right w:val="single" w:sz="4" w:space="0" w:color="auto"/>
            </w:tcBorders>
            <w:shd w:val="clear" w:color="auto" w:fill="auto"/>
          </w:tcPr>
          <w:p w14:paraId="4F0A7744" w14:textId="77777777" w:rsidR="000711E6" w:rsidRPr="00E47AA9" w:rsidRDefault="000711E6"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5 628,58</w:t>
            </w:r>
          </w:p>
        </w:tc>
        <w:tc>
          <w:tcPr>
            <w:tcW w:w="1308" w:type="dxa"/>
            <w:tcBorders>
              <w:top w:val="single" w:sz="4" w:space="0" w:color="auto"/>
              <w:left w:val="single" w:sz="4" w:space="0" w:color="auto"/>
              <w:bottom w:val="single" w:sz="4" w:space="0" w:color="auto"/>
              <w:right w:val="single" w:sz="4" w:space="0" w:color="auto"/>
            </w:tcBorders>
            <w:shd w:val="clear" w:color="auto" w:fill="auto"/>
          </w:tcPr>
          <w:p w14:paraId="5F8E4730" w14:textId="77777777" w:rsidR="000711E6" w:rsidRPr="00E47AA9" w:rsidRDefault="000711E6"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5 592,27</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04DF452" w14:textId="77777777" w:rsidR="000711E6" w:rsidRPr="00E47AA9" w:rsidRDefault="000711E6"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36,31</w:t>
            </w:r>
          </w:p>
        </w:tc>
        <w:tc>
          <w:tcPr>
            <w:tcW w:w="1543" w:type="dxa"/>
            <w:tcBorders>
              <w:top w:val="single" w:sz="4" w:space="0" w:color="auto"/>
              <w:left w:val="single" w:sz="4" w:space="0" w:color="auto"/>
              <w:bottom w:val="single" w:sz="4" w:space="0" w:color="auto"/>
              <w:right w:val="single" w:sz="4" w:space="0" w:color="auto"/>
            </w:tcBorders>
            <w:shd w:val="clear" w:color="auto" w:fill="auto"/>
          </w:tcPr>
          <w:p w14:paraId="79A2DF9A" w14:textId="77777777" w:rsidR="000711E6" w:rsidRPr="00E47AA9" w:rsidRDefault="000711E6" w:rsidP="00845A54">
            <w:pPr>
              <w:spacing w:after="0" w:line="240" w:lineRule="auto"/>
              <w:jc w:val="right"/>
              <w:rPr>
                <w:rFonts w:ascii="Times New Roman" w:hAnsi="Times New Roman" w:cs="Times New Roman"/>
                <w:b/>
                <w:bCs/>
              </w:rPr>
            </w:pPr>
            <w:r w:rsidRPr="00E47AA9">
              <w:rPr>
                <w:rFonts w:ascii="Times New Roman" w:hAnsi="Times New Roman" w:cs="Times New Roman"/>
                <w:b/>
                <w:bCs/>
              </w:rPr>
              <w:t>99,35</w:t>
            </w:r>
          </w:p>
        </w:tc>
      </w:tr>
      <w:tr w:rsidR="00E47AA9" w:rsidRPr="00E47AA9" w14:paraId="4A658EA3" w14:textId="77777777" w:rsidTr="00845A54">
        <w:trPr>
          <w:trHeight w:val="20"/>
        </w:trPr>
        <w:tc>
          <w:tcPr>
            <w:tcW w:w="3518" w:type="dxa"/>
            <w:tcBorders>
              <w:top w:val="single" w:sz="4" w:space="0" w:color="auto"/>
              <w:left w:val="single" w:sz="4" w:space="0" w:color="auto"/>
              <w:bottom w:val="single" w:sz="4" w:space="0" w:color="auto"/>
              <w:right w:val="single" w:sz="4" w:space="0" w:color="auto"/>
            </w:tcBorders>
            <w:shd w:val="clear" w:color="000000" w:fill="FFFFFF"/>
            <w:vAlign w:val="bottom"/>
          </w:tcPr>
          <w:p w14:paraId="722B643D" w14:textId="77777777" w:rsidR="000711E6" w:rsidRPr="00E47AA9" w:rsidRDefault="000711E6" w:rsidP="00845A54">
            <w:pPr>
              <w:spacing w:after="0" w:line="240" w:lineRule="auto"/>
              <w:rPr>
                <w:rFonts w:ascii="Times New Roman" w:hAnsi="Times New Roman" w:cs="Times New Roman"/>
                <w:b/>
                <w:bCs/>
              </w:rPr>
            </w:pPr>
            <w:r w:rsidRPr="00E47AA9">
              <w:rPr>
                <w:rFonts w:ascii="Times New Roman" w:hAnsi="Times New Roman" w:cs="Times New Roman"/>
                <w:b/>
                <w:bCs/>
              </w:rPr>
              <w:t>проектные мероприятия</w:t>
            </w:r>
          </w:p>
        </w:tc>
        <w:tc>
          <w:tcPr>
            <w:tcW w:w="1769" w:type="dxa"/>
            <w:tcBorders>
              <w:top w:val="single" w:sz="4" w:space="0" w:color="auto"/>
              <w:left w:val="nil"/>
              <w:bottom w:val="single" w:sz="4" w:space="0" w:color="auto"/>
              <w:right w:val="single" w:sz="4" w:space="0" w:color="auto"/>
            </w:tcBorders>
            <w:shd w:val="clear" w:color="auto" w:fill="auto"/>
          </w:tcPr>
          <w:p w14:paraId="05B17478"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1 160,78</w:t>
            </w:r>
          </w:p>
        </w:tc>
        <w:tc>
          <w:tcPr>
            <w:tcW w:w="1308" w:type="dxa"/>
            <w:tcBorders>
              <w:top w:val="single" w:sz="4" w:space="0" w:color="auto"/>
              <w:left w:val="single" w:sz="4" w:space="0" w:color="auto"/>
              <w:bottom w:val="single" w:sz="4" w:space="0" w:color="auto"/>
              <w:right w:val="single" w:sz="4" w:space="0" w:color="auto"/>
            </w:tcBorders>
            <w:shd w:val="clear" w:color="auto" w:fill="auto"/>
          </w:tcPr>
          <w:p w14:paraId="03CDE043"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1 147,99</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C211474"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12,79</w:t>
            </w:r>
          </w:p>
        </w:tc>
        <w:tc>
          <w:tcPr>
            <w:tcW w:w="1543" w:type="dxa"/>
            <w:tcBorders>
              <w:top w:val="single" w:sz="4" w:space="0" w:color="auto"/>
              <w:left w:val="single" w:sz="4" w:space="0" w:color="auto"/>
              <w:bottom w:val="single" w:sz="4" w:space="0" w:color="auto"/>
              <w:right w:val="single" w:sz="4" w:space="0" w:color="auto"/>
            </w:tcBorders>
            <w:shd w:val="clear" w:color="auto" w:fill="auto"/>
          </w:tcPr>
          <w:p w14:paraId="6C1A5CC3"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98,90</w:t>
            </w:r>
          </w:p>
        </w:tc>
      </w:tr>
      <w:tr w:rsidR="00E47AA9" w:rsidRPr="00E47AA9" w14:paraId="4753A823" w14:textId="77777777" w:rsidTr="00845A54">
        <w:trPr>
          <w:trHeight w:val="20"/>
        </w:trPr>
        <w:tc>
          <w:tcPr>
            <w:tcW w:w="3518" w:type="dxa"/>
            <w:tcBorders>
              <w:top w:val="single" w:sz="4" w:space="0" w:color="auto"/>
              <w:left w:val="single" w:sz="4" w:space="0" w:color="auto"/>
              <w:bottom w:val="single" w:sz="4" w:space="0" w:color="auto"/>
              <w:right w:val="single" w:sz="4" w:space="0" w:color="auto"/>
            </w:tcBorders>
            <w:shd w:val="clear" w:color="000000" w:fill="FFFFFF"/>
            <w:vAlign w:val="bottom"/>
          </w:tcPr>
          <w:p w14:paraId="351DEF56" w14:textId="77777777" w:rsidR="000711E6" w:rsidRPr="00E47AA9" w:rsidRDefault="000711E6" w:rsidP="00845A54">
            <w:pPr>
              <w:spacing w:after="0" w:line="240" w:lineRule="auto"/>
              <w:rPr>
                <w:rFonts w:ascii="Times New Roman" w:hAnsi="Times New Roman" w:cs="Times New Roman"/>
                <w:i/>
                <w:iCs/>
              </w:rPr>
            </w:pPr>
            <w:r w:rsidRPr="00E47AA9">
              <w:rPr>
                <w:rFonts w:ascii="Times New Roman" w:hAnsi="Times New Roman" w:cs="Times New Roman"/>
                <w:i/>
                <w:iCs/>
              </w:rPr>
              <w:t>РП, входящие в состав НП</w:t>
            </w:r>
          </w:p>
        </w:tc>
        <w:tc>
          <w:tcPr>
            <w:tcW w:w="1769" w:type="dxa"/>
            <w:tcBorders>
              <w:top w:val="single" w:sz="4" w:space="0" w:color="auto"/>
              <w:left w:val="nil"/>
              <w:bottom w:val="single" w:sz="4" w:space="0" w:color="auto"/>
              <w:right w:val="single" w:sz="4" w:space="0" w:color="auto"/>
            </w:tcBorders>
            <w:shd w:val="clear" w:color="auto" w:fill="auto"/>
          </w:tcPr>
          <w:p w14:paraId="58739433" w14:textId="77777777" w:rsidR="000711E6" w:rsidRPr="00E47AA9" w:rsidRDefault="000711E6"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99,58</w:t>
            </w:r>
          </w:p>
        </w:tc>
        <w:tc>
          <w:tcPr>
            <w:tcW w:w="1308" w:type="dxa"/>
            <w:tcBorders>
              <w:top w:val="single" w:sz="4" w:space="0" w:color="auto"/>
              <w:left w:val="single" w:sz="4" w:space="0" w:color="auto"/>
              <w:bottom w:val="single" w:sz="4" w:space="0" w:color="auto"/>
              <w:right w:val="single" w:sz="4" w:space="0" w:color="auto"/>
            </w:tcBorders>
            <w:shd w:val="clear" w:color="auto" w:fill="auto"/>
          </w:tcPr>
          <w:p w14:paraId="65096030" w14:textId="77777777" w:rsidR="000711E6" w:rsidRPr="00E47AA9" w:rsidRDefault="000711E6"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99,58</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33BBEE5A" w14:textId="77777777" w:rsidR="000711E6" w:rsidRPr="00E47AA9" w:rsidRDefault="000711E6"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0,00</w:t>
            </w:r>
          </w:p>
        </w:tc>
        <w:tc>
          <w:tcPr>
            <w:tcW w:w="1543" w:type="dxa"/>
            <w:tcBorders>
              <w:top w:val="single" w:sz="4" w:space="0" w:color="auto"/>
              <w:left w:val="single" w:sz="4" w:space="0" w:color="auto"/>
              <w:bottom w:val="single" w:sz="4" w:space="0" w:color="auto"/>
              <w:right w:val="single" w:sz="4" w:space="0" w:color="auto"/>
            </w:tcBorders>
            <w:shd w:val="clear" w:color="auto" w:fill="auto"/>
          </w:tcPr>
          <w:p w14:paraId="4BB3AF29" w14:textId="77777777" w:rsidR="000711E6" w:rsidRPr="00E47AA9" w:rsidRDefault="000711E6"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100,00</w:t>
            </w:r>
          </w:p>
        </w:tc>
      </w:tr>
      <w:tr w:rsidR="00E47AA9" w:rsidRPr="00E47AA9" w14:paraId="2315FDB5" w14:textId="77777777" w:rsidTr="00845A54">
        <w:trPr>
          <w:trHeight w:val="20"/>
        </w:trPr>
        <w:tc>
          <w:tcPr>
            <w:tcW w:w="3518" w:type="dxa"/>
            <w:tcBorders>
              <w:top w:val="single" w:sz="4" w:space="0" w:color="auto"/>
              <w:left w:val="single" w:sz="4" w:space="0" w:color="auto"/>
              <w:bottom w:val="single" w:sz="4" w:space="0" w:color="auto"/>
              <w:right w:val="single" w:sz="4" w:space="0" w:color="auto"/>
            </w:tcBorders>
            <w:shd w:val="clear" w:color="000000" w:fill="FFFFFF"/>
            <w:vAlign w:val="bottom"/>
          </w:tcPr>
          <w:p w14:paraId="6F66244C" w14:textId="77777777" w:rsidR="000711E6" w:rsidRPr="00E47AA9" w:rsidRDefault="000711E6" w:rsidP="00845A54">
            <w:pPr>
              <w:spacing w:after="0" w:line="240" w:lineRule="auto"/>
              <w:rPr>
                <w:rFonts w:ascii="Times New Roman" w:hAnsi="Times New Roman" w:cs="Times New Roman"/>
              </w:rPr>
            </w:pPr>
            <w:r w:rsidRPr="00E47AA9">
              <w:rPr>
                <w:rFonts w:ascii="Times New Roman" w:hAnsi="Times New Roman" w:cs="Times New Roman"/>
              </w:rPr>
              <w:t xml:space="preserve">РП "Акселерация субъектов малого и среднего предпринимательства" </w:t>
            </w:r>
          </w:p>
          <w:p w14:paraId="3C8B72CB" w14:textId="77777777" w:rsidR="000711E6" w:rsidRPr="00E47AA9" w:rsidRDefault="000711E6" w:rsidP="00845A54">
            <w:pPr>
              <w:spacing w:after="0" w:line="240" w:lineRule="auto"/>
              <w:rPr>
                <w:rFonts w:ascii="Times New Roman" w:hAnsi="Times New Roman" w:cs="Times New Roman"/>
              </w:rPr>
            </w:pPr>
            <w:r w:rsidRPr="00E47AA9">
              <w:rPr>
                <w:rFonts w:ascii="Times New Roman" w:hAnsi="Times New Roman" w:cs="Times New Roman"/>
              </w:rPr>
              <w:t>(в составе НП "Малое и среднее предпринимательство и поддержка индивидуальной предпринимательской инициативы")</w:t>
            </w:r>
          </w:p>
        </w:tc>
        <w:tc>
          <w:tcPr>
            <w:tcW w:w="1769" w:type="dxa"/>
            <w:tcBorders>
              <w:top w:val="single" w:sz="4" w:space="0" w:color="auto"/>
              <w:left w:val="single" w:sz="4" w:space="0" w:color="auto"/>
              <w:bottom w:val="single" w:sz="4" w:space="0" w:color="auto"/>
              <w:right w:val="single" w:sz="4" w:space="0" w:color="auto"/>
            </w:tcBorders>
            <w:shd w:val="clear" w:color="auto" w:fill="auto"/>
          </w:tcPr>
          <w:p w14:paraId="4CBFA0E6"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99,58</w:t>
            </w:r>
          </w:p>
        </w:tc>
        <w:tc>
          <w:tcPr>
            <w:tcW w:w="1308" w:type="dxa"/>
            <w:tcBorders>
              <w:top w:val="single" w:sz="4" w:space="0" w:color="auto"/>
              <w:left w:val="nil"/>
              <w:bottom w:val="single" w:sz="4" w:space="0" w:color="auto"/>
              <w:right w:val="single" w:sz="4" w:space="0" w:color="auto"/>
            </w:tcBorders>
            <w:shd w:val="clear" w:color="auto" w:fill="auto"/>
          </w:tcPr>
          <w:p w14:paraId="6E8C7882"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99,58</w:t>
            </w:r>
          </w:p>
        </w:tc>
        <w:tc>
          <w:tcPr>
            <w:tcW w:w="1296" w:type="dxa"/>
            <w:tcBorders>
              <w:top w:val="single" w:sz="4" w:space="0" w:color="auto"/>
              <w:left w:val="nil"/>
              <w:bottom w:val="single" w:sz="4" w:space="0" w:color="auto"/>
              <w:right w:val="single" w:sz="4" w:space="0" w:color="auto"/>
            </w:tcBorders>
            <w:shd w:val="clear" w:color="auto" w:fill="auto"/>
          </w:tcPr>
          <w:p w14:paraId="1DF81514"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0,00</w:t>
            </w:r>
          </w:p>
        </w:tc>
        <w:tc>
          <w:tcPr>
            <w:tcW w:w="1543" w:type="dxa"/>
            <w:tcBorders>
              <w:top w:val="single" w:sz="4" w:space="0" w:color="auto"/>
              <w:left w:val="nil"/>
              <w:bottom w:val="single" w:sz="4" w:space="0" w:color="auto"/>
              <w:right w:val="single" w:sz="4" w:space="0" w:color="auto"/>
            </w:tcBorders>
            <w:shd w:val="clear" w:color="auto" w:fill="auto"/>
          </w:tcPr>
          <w:p w14:paraId="514D71DD"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100,00</w:t>
            </w:r>
          </w:p>
        </w:tc>
      </w:tr>
      <w:tr w:rsidR="00E47AA9" w:rsidRPr="00E47AA9" w14:paraId="7C03A2F7" w14:textId="77777777" w:rsidTr="00845A54">
        <w:trPr>
          <w:trHeight w:val="20"/>
        </w:trPr>
        <w:tc>
          <w:tcPr>
            <w:tcW w:w="3518" w:type="dxa"/>
            <w:tcBorders>
              <w:top w:val="single" w:sz="4" w:space="0" w:color="auto"/>
              <w:left w:val="single" w:sz="4" w:space="0" w:color="auto"/>
              <w:bottom w:val="single" w:sz="4" w:space="0" w:color="auto"/>
              <w:right w:val="single" w:sz="4" w:space="0" w:color="auto"/>
            </w:tcBorders>
            <w:shd w:val="clear" w:color="000000" w:fill="FFFFFF"/>
            <w:vAlign w:val="bottom"/>
          </w:tcPr>
          <w:p w14:paraId="1DB2DB1A" w14:textId="77777777" w:rsidR="000711E6" w:rsidRPr="00E47AA9" w:rsidRDefault="000711E6" w:rsidP="00845A54">
            <w:pPr>
              <w:spacing w:after="0" w:line="240" w:lineRule="auto"/>
              <w:rPr>
                <w:rFonts w:ascii="Times New Roman" w:hAnsi="Times New Roman" w:cs="Times New Roman"/>
                <w:i/>
                <w:iCs/>
              </w:rPr>
            </w:pPr>
            <w:r w:rsidRPr="00E47AA9">
              <w:rPr>
                <w:rFonts w:ascii="Times New Roman" w:hAnsi="Times New Roman" w:cs="Times New Roman"/>
                <w:i/>
                <w:iCs/>
              </w:rPr>
              <w:t>РП, не входящий в состав НП</w:t>
            </w:r>
          </w:p>
        </w:tc>
        <w:tc>
          <w:tcPr>
            <w:tcW w:w="1769" w:type="dxa"/>
            <w:tcBorders>
              <w:top w:val="single" w:sz="4" w:space="0" w:color="auto"/>
              <w:left w:val="single" w:sz="4" w:space="0" w:color="auto"/>
              <w:bottom w:val="single" w:sz="4" w:space="0" w:color="auto"/>
              <w:right w:val="single" w:sz="4" w:space="0" w:color="auto"/>
            </w:tcBorders>
            <w:shd w:val="clear" w:color="auto" w:fill="auto"/>
          </w:tcPr>
          <w:p w14:paraId="718C3FD2" w14:textId="77777777" w:rsidR="000711E6" w:rsidRPr="00E47AA9" w:rsidRDefault="000711E6"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1 061,20</w:t>
            </w:r>
          </w:p>
        </w:tc>
        <w:tc>
          <w:tcPr>
            <w:tcW w:w="1308" w:type="dxa"/>
            <w:tcBorders>
              <w:top w:val="single" w:sz="4" w:space="0" w:color="auto"/>
              <w:left w:val="nil"/>
              <w:bottom w:val="single" w:sz="4" w:space="0" w:color="auto"/>
              <w:right w:val="single" w:sz="4" w:space="0" w:color="auto"/>
            </w:tcBorders>
            <w:shd w:val="clear" w:color="auto" w:fill="auto"/>
          </w:tcPr>
          <w:p w14:paraId="2C795127" w14:textId="77777777" w:rsidR="000711E6" w:rsidRPr="00E47AA9" w:rsidRDefault="000711E6"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1 048,41</w:t>
            </w:r>
          </w:p>
        </w:tc>
        <w:tc>
          <w:tcPr>
            <w:tcW w:w="1296" w:type="dxa"/>
            <w:tcBorders>
              <w:top w:val="single" w:sz="4" w:space="0" w:color="auto"/>
              <w:left w:val="nil"/>
              <w:bottom w:val="single" w:sz="4" w:space="0" w:color="auto"/>
              <w:right w:val="single" w:sz="4" w:space="0" w:color="auto"/>
            </w:tcBorders>
            <w:shd w:val="clear" w:color="auto" w:fill="auto"/>
          </w:tcPr>
          <w:p w14:paraId="452B145E" w14:textId="77777777" w:rsidR="000711E6" w:rsidRPr="00E47AA9" w:rsidRDefault="000711E6"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12,79</w:t>
            </w:r>
          </w:p>
        </w:tc>
        <w:tc>
          <w:tcPr>
            <w:tcW w:w="1543" w:type="dxa"/>
            <w:tcBorders>
              <w:top w:val="single" w:sz="4" w:space="0" w:color="auto"/>
              <w:left w:val="nil"/>
              <w:bottom w:val="single" w:sz="4" w:space="0" w:color="auto"/>
              <w:right w:val="single" w:sz="4" w:space="0" w:color="auto"/>
            </w:tcBorders>
            <w:shd w:val="clear" w:color="auto" w:fill="auto"/>
          </w:tcPr>
          <w:p w14:paraId="20B933C4" w14:textId="77777777" w:rsidR="000711E6" w:rsidRPr="00E47AA9" w:rsidRDefault="000711E6" w:rsidP="00845A54">
            <w:pPr>
              <w:spacing w:after="0" w:line="240" w:lineRule="auto"/>
              <w:jc w:val="right"/>
              <w:rPr>
                <w:rFonts w:ascii="Times New Roman" w:hAnsi="Times New Roman" w:cs="Times New Roman"/>
                <w:i/>
                <w:iCs/>
              </w:rPr>
            </w:pPr>
            <w:r w:rsidRPr="00E47AA9">
              <w:rPr>
                <w:rFonts w:ascii="Times New Roman" w:hAnsi="Times New Roman" w:cs="Times New Roman"/>
                <w:i/>
                <w:iCs/>
              </w:rPr>
              <w:t>98,79</w:t>
            </w:r>
          </w:p>
        </w:tc>
      </w:tr>
      <w:tr w:rsidR="00E47AA9" w:rsidRPr="00E47AA9" w14:paraId="5FC20BFF" w14:textId="77777777" w:rsidTr="00845A54">
        <w:trPr>
          <w:trHeight w:val="20"/>
        </w:trPr>
        <w:tc>
          <w:tcPr>
            <w:tcW w:w="3518" w:type="dxa"/>
            <w:tcBorders>
              <w:top w:val="nil"/>
              <w:left w:val="single" w:sz="4" w:space="0" w:color="auto"/>
              <w:bottom w:val="single" w:sz="4" w:space="0" w:color="auto"/>
              <w:right w:val="single" w:sz="4" w:space="0" w:color="auto"/>
            </w:tcBorders>
            <w:shd w:val="clear" w:color="000000" w:fill="FFFFFF"/>
            <w:vAlign w:val="bottom"/>
          </w:tcPr>
          <w:p w14:paraId="328FE9D9" w14:textId="77777777" w:rsidR="000711E6" w:rsidRPr="00E47AA9" w:rsidRDefault="000711E6" w:rsidP="00845A54">
            <w:pPr>
              <w:spacing w:after="0" w:line="240" w:lineRule="auto"/>
              <w:rPr>
                <w:rFonts w:ascii="Times New Roman" w:hAnsi="Times New Roman" w:cs="Times New Roman"/>
              </w:rPr>
            </w:pPr>
            <w:r w:rsidRPr="00E47AA9">
              <w:rPr>
                <w:rFonts w:ascii="Times New Roman" w:hAnsi="Times New Roman" w:cs="Times New Roman"/>
              </w:rPr>
              <w:t>РП "Комплексное развитие сельских территорий "</w:t>
            </w:r>
          </w:p>
        </w:tc>
        <w:tc>
          <w:tcPr>
            <w:tcW w:w="1769" w:type="dxa"/>
            <w:tcBorders>
              <w:top w:val="single" w:sz="4" w:space="0" w:color="auto"/>
              <w:left w:val="single" w:sz="4" w:space="0" w:color="auto"/>
              <w:bottom w:val="single" w:sz="4" w:space="0" w:color="auto"/>
              <w:right w:val="single" w:sz="4" w:space="0" w:color="auto"/>
            </w:tcBorders>
            <w:shd w:val="clear" w:color="auto" w:fill="auto"/>
          </w:tcPr>
          <w:p w14:paraId="560AF715"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387,33</w:t>
            </w:r>
          </w:p>
        </w:tc>
        <w:tc>
          <w:tcPr>
            <w:tcW w:w="1308" w:type="dxa"/>
            <w:tcBorders>
              <w:top w:val="single" w:sz="4" w:space="0" w:color="auto"/>
              <w:left w:val="nil"/>
              <w:bottom w:val="single" w:sz="4" w:space="0" w:color="auto"/>
              <w:right w:val="single" w:sz="4" w:space="0" w:color="auto"/>
            </w:tcBorders>
            <w:shd w:val="clear" w:color="auto" w:fill="auto"/>
          </w:tcPr>
          <w:p w14:paraId="7DB5C4E1"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385,86</w:t>
            </w:r>
          </w:p>
        </w:tc>
        <w:tc>
          <w:tcPr>
            <w:tcW w:w="1296" w:type="dxa"/>
            <w:tcBorders>
              <w:top w:val="single" w:sz="4" w:space="0" w:color="auto"/>
              <w:left w:val="nil"/>
              <w:bottom w:val="single" w:sz="4" w:space="0" w:color="auto"/>
              <w:right w:val="single" w:sz="4" w:space="0" w:color="auto"/>
            </w:tcBorders>
            <w:shd w:val="clear" w:color="auto" w:fill="auto"/>
          </w:tcPr>
          <w:p w14:paraId="414EED4A" w14:textId="49F96C72" w:rsidR="000711E6" w:rsidRPr="00E47AA9" w:rsidRDefault="00651A0B" w:rsidP="00845A54">
            <w:pPr>
              <w:spacing w:after="0" w:line="240" w:lineRule="auto"/>
              <w:jc w:val="right"/>
              <w:rPr>
                <w:rFonts w:ascii="Times New Roman" w:hAnsi="Times New Roman" w:cs="Times New Roman"/>
              </w:rPr>
            </w:pPr>
            <w:r w:rsidRPr="00E47AA9">
              <w:rPr>
                <w:rFonts w:ascii="Times New Roman" w:hAnsi="Times New Roman" w:cs="Times New Roman"/>
              </w:rPr>
              <w:t>1,47</w:t>
            </w:r>
          </w:p>
        </w:tc>
        <w:tc>
          <w:tcPr>
            <w:tcW w:w="1543" w:type="dxa"/>
            <w:tcBorders>
              <w:top w:val="single" w:sz="4" w:space="0" w:color="auto"/>
              <w:left w:val="nil"/>
              <w:bottom w:val="single" w:sz="4" w:space="0" w:color="auto"/>
              <w:right w:val="single" w:sz="4" w:space="0" w:color="auto"/>
            </w:tcBorders>
            <w:shd w:val="clear" w:color="auto" w:fill="auto"/>
          </w:tcPr>
          <w:p w14:paraId="0BF20BF9"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99,62</w:t>
            </w:r>
          </w:p>
        </w:tc>
      </w:tr>
      <w:tr w:rsidR="00E47AA9" w:rsidRPr="00E47AA9" w14:paraId="4F215446" w14:textId="77777777" w:rsidTr="00845A54">
        <w:trPr>
          <w:trHeight w:val="20"/>
        </w:trPr>
        <w:tc>
          <w:tcPr>
            <w:tcW w:w="3518" w:type="dxa"/>
            <w:tcBorders>
              <w:top w:val="nil"/>
              <w:left w:val="single" w:sz="4" w:space="0" w:color="auto"/>
              <w:bottom w:val="single" w:sz="4" w:space="0" w:color="auto"/>
              <w:right w:val="single" w:sz="4" w:space="0" w:color="auto"/>
            </w:tcBorders>
            <w:shd w:val="clear" w:color="000000" w:fill="FFFFFF"/>
            <w:vAlign w:val="bottom"/>
          </w:tcPr>
          <w:p w14:paraId="32532CD9" w14:textId="77777777" w:rsidR="000711E6" w:rsidRPr="00E47AA9" w:rsidRDefault="000711E6" w:rsidP="00845A54">
            <w:pPr>
              <w:spacing w:after="0" w:line="240" w:lineRule="auto"/>
              <w:rPr>
                <w:rFonts w:ascii="Times New Roman" w:hAnsi="Times New Roman" w:cs="Times New Roman"/>
              </w:rPr>
            </w:pPr>
            <w:r w:rsidRPr="00E47AA9">
              <w:rPr>
                <w:rFonts w:ascii="Times New Roman" w:hAnsi="Times New Roman" w:cs="Times New Roman"/>
              </w:rPr>
              <w:t>РП "Развитие отраслей агропромышленного комплекса и стимулирование инвестиционной деятельности"</w:t>
            </w:r>
          </w:p>
        </w:tc>
        <w:tc>
          <w:tcPr>
            <w:tcW w:w="1769" w:type="dxa"/>
            <w:tcBorders>
              <w:top w:val="single" w:sz="4" w:space="0" w:color="auto"/>
              <w:left w:val="single" w:sz="4" w:space="0" w:color="auto"/>
              <w:bottom w:val="single" w:sz="4" w:space="0" w:color="auto"/>
              <w:right w:val="single" w:sz="4" w:space="0" w:color="auto"/>
            </w:tcBorders>
            <w:shd w:val="clear" w:color="auto" w:fill="auto"/>
          </w:tcPr>
          <w:p w14:paraId="3BEC5A4C"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589,88</w:t>
            </w:r>
          </w:p>
        </w:tc>
        <w:tc>
          <w:tcPr>
            <w:tcW w:w="1308" w:type="dxa"/>
            <w:tcBorders>
              <w:top w:val="single" w:sz="4" w:space="0" w:color="auto"/>
              <w:left w:val="nil"/>
              <w:bottom w:val="single" w:sz="4" w:space="0" w:color="auto"/>
              <w:right w:val="single" w:sz="4" w:space="0" w:color="auto"/>
            </w:tcBorders>
            <w:shd w:val="clear" w:color="auto" w:fill="auto"/>
          </w:tcPr>
          <w:p w14:paraId="7550EACD"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584,82</w:t>
            </w:r>
          </w:p>
        </w:tc>
        <w:tc>
          <w:tcPr>
            <w:tcW w:w="1296" w:type="dxa"/>
            <w:tcBorders>
              <w:top w:val="single" w:sz="4" w:space="0" w:color="auto"/>
              <w:left w:val="nil"/>
              <w:bottom w:val="single" w:sz="4" w:space="0" w:color="auto"/>
              <w:right w:val="single" w:sz="4" w:space="0" w:color="auto"/>
            </w:tcBorders>
            <w:shd w:val="clear" w:color="auto" w:fill="auto"/>
          </w:tcPr>
          <w:p w14:paraId="3C4CA878"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5,06</w:t>
            </w:r>
          </w:p>
        </w:tc>
        <w:tc>
          <w:tcPr>
            <w:tcW w:w="1543" w:type="dxa"/>
            <w:tcBorders>
              <w:top w:val="single" w:sz="4" w:space="0" w:color="auto"/>
              <w:left w:val="nil"/>
              <w:bottom w:val="single" w:sz="4" w:space="0" w:color="auto"/>
              <w:right w:val="single" w:sz="4" w:space="0" w:color="auto"/>
            </w:tcBorders>
            <w:shd w:val="clear" w:color="auto" w:fill="auto"/>
          </w:tcPr>
          <w:p w14:paraId="63E7CFF2"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99,14</w:t>
            </w:r>
          </w:p>
        </w:tc>
      </w:tr>
      <w:tr w:rsidR="00E47AA9" w:rsidRPr="00E47AA9" w14:paraId="50C5025A" w14:textId="77777777" w:rsidTr="00845A54">
        <w:trPr>
          <w:trHeight w:val="20"/>
        </w:trPr>
        <w:tc>
          <w:tcPr>
            <w:tcW w:w="3518" w:type="dxa"/>
            <w:tcBorders>
              <w:top w:val="nil"/>
              <w:left w:val="single" w:sz="4" w:space="0" w:color="auto"/>
              <w:bottom w:val="single" w:sz="4" w:space="0" w:color="auto"/>
              <w:right w:val="single" w:sz="4" w:space="0" w:color="auto"/>
            </w:tcBorders>
            <w:shd w:val="clear" w:color="000000" w:fill="FFFFFF"/>
            <w:vAlign w:val="bottom"/>
          </w:tcPr>
          <w:p w14:paraId="4CAAE7B5" w14:textId="77777777" w:rsidR="000711E6" w:rsidRPr="00E47AA9" w:rsidRDefault="000711E6" w:rsidP="00845A54">
            <w:pPr>
              <w:spacing w:after="0" w:line="240" w:lineRule="auto"/>
              <w:rPr>
                <w:rFonts w:ascii="Times New Roman" w:hAnsi="Times New Roman" w:cs="Times New Roman"/>
              </w:rPr>
            </w:pPr>
            <w:r w:rsidRPr="00E47AA9">
              <w:rPr>
                <w:rFonts w:ascii="Times New Roman" w:hAnsi="Times New Roman" w:cs="Times New Roman"/>
              </w:rPr>
              <w:t>РП "Вовлечение в оборот и комплексная мелиорация земель сельскохозяйственного назначения Приморского края"</w:t>
            </w:r>
          </w:p>
        </w:tc>
        <w:tc>
          <w:tcPr>
            <w:tcW w:w="1769" w:type="dxa"/>
            <w:tcBorders>
              <w:top w:val="single" w:sz="4" w:space="0" w:color="auto"/>
              <w:left w:val="single" w:sz="4" w:space="0" w:color="auto"/>
              <w:bottom w:val="single" w:sz="4" w:space="0" w:color="auto"/>
              <w:right w:val="single" w:sz="4" w:space="0" w:color="auto"/>
            </w:tcBorders>
            <w:shd w:val="clear" w:color="auto" w:fill="auto"/>
          </w:tcPr>
          <w:p w14:paraId="5387E245"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83,99</w:t>
            </w:r>
          </w:p>
        </w:tc>
        <w:tc>
          <w:tcPr>
            <w:tcW w:w="1308" w:type="dxa"/>
            <w:tcBorders>
              <w:top w:val="single" w:sz="4" w:space="0" w:color="auto"/>
              <w:left w:val="nil"/>
              <w:bottom w:val="single" w:sz="4" w:space="0" w:color="auto"/>
              <w:right w:val="single" w:sz="4" w:space="0" w:color="auto"/>
            </w:tcBorders>
            <w:shd w:val="clear" w:color="auto" w:fill="auto"/>
          </w:tcPr>
          <w:p w14:paraId="1F0050E7"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77,73</w:t>
            </w:r>
          </w:p>
        </w:tc>
        <w:tc>
          <w:tcPr>
            <w:tcW w:w="1296" w:type="dxa"/>
            <w:tcBorders>
              <w:top w:val="single" w:sz="4" w:space="0" w:color="auto"/>
              <w:left w:val="nil"/>
              <w:bottom w:val="single" w:sz="4" w:space="0" w:color="auto"/>
              <w:right w:val="single" w:sz="4" w:space="0" w:color="auto"/>
            </w:tcBorders>
            <w:shd w:val="clear" w:color="auto" w:fill="auto"/>
          </w:tcPr>
          <w:p w14:paraId="6A2C6D9B"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6,26</w:t>
            </w:r>
          </w:p>
        </w:tc>
        <w:tc>
          <w:tcPr>
            <w:tcW w:w="1543" w:type="dxa"/>
            <w:tcBorders>
              <w:top w:val="single" w:sz="4" w:space="0" w:color="auto"/>
              <w:left w:val="nil"/>
              <w:bottom w:val="single" w:sz="4" w:space="0" w:color="auto"/>
              <w:right w:val="single" w:sz="4" w:space="0" w:color="auto"/>
            </w:tcBorders>
            <w:shd w:val="clear" w:color="auto" w:fill="auto"/>
          </w:tcPr>
          <w:p w14:paraId="4575BC48" w14:textId="77777777" w:rsidR="000711E6" w:rsidRPr="00E47AA9" w:rsidRDefault="000711E6" w:rsidP="00845A54">
            <w:pPr>
              <w:spacing w:after="0" w:line="240" w:lineRule="auto"/>
              <w:jc w:val="right"/>
              <w:rPr>
                <w:rFonts w:ascii="Times New Roman" w:hAnsi="Times New Roman" w:cs="Times New Roman"/>
              </w:rPr>
            </w:pPr>
            <w:r w:rsidRPr="00E47AA9">
              <w:rPr>
                <w:rFonts w:ascii="Times New Roman" w:hAnsi="Times New Roman" w:cs="Times New Roman"/>
              </w:rPr>
              <w:t>92,55</w:t>
            </w:r>
          </w:p>
        </w:tc>
      </w:tr>
      <w:tr w:rsidR="00E47AA9" w:rsidRPr="00E47AA9" w14:paraId="40648DFD" w14:textId="77777777" w:rsidTr="00845A54">
        <w:trPr>
          <w:trHeight w:val="20"/>
        </w:trPr>
        <w:tc>
          <w:tcPr>
            <w:tcW w:w="3518" w:type="dxa"/>
            <w:tcBorders>
              <w:top w:val="single" w:sz="4" w:space="0" w:color="auto"/>
              <w:left w:val="single" w:sz="4" w:space="0" w:color="auto"/>
              <w:bottom w:val="single" w:sz="4" w:space="0" w:color="auto"/>
              <w:right w:val="single" w:sz="4" w:space="0" w:color="auto"/>
            </w:tcBorders>
            <w:shd w:val="clear" w:color="000000" w:fill="FFFFFF"/>
            <w:vAlign w:val="bottom"/>
          </w:tcPr>
          <w:p w14:paraId="30F81BA0" w14:textId="77777777" w:rsidR="000711E6" w:rsidRPr="00E47AA9" w:rsidRDefault="000711E6" w:rsidP="00845A54">
            <w:pPr>
              <w:spacing w:after="0" w:line="240" w:lineRule="auto"/>
              <w:rPr>
                <w:rFonts w:ascii="Times New Roman" w:hAnsi="Times New Roman" w:cs="Times New Roman"/>
                <w:b/>
                <w:bCs/>
              </w:rPr>
            </w:pPr>
            <w:r w:rsidRPr="00E47AA9">
              <w:rPr>
                <w:rFonts w:ascii="Times New Roman" w:hAnsi="Times New Roman" w:cs="Times New Roman"/>
                <w:b/>
                <w:bCs/>
              </w:rPr>
              <w:t>комплексы процессных мероприятий</w:t>
            </w:r>
          </w:p>
        </w:tc>
        <w:tc>
          <w:tcPr>
            <w:tcW w:w="1769" w:type="dxa"/>
            <w:tcBorders>
              <w:top w:val="single" w:sz="4" w:space="0" w:color="auto"/>
              <w:left w:val="nil"/>
              <w:bottom w:val="single" w:sz="4" w:space="0" w:color="auto"/>
              <w:right w:val="single" w:sz="4" w:space="0" w:color="auto"/>
            </w:tcBorders>
            <w:shd w:val="clear" w:color="auto" w:fill="auto"/>
          </w:tcPr>
          <w:p w14:paraId="3948964D" w14:textId="77777777" w:rsidR="000711E6" w:rsidRPr="00E47AA9" w:rsidRDefault="000711E6" w:rsidP="00845A54">
            <w:pPr>
              <w:spacing w:after="0" w:line="240" w:lineRule="auto"/>
              <w:jc w:val="right"/>
              <w:rPr>
                <w:rFonts w:ascii="Times New Roman" w:hAnsi="Times New Roman" w:cs="Times New Roman"/>
                <w:b/>
              </w:rPr>
            </w:pPr>
            <w:r w:rsidRPr="00E47AA9">
              <w:rPr>
                <w:rFonts w:ascii="Times New Roman" w:hAnsi="Times New Roman" w:cs="Times New Roman"/>
                <w:b/>
              </w:rPr>
              <w:t>4 467,80</w:t>
            </w:r>
          </w:p>
        </w:tc>
        <w:tc>
          <w:tcPr>
            <w:tcW w:w="1308" w:type="dxa"/>
            <w:tcBorders>
              <w:top w:val="single" w:sz="4" w:space="0" w:color="auto"/>
              <w:left w:val="single" w:sz="4" w:space="0" w:color="auto"/>
              <w:bottom w:val="single" w:sz="4" w:space="0" w:color="auto"/>
              <w:right w:val="single" w:sz="4" w:space="0" w:color="auto"/>
            </w:tcBorders>
            <w:shd w:val="clear" w:color="auto" w:fill="auto"/>
          </w:tcPr>
          <w:p w14:paraId="30BAE542" w14:textId="77777777" w:rsidR="000711E6" w:rsidRPr="00E47AA9" w:rsidRDefault="000711E6" w:rsidP="00845A54">
            <w:pPr>
              <w:spacing w:after="0" w:line="240" w:lineRule="auto"/>
              <w:jc w:val="right"/>
              <w:rPr>
                <w:rFonts w:ascii="Times New Roman" w:hAnsi="Times New Roman" w:cs="Times New Roman"/>
                <w:b/>
              </w:rPr>
            </w:pPr>
            <w:r w:rsidRPr="00E47AA9">
              <w:rPr>
                <w:rFonts w:ascii="Times New Roman" w:hAnsi="Times New Roman" w:cs="Times New Roman"/>
                <w:b/>
              </w:rPr>
              <w:t>4 444,28</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CF9F44A" w14:textId="77777777" w:rsidR="000711E6" w:rsidRPr="00E47AA9" w:rsidRDefault="000711E6" w:rsidP="00845A54">
            <w:pPr>
              <w:spacing w:after="0" w:line="240" w:lineRule="auto"/>
              <w:jc w:val="right"/>
              <w:rPr>
                <w:rFonts w:ascii="Times New Roman" w:hAnsi="Times New Roman" w:cs="Times New Roman"/>
                <w:b/>
              </w:rPr>
            </w:pPr>
            <w:r w:rsidRPr="00E47AA9">
              <w:rPr>
                <w:rFonts w:ascii="Times New Roman" w:hAnsi="Times New Roman" w:cs="Times New Roman"/>
                <w:b/>
              </w:rPr>
              <w:t>23,52</w:t>
            </w:r>
          </w:p>
        </w:tc>
        <w:tc>
          <w:tcPr>
            <w:tcW w:w="1543" w:type="dxa"/>
            <w:tcBorders>
              <w:top w:val="single" w:sz="4" w:space="0" w:color="auto"/>
              <w:left w:val="single" w:sz="4" w:space="0" w:color="auto"/>
              <w:bottom w:val="single" w:sz="4" w:space="0" w:color="auto"/>
              <w:right w:val="single" w:sz="4" w:space="0" w:color="auto"/>
            </w:tcBorders>
            <w:shd w:val="clear" w:color="auto" w:fill="auto"/>
          </w:tcPr>
          <w:p w14:paraId="6C1D7028" w14:textId="77777777" w:rsidR="000711E6" w:rsidRPr="00E47AA9" w:rsidRDefault="000711E6" w:rsidP="00845A54">
            <w:pPr>
              <w:spacing w:after="0" w:line="240" w:lineRule="auto"/>
              <w:jc w:val="right"/>
              <w:rPr>
                <w:rFonts w:ascii="Times New Roman" w:hAnsi="Times New Roman" w:cs="Times New Roman"/>
                <w:b/>
              </w:rPr>
            </w:pPr>
            <w:r w:rsidRPr="00E47AA9">
              <w:rPr>
                <w:rFonts w:ascii="Times New Roman" w:hAnsi="Times New Roman" w:cs="Times New Roman"/>
                <w:b/>
              </w:rPr>
              <w:t>99,47</w:t>
            </w:r>
          </w:p>
        </w:tc>
      </w:tr>
    </w:tbl>
    <w:p w14:paraId="6CA80CA2"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p>
    <w:p w14:paraId="42C487B5" w14:textId="70822BFB" w:rsidR="00F6074A" w:rsidRPr="00E47AA9" w:rsidRDefault="009C59FC"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В соответствии со</w:t>
      </w:r>
      <w:r w:rsidR="00F6074A" w:rsidRPr="00E47AA9">
        <w:rPr>
          <w:rFonts w:ascii="Times New Roman" w:eastAsia="Times New Roman" w:hAnsi="Times New Roman" w:cs="Times New Roman"/>
          <w:sz w:val="28"/>
          <w:szCs w:val="28"/>
        </w:rPr>
        <w:t xml:space="preserve"> Сводн</w:t>
      </w:r>
      <w:r w:rsidRPr="00E47AA9">
        <w:rPr>
          <w:rFonts w:ascii="Times New Roman" w:eastAsia="Times New Roman" w:hAnsi="Times New Roman" w:cs="Times New Roman"/>
          <w:sz w:val="28"/>
          <w:szCs w:val="28"/>
        </w:rPr>
        <w:t>ым</w:t>
      </w:r>
      <w:r w:rsidR="00F6074A" w:rsidRPr="00E47AA9">
        <w:rPr>
          <w:rFonts w:ascii="Times New Roman" w:eastAsia="Times New Roman" w:hAnsi="Times New Roman" w:cs="Times New Roman"/>
          <w:sz w:val="28"/>
          <w:szCs w:val="28"/>
        </w:rPr>
        <w:t xml:space="preserve"> годов</w:t>
      </w:r>
      <w:r w:rsidRPr="00E47AA9">
        <w:rPr>
          <w:rFonts w:ascii="Times New Roman" w:eastAsia="Times New Roman" w:hAnsi="Times New Roman" w:cs="Times New Roman"/>
          <w:sz w:val="28"/>
          <w:szCs w:val="28"/>
        </w:rPr>
        <w:t>ым</w:t>
      </w:r>
      <w:r w:rsidR="00F6074A" w:rsidRPr="00E47AA9">
        <w:rPr>
          <w:rFonts w:ascii="Times New Roman" w:eastAsia="Times New Roman" w:hAnsi="Times New Roman" w:cs="Times New Roman"/>
          <w:sz w:val="28"/>
          <w:szCs w:val="28"/>
        </w:rPr>
        <w:t xml:space="preserve"> доклад</w:t>
      </w:r>
      <w:r w:rsidRPr="00E47AA9">
        <w:rPr>
          <w:rFonts w:ascii="Times New Roman" w:eastAsia="Times New Roman" w:hAnsi="Times New Roman" w:cs="Times New Roman"/>
          <w:sz w:val="28"/>
          <w:szCs w:val="28"/>
        </w:rPr>
        <w:t>ом</w:t>
      </w:r>
      <w:r w:rsidR="00F6074A" w:rsidRPr="00E47AA9">
        <w:rPr>
          <w:rFonts w:ascii="Times New Roman" w:eastAsia="Times New Roman" w:hAnsi="Times New Roman" w:cs="Times New Roman"/>
          <w:sz w:val="28"/>
          <w:szCs w:val="28"/>
        </w:rPr>
        <w:t>:</w:t>
      </w:r>
    </w:p>
    <w:p w14:paraId="0896F84F" w14:textId="4CDE3963" w:rsidR="00F6074A" w:rsidRPr="00E47AA9" w:rsidRDefault="00F6074A" w:rsidP="00F6074A">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из 59 мероприятий государственной программы, запланированных</w:t>
      </w:r>
      <w:r w:rsidR="00A948E4"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rPr>
        <w:t>в 2024 году, выполнены в полном объеме 36 мероприятий, 14 мероприятий выполнены не в полном объеме, 1 мероприятие не выполнено, 8 мероприятий исключены из плана реализации.</w:t>
      </w:r>
    </w:p>
    <w:p w14:paraId="22C0A21A" w14:textId="69AAC14A" w:rsidR="00F6074A" w:rsidRPr="00E47AA9" w:rsidRDefault="00F6074A"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из 53 показателей государственной программы 33 достигли планового значения, 20 показателей достигнуты не в полном объеме;</w:t>
      </w:r>
    </w:p>
    <w:p w14:paraId="38FF0D88" w14:textId="044C78E3" w:rsidR="00F6074A" w:rsidRPr="00E47AA9" w:rsidRDefault="00F6074A"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эффективность реализации государственной программы составила 91,4</w:t>
      </w:r>
      <w:r w:rsidR="009C59FC"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 (ниже среднего уровня).</w:t>
      </w:r>
    </w:p>
    <w:p w14:paraId="05F98802" w14:textId="77777777" w:rsidR="000711E6" w:rsidRPr="00E47AA9" w:rsidRDefault="000711E6" w:rsidP="000711E6">
      <w:pPr>
        <w:spacing w:after="0" w:line="240" w:lineRule="auto"/>
        <w:ind w:firstLine="709"/>
        <w:jc w:val="both"/>
        <w:rPr>
          <w:rFonts w:ascii="Times New Roman" w:eastAsia="Times New Roman" w:hAnsi="Times New Roman" w:cs="Times New Roman"/>
          <w:b/>
          <w:sz w:val="28"/>
          <w:szCs w:val="28"/>
        </w:rPr>
      </w:pPr>
      <w:r w:rsidRPr="00E47AA9">
        <w:rPr>
          <w:rFonts w:ascii="Times New Roman" w:eastAsia="Times New Roman" w:hAnsi="Times New Roman" w:cs="Times New Roman"/>
          <w:b/>
          <w:sz w:val="28"/>
          <w:szCs w:val="28"/>
        </w:rPr>
        <w:t>Подпрограмма "Техническая и технологическая модернизация агропромышленного комплекса"</w:t>
      </w:r>
    </w:p>
    <w:p w14:paraId="50E37098" w14:textId="0551EC17" w:rsidR="000711E6" w:rsidRPr="00E47AA9" w:rsidRDefault="000711E6" w:rsidP="000711E6">
      <w:pPr>
        <w:pStyle w:val="23"/>
        <w:spacing w:after="0" w:line="240" w:lineRule="auto"/>
        <w:ind w:firstLine="709"/>
        <w:jc w:val="both"/>
        <w:rPr>
          <w:sz w:val="28"/>
          <w:szCs w:val="28"/>
        </w:rPr>
      </w:pPr>
      <w:r w:rsidRPr="00E47AA9">
        <w:rPr>
          <w:sz w:val="28"/>
          <w:szCs w:val="28"/>
        </w:rPr>
        <w:t>По</w:t>
      </w:r>
      <w:r w:rsidRPr="00E47AA9">
        <w:rPr>
          <w:b/>
          <w:i/>
          <w:sz w:val="28"/>
          <w:szCs w:val="28"/>
        </w:rPr>
        <w:t xml:space="preserve"> </w:t>
      </w:r>
      <w:r w:rsidRPr="00E47AA9">
        <w:rPr>
          <w:i/>
          <w:sz w:val="28"/>
          <w:szCs w:val="28"/>
        </w:rPr>
        <w:t>КПМ "Стимулирование технического оснащения сельскохозяйственного производства"</w:t>
      </w:r>
      <w:r w:rsidRPr="00E47AA9">
        <w:rPr>
          <w:b/>
          <w:i/>
          <w:sz w:val="28"/>
          <w:szCs w:val="28"/>
        </w:rPr>
        <w:t xml:space="preserve"> </w:t>
      </w:r>
      <w:r w:rsidRPr="00E47AA9">
        <w:rPr>
          <w:sz w:val="28"/>
          <w:szCs w:val="28"/>
          <w:u w:val="single"/>
        </w:rPr>
        <w:t>министерством сельского хозяйства Приморского края</w:t>
      </w:r>
      <w:r w:rsidRPr="00E47AA9">
        <w:rPr>
          <w:sz w:val="28"/>
          <w:szCs w:val="28"/>
        </w:rPr>
        <w:t xml:space="preserve"> направлено 642,84 млн рублей (план</w:t>
      </w:r>
      <w:r w:rsidR="00E02DD2" w:rsidRPr="00E47AA9">
        <w:rPr>
          <w:sz w:val="28"/>
          <w:szCs w:val="28"/>
        </w:rPr>
        <w:t xml:space="preserve"> –</w:t>
      </w:r>
      <w:r w:rsidRPr="00E47AA9">
        <w:rPr>
          <w:sz w:val="28"/>
          <w:szCs w:val="28"/>
        </w:rPr>
        <w:t xml:space="preserve"> 643,67 млн рублей) на выплату субсидий.</w:t>
      </w:r>
    </w:p>
    <w:p w14:paraId="40635614" w14:textId="684BEC1E" w:rsidR="000711E6" w:rsidRPr="00E47AA9" w:rsidRDefault="000711E6" w:rsidP="000711E6">
      <w:pPr>
        <w:pStyle w:val="23"/>
        <w:spacing w:after="0" w:line="240" w:lineRule="auto"/>
        <w:ind w:firstLine="709"/>
        <w:jc w:val="both"/>
        <w:rPr>
          <w:rFonts w:eastAsiaTheme="minorHAnsi"/>
          <w:sz w:val="28"/>
          <w:szCs w:val="28"/>
          <w:lang w:eastAsia="en-US"/>
        </w:rPr>
      </w:pPr>
      <w:r w:rsidRPr="00E47AA9">
        <w:rPr>
          <w:sz w:val="28"/>
          <w:szCs w:val="28"/>
        </w:rPr>
        <w:lastRenderedPageBreak/>
        <w:t>Министерством не направлялись средства н</w:t>
      </w:r>
      <w:r w:rsidRPr="00E47AA9">
        <w:rPr>
          <w:rFonts w:eastAsiaTheme="minorHAnsi"/>
          <w:sz w:val="28"/>
          <w:szCs w:val="28"/>
          <w:lang w:eastAsia="en-US"/>
        </w:rPr>
        <w:t xml:space="preserve">а возмещение части прямых понесенных затрат по созданию и (или) модернизации тепличных комплексов для производства овощей в защищенном грунте и </w:t>
      </w:r>
      <w:proofErr w:type="spellStart"/>
      <w:r w:rsidRPr="00E47AA9">
        <w:rPr>
          <w:rFonts w:eastAsiaTheme="minorHAnsi"/>
          <w:sz w:val="28"/>
          <w:szCs w:val="28"/>
          <w:lang w:eastAsia="en-US"/>
        </w:rPr>
        <w:t>селекционно</w:t>
      </w:r>
      <w:proofErr w:type="spellEnd"/>
      <w:r w:rsidRPr="00E47AA9">
        <w:rPr>
          <w:rFonts w:eastAsiaTheme="minorHAnsi"/>
          <w:sz w:val="28"/>
          <w:szCs w:val="28"/>
          <w:lang w:eastAsia="en-US"/>
        </w:rPr>
        <w:t>-семеноводческих центров в растениеводстве в Дальневосточном федеральном округе, запланированные в размере 0,1 млн рублей. Исполнение отсутствовало по причине позднего внесения изменений в соответствующие нормативные акты, а именно: признания утратившими силу постановления Правительства Российской Федерации от 23.11.2020 № 1899</w:t>
      </w:r>
      <w:r w:rsidRPr="00E47AA9">
        <w:rPr>
          <w:rStyle w:val="a8"/>
          <w:rFonts w:eastAsiaTheme="minorHAnsi"/>
          <w:sz w:val="28"/>
          <w:szCs w:val="28"/>
          <w:lang w:eastAsia="en-US"/>
        </w:rPr>
        <w:footnoteReference w:id="77"/>
      </w:r>
      <w:r w:rsidRPr="00E47AA9">
        <w:rPr>
          <w:rFonts w:eastAsiaTheme="minorHAnsi"/>
          <w:sz w:val="28"/>
          <w:szCs w:val="28"/>
          <w:lang w:eastAsia="en-US"/>
        </w:rPr>
        <w:t xml:space="preserve"> и внесения изменений в постановление Правительства Российской Федерации от 14.07.2012 № 717 "О Государственной программе развития сельского хозяйства и регулирования рынков сельскохозяйственной продукции, сырья и продовольствия".</w:t>
      </w:r>
    </w:p>
    <w:p w14:paraId="3DEA1575" w14:textId="49A4A350"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По данному КПМ наибольший объем направлен на возмещение части затрат, связанных с приобретением сельскохозяйственной техники, оборудования и скота, в том числе на условиях лизинга – 641,69 млн рублей (план</w:t>
      </w:r>
      <w:r w:rsidR="009C59FC"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rPr>
        <w:t xml:space="preserve"> 642,42 млн рублей). Государственная поддержка оказана 110 получателям на приобретение сельскохозяйственной техники и оборудования: 22 единицы животноводческого оборудования, 126 единиц – прочая техника и оборудование</w:t>
      </w:r>
      <w:r w:rsidR="00AB3579"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69 тракторов</w:t>
      </w:r>
      <w:r w:rsidR="00AB3579"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82 комбайна, 6 единиц кормоуборочной техники, 17 единиц оборудование для семеноводства на общую сумму 514,82 млн рублей. Также просубсидировано приобретение 824 голов племенных коров на сумму 126,87 млн рублей. </w:t>
      </w:r>
    </w:p>
    <w:p w14:paraId="5845FB53" w14:textId="4D9BF5D2" w:rsidR="000711E6" w:rsidRPr="00E47AA9" w:rsidRDefault="000711E6" w:rsidP="000711E6">
      <w:pPr>
        <w:spacing w:after="0" w:line="240" w:lineRule="auto"/>
        <w:ind w:firstLine="709"/>
        <w:jc w:val="both"/>
        <w:rPr>
          <w:rFonts w:ascii="Times New Roman" w:eastAsia="Times New Roman" w:hAnsi="Times New Roman" w:cs="Times New Roman"/>
          <w:i/>
          <w:sz w:val="28"/>
          <w:szCs w:val="28"/>
        </w:rPr>
      </w:pPr>
      <w:r w:rsidRPr="00E47AA9">
        <w:rPr>
          <w:rFonts w:ascii="Times New Roman" w:eastAsia="Times New Roman" w:hAnsi="Times New Roman" w:cs="Times New Roman"/>
          <w:i/>
          <w:sz w:val="28"/>
          <w:szCs w:val="28"/>
        </w:rPr>
        <w:t>Контрольно-счетной палатой в 2024 году проведено контрольное мероприятие</w:t>
      </w:r>
      <w:r w:rsidR="00BD0AE2" w:rsidRPr="00E47AA9">
        <w:rPr>
          <w:rStyle w:val="a8"/>
          <w:rFonts w:ascii="Times New Roman" w:eastAsia="Times New Roman" w:hAnsi="Times New Roman"/>
          <w:i/>
          <w:sz w:val="28"/>
          <w:szCs w:val="28"/>
        </w:rPr>
        <w:footnoteReference w:id="78"/>
      </w:r>
      <w:r w:rsidRPr="00E47AA9">
        <w:rPr>
          <w:rFonts w:ascii="Times New Roman" w:eastAsia="Times New Roman" w:hAnsi="Times New Roman" w:cs="Times New Roman"/>
          <w:i/>
          <w:sz w:val="28"/>
          <w:szCs w:val="28"/>
        </w:rPr>
        <w:t xml:space="preserve"> по проверке целевого и эффективного использования бюджетных средств, </w:t>
      </w:r>
      <w:r w:rsidR="00105E39" w:rsidRPr="00E47AA9">
        <w:rPr>
          <w:rFonts w:ascii="Times New Roman" w:eastAsia="Times New Roman" w:hAnsi="Times New Roman" w:cs="Times New Roman"/>
          <w:i/>
          <w:sz w:val="28"/>
          <w:szCs w:val="28"/>
        </w:rPr>
        <w:t xml:space="preserve">включая </w:t>
      </w:r>
      <w:r w:rsidRPr="00E47AA9">
        <w:rPr>
          <w:rFonts w:ascii="Times New Roman" w:eastAsia="Times New Roman" w:hAnsi="Times New Roman" w:cs="Times New Roman"/>
          <w:i/>
          <w:sz w:val="28"/>
          <w:szCs w:val="28"/>
        </w:rPr>
        <w:t>предоставленны</w:t>
      </w:r>
      <w:r w:rsidR="00105E39" w:rsidRPr="00E47AA9">
        <w:rPr>
          <w:rFonts w:ascii="Times New Roman" w:eastAsia="Times New Roman" w:hAnsi="Times New Roman" w:cs="Times New Roman"/>
          <w:i/>
          <w:sz w:val="28"/>
          <w:szCs w:val="28"/>
        </w:rPr>
        <w:t>е</w:t>
      </w:r>
      <w:r w:rsidRPr="00E47AA9">
        <w:rPr>
          <w:rFonts w:ascii="Times New Roman" w:eastAsia="Times New Roman" w:hAnsi="Times New Roman" w:cs="Times New Roman"/>
          <w:i/>
          <w:sz w:val="28"/>
          <w:szCs w:val="28"/>
        </w:rPr>
        <w:t xml:space="preserve"> на возмещение части затрат, связанных с приобретением сельскохозяйственной техники, оборудования и скота, в том числе на условиях лизинга.</w:t>
      </w:r>
    </w:p>
    <w:p w14:paraId="0FC7867B" w14:textId="77777777" w:rsidR="000711E6" w:rsidRPr="00E47AA9" w:rsidRDefault="000711E6" w:rsidP="000711E6">
      <w:pPr>
        <w:spacing w:after="0" w:line="240" w:lineRule="auto"/>
        <w:ind w:firstLine="709"/>
        <w:jc w:val="both"/>
        <w:rPr>
          <w:rFonts w:ascii="Times New Roman" w:eastAsia="Times New Roman" w:hAnsi="Times New Roman" w:cs="Times New Roman"/>
          <w:i/>
          <w:sz w:val="28"/>
          <w:szCs w:val="28"/>
        </w:rPr>
      </w:pPr>
      <w:r w:rsidRPr="00E47AA9">
        <w:rPr>
          <w:rFonts w:ascii="Times New Roman" w:eastAsia="Times New Roman" w:hAnsi="Times New Roman" w:cs="Times New Roman"/>
          <w:i/>
          <w:sz w:val="28"/>
          <w:szCs w:val="28"/>
        </w:rPr>
        <w:t>При выборочной проверке представленных сельскохозяйственными товаропроизводителями в министерство сельского хозяйства Приморского края документов на возмещение затрат (справка-расчет, копии договоров на приобретение сельскохозяйственной техники и оборудования, копии накладных, копии актов приема-передачи, платежных поручений и иных документов, подтверждающих фактические затраты) установлено, что министерством сельского хозяйства в 2024 году излишне предоставлена субсидия:</w:t>
      </w:r>
    </w:p>
    <w:p w14:paraId="747EE2AA" w14:textId="77777777" w:rsidR="000711E6" w:rsidRPr="00E47AA9" w:rsidRDefault="000711E6" w:rsidP="000711E6">
      <w:pPr>
        <w:spacing w:after="0" w:line="240" w:lineRule="auto"/>
        <w:ind w:firstLine="709"/>
        <w:jc w:val="both"/>
        <w:rPr>
          <w:rFonts w:ascii="Times New Roman" w:eastAsia="Times New Roman" w:hAnsi="Times New Roman" w:cs="Times New Roman"/>
          <w:i/>
          <w:sz w:val="28"/>
          <w:szCs w:val="28"/>
        </w:rPr>
      </w:pPr>
      <w:r w:rsidRPr="00E47AA9">
        <w:rPr>
          <w:rFonts w:ascii="Times New Roman" w:eastAsia="Times New Roman" w:hAnsi="Times New Roman" w:cs="Times New Roman"/>
          <w:i/>
          <w:sz w:val="28"/>
          <w:szCs w:val="28"/>
        </w:rPr>
        <w:lastRenderedPageBreak/>
        <w:t>ООО "</w:t>
      </w:r>
      <w:proofErr w:type="spellStart"/>
      <w:r w:rsidRPr="00E47AA9">
        <w:rPr>
          <w:rFonts w:ascii="Times New Roman" w:eastAsia="Times New Roman" w:hAnsi="Times New Roman" w:cs="Times New Roman"/>
          <w:i/>
          <w:sz w:val="28"/>
          <w:szCs w:val="28"/>
        </w:rPr>
        <w:t>Агроптица</w:t>
      </w:r>
      <w:proofErr w:type="spellEnd"/>
      <w:r w:rsidRPr="00E47AA9">
        <w:rPr>
          <w:rFonts w:ascii="Times New Roman" w:eastAsia="Times New Roman" w:hAnsi="Times New Roman" w:cs="Times New Roman"/>
          <w:i/>
          <w:sz w:val="28"/>
          <w:szCs w:val="28"/>
        </w:rPr>
        <w:t>" – 1,2 млн рублей за счет включения в 2024 году в фактические затраты одних и тех же платежных поручений второй раз при возмещении затрат, связанных с приобретением сельскохозяйственной техники и оборудования, в том числе на условиях лизинга;</w:t>
      </w:r>
    </w:p>
    <w:p w14:paraId="42CA869F" w14:textId="77777777" w:rsidR="000711E6" w:rsidRPr="00E47AA9" w:rsidRDefault="000711E6" w:rsidP="000711E6">
      <w:pPr>
        <w:spacing w:after="0" w:line="240" w:lineRule="auto"/>
        <w:ind w:firstLine="709"/>
        <w:jc w:val="both"/>
        <w:rPr>
          <w:rFonts w:ascii="Times New Roman" w:eastAsia="Times New Roman" w:hAnsi="Times New Roman" w:cs="Times New Roman"/>
          <w:i/>
          <w:sz w:val="28"/>
          <w:szCs w:val="28"/>
        </w:rPr>
      </w:pPr>
      <w:r w:rsidRPr="00E47AA9">
        <w:rPr>
          <w:rFonts w:ascii="Times New Roman" w:eastAsia="Times New Roman" w:hAnsi="Times New Roman" w:cs="Times New Roman"/>
          <w:i/>
          <w:sz w:val="28"/>
          <w:szCs w:val="28"/>
        </w:rPr>
        <w:t xml:space="preserve">главе крестьянского (фермерского) хозяйства Морозовой Т.А. – 0,3 млн рублей за период, не подлежащий субсидированию (2021 год); </w:t>
      </w:r>
    </w:p>
    <w:p w14:paraId="6E9B6D22" w14:textId="77777777" w:rsidR="000711E6" w:rsidRPr="00E47AA9" w:rsidRDefault="000711E6" w:rsidP="000711E6">
      <w:pPr>
        <w:spacing w:after="0" w:line="240" w:lineRule="auto"/>
        <w:ind w:firstLine="709"/>
        <w:jc w:val="both"/>
        <w:rPr>
          <w:rFonts w:ascii="Times New Roman" w:eastAsia="Times New Roman" w:hAnsi="Times New Roman" w:cs="Times New Roman"/>
          <w:i/>
          <w:sz w:val="28"/>
          <w:szCs w:val="28"/>
        </w:rPr>
      </w:pPr>
      <w:r w:rsidRPr="00E47AA9">
        <w:rPr>
          <w:rFonts w:ascii="Times New Roman" w:eastAsia="Times New Roman" w:hAnsi="Times New Roman" w:cs="Times New Roman"/>
          <w:i/>
          <w:sz w:val="28"/>
          <w:szCs w:val="28"/>
        </w:rPr>
        <w:t xml:space="preserve">ИП ГКФХ Амбарцумяну Ашоту </w:t>
      </w:r>
      <w:proofErr w:type="spellStart"/>
      <w:r w:rsidRPr="00E47AA9">
        <w:rPr>
          <w:rFonts w:ascii="Times New Roman" w:eastAsia="Times New Roman" w:hAnsi="Times New Roman" w:cs="Times New Roman"/>
          <w:i/>
          <w:sz w:val="28"/>
          <w:szCs w:val="28"/>
        </w:rPr>
        <w:t>Гамлетовичу</w:t>
      </w:r>
      <w:proofErr w:type="spellEnd"/>
      <w:r w:rsidRPr="00E47AA9">
        <w:rPr>
          <w:rFonts w:ascii="Times New Roman" w:eastAsia="Times New Roman" w:hAnsi="Times New Roman" w:cs="Times New Roman"/>
          <w:i/>
          <w:sz w:val="28"/>
          <w:szCs w:val="28"/>
        </w:rPr>
        <w:t xml:space="preserve"> – 0,3 млн рублей в результате неправильного подсчета живой массы 60 голов нетелей </w:t>
      </w:r>
      <w:proofErr w:type="spellStart"/>
      <w:r w:rsidRPr="00E47AA9">
        <w:rPr>
          <w:rFonts w:ascii="Times New Roman" w:eastAsia="Times New Roman" w:hAnsi="Times New Roman" w:cs="Times New Roman"/>
          <w:i/>
          <w:sz w:val="28"/>
          <w:szCs w:val="28"/>
        </w:rPr>
        <w:t>голштинской</w:t>
      </w:r>
      <w:proofErr w:type="spellEnd"/>
      <w:r w:rsidRPr="00E47AA9">
        <w:rPr>
          <w:rFonts w:ascii="Times New Roman" w:eastAsia="Times New Roman" w:hAnsi="Times New Roman" w:cs="Times New Roman"/>
          <w:i/>
          <w:sz w:val="28"/>
          <w:szCs w:val="28"/>
        </w:rPr>
        <w:t xml:space="preserve"> породы.</w:t>
      </w:r>
    </w:p>
    <w:p w14:paraId="2988763A" w14:textId="4E7C29B0" w:rsidR="00854464" w:rsidRPr="00E47AA9" w:rsidRDefault="00854464" w:rsidP="000711E6">
      <w:pPr>
        <w:spacing w:after="0" w:line="240" w:lineRule="auto"/>
        <w:ind w:firstLine="709"/>
        <w:jc w:val="both"/>
        <w:rPr>
          <w:rFonts w:ascii="Times New Roman" w:eastAsia="Times New Roman" w:hAnsi="Times New Roman" w:cs="Times New Roman"/>
          <w:i/>
          <w:sz w:val="28"/>
          <w:szCs w:val="28"/>
        </w:rPr>
      </w:pPr>
      <w:r w:rsidRPr="00E47AA9">
        <w:rPr>
          <w:rFonts w:ascii="Times New Roman" w:eastAsia="Times New Roman" w:hAnsi="Times New Roman" w:cs="Times New Roman"/>
          <w:i/>
          <w:sz w:val="28"/>
          <w:szCs w:val="28"/>
        </w:rPr>
        <w:t>Излишне предоставленные средства в сумме 1,80 млн рублей возвращены в бюджет.</w:t>
      </w:r>
    </w:p>
    <w:p w14:paraId="5BB6965B"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b/>
          <w:sz w:val="28"/>
          <w:szCs w:val="28"/>
        </w:rPr>
        <w:t xml:space="preserve">Подпрограмма "Повышение финансовой устойчивости" </w:t>
      </w:r>
    </w:p>
    <w:p w14:paraId="06B2F535"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В рамках подпрограммы </w:t>
      </w:r>
      <w:r w:rsidRPr="00E47AA9">
        <w:rPr>
          <w:rFonts w:ascii="Times New Roman" w:eastAsia="Times New Roman" w:hAnsi="Times New Roman" w:cs="Times New Roman"/>
          <w:sz w:val="28"/>
          <w:szCs w:val="28"/>
          <w:u w:val="single"/>
        </w:rPr>
        <w:t>министерством сельского хозяйства Приморского</w:t>
      </w:r>
      <w:r w:rsidRPr="00E47AA9">
        <w:rPr>
          <w:rFonts w:ascii="Times New Roman" w:eastAsia="Times New Roman" w:hAnsi="Times New Roman" w:cs="Times New Roman"/>
          <w:sz w:val="28"/>
          <w:szCs w:val="28"/>
        </w:rPr>
        <w:t xml:space="preserve"> края реализуется </w:t>
      </w:r>
      <w:r w:rsidRPr="00E47AA9">
        <w:rPr>
          <w:rFonts w:ascii="Times New Roman" w:eastAsia="Times New Roman" w:hAnsi="Times New Roman" w:cs="Times New Roman"/>
          <w:i/>
          <w:sz w:val="28"/>
          <w:szCs w:val="28"/>
        </w:rPr>
        <w:t>региональный проект, не входящий в состав национальных проектов "Развитие отраслей агропромышленного комплекса и стимулирование инвестиционной активности"</w:t>
      </w:r>
      <w:r w:rsidRPr="00E47AA9">
        <w:rPr>
          <w:rFonts w:ascii="Times New Roman" w:eastAsia="Times New Roman" w:hAnsi="Times New Roman" w:cs="Times New Roman"/>
          <w:sz w:val="28"/>
          <w:szCs w:val="28"/>
        </w:rPr>
        <w:t>.</w:t>
      </w:r>
    </w:p>
    <w:p w14:paraId="1A75A50F"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Исполнение по РПНВ за 2024 год составило 168,64 млн рублей, или 97,09 % от плана 173,70 млн рублей.</w:t>
      </w:r>
    </w:p>
    <w:p w14:paraId="2E49E9C5"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В полном объеме плановых назначений реализованы следующие мероприятия:</w:t>
      </w:r>
    </w:p>
    <w:p w14:paraId="649A02AE"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возмещение части затрат на уплату процентов по инвестиционным кредитам (займам) в агропромышленном комплексе – 31,17 млн рублей. В 2024 году оказана господдержка 2 </w:t>
      </w:r>
      <w:proofErr w:type="spellStart"/>
      <w:r w:rsidRPr="00E47AA9">
        <w:rPr>
          <w:rFonts w:ascii="Times New Roman" w:eastAsia="Times New Roman" w:hAnsi="Times New Roman" w:cs="Times New Roman"/>
          <w:sz w:val="28"/>
          <w:szCs w:val="28"/>
        </w:rPr>
        <w:t>сельхозтоваропроизводителям</w:t>
      </w:r>
      <w:proofErr w:type="spellEnd"/>
      <w:r w:rsidRPr="00E47AA9">
        <w:rPr>
          <w:rFonts w:ascii="Times New Roman" w:eastAsia="Times New Roman" w:hAnsi="Times New Roman" w:cs="Times New Roman"/>
          <w:sz w:val="28"/>
          <w:szCs w:val="28"/>
        </w:rPr>
        <w:t xml:space="preserve"> по кредитным договорам, полученным на финансирование инвестиционных проектов;</w:t>
      </w:r>
    </w:p>
    <w:p w14:paraId="0365BE6E"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поддержка приоритетных направлений агропромышленного комплекса и развитие малых форм хозяйствования (на возмещение части затрат сельскохозяйственных товаропроизводителей на уплату страховой премии, начисленной по договору сельскохозяйственного страхования) – 123,48 млн рублей. В 2024 году просубсидирован 131 получатель: 124 растениевода, 7 животноводов. Всего застраховано 182,6 тысяч га посевных площадей, 36,72 тыс. голов животных.</w:t>
      </w:r>
    </w:p>
    <w:p w14:paraId="7147470B"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На поддержку приоритетных направлений агропромышленного комплекса и развитие малых форм хозяйствования (на возмещение части затрат сельскохозяйственных товаропроизводителей на уплату страховой премии, начисленной по договору сельскохозяйственного страхования) за счет средств резервного фонда Правительства Российской Федерации направлено по фактическому числу получателей 13,99 млн рублей, или 73,47 % от плана 19,05 млн рублей. В 2024 году оказана господдержка 25 </w:t>
      </w:r>
      <w:proofErr w:type="spellStart"/>
      <w:r w:rsidRPr="00E47AA9">
        <w:rPr>
          <w:rFonts w:ascii="Times New Roman" w:eastAsia="Times New Roman" w:hAnsi="Times New Roman" w:cs="Times New Roman"/>
          <w:sz w:val="28"/>
          <w:szCs w:val="28"/>
        </w:rPr>
        <w:t>сельхозтоваропроизводителям</w:t>
      </w:r>
      <w:proofErr w:type="spellEnd"/>
      <w:r w:rsidRPr="00E47AA9">
        <w:rPr>
          <w:rFonts w:ascii="Times New Roman" w:eastAsia="Times New Roman" w:hAnsi="Times New Roman" w:cs="Times New Roman"/>
          <w:sz w:val="28"/>
          <w:szCs w:val="28"/>
        </w:rPr>
        <w:t>, просубсидировано 34,65 тысяч га посевных площадей.</w:t>
      </w:r>
    </w:p>
    <w:p w14:paraId="567D5CF7" w14:textId="77777777" w:rsidR="000711E6" w:rsidRPr="00E47AA9" w:rsidRDefault="000711E6" w:rsidP="000711E6">
      <w:pPr>
        <w:spacing w:after="0" w:line="240" w:lineRule="auto"/>
        <w:ind w:firstLine="708"/>
        <w:jc w:val="both"/>
        <w:rPr>
          <w:rFonts w:ascii="Times New Roman" w:eastAsia="Times New Roman" w:hAnsi="Times New Roman" w:cs="Times New Roman"/>
          <w:b/>
          <w:sz w:val="28"/>
          <w:szCs w:val="28"/>
        </w:rPr>
      </w:pPr>
      <w:r w:rsidRPr="00E47AA9">
        <w:rPr>
          <w:rFonts w:ascii="Times New Roman" w:eastAsia="Times New Roman" w:hAnsi="Times New Roman" w:cs="Times New Roman"/>
          <w:b/>
          <w:sz w:val="28"/>
          <w:szCs w:val="28"/>
        </w:rPr>
        <w:t xml:space="preserve">Подпрограмма "Развитие </w:t>
      </w:r>
      <w:proofErr w:type="spellStart"/>
      <w:r w:rsidRPr="00E47AA9">
        <w:rPr>
          <w:rFonts w:ascii="Times New Roman" w:eastAsia="Times New Roman" w:hAnsi="Times New Roman" w:cs="Times New Roman"/>
          <w:b/>
          <w:sz w:val="28"/>
          <w:szCs w:val="28"/>
        </w:rPr>
        <w:t>подотрасли</w:t>
      </w:r>
      <w:proofErr w:type="spellEnd"/>
      <w:r w:rsidRPr="00E47AA9">
        <w:rPr>
          <w:rFonts w:ascii="Times New Roman" w:eastAsia="Times New Roman" w:hAnsi="Times New Roman" w:cs="Times New Roman"/>
          <w:b/>
          <w:sz w:val="28"/>
          <w:szCs w:val="28"/>
        </w:rPr>
        <w:t xml:space="preserve"> растениеводства, переработки и реализации продукции растениеводства"</w:t>
      </w:r>
    </w:p>
    <w:p w14:paraId="22646632"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u w:val="single"/>
        </w:rPr>
        <w:lastRenderedPageBreak/>
        <w:t>Министерством сельского хозяйства Приморского края</w:t>
      </w:r>
      <w:r w:rsidRPr="00E47AA9">
        <w:rPr>
          <w:rFonts w:ascii="Times New Roman" w:eastAsia="Times New Roman" w:hAnsi="Times New Roman" w:cs="Times New Roman"/>
          <w:b/>
          <w:i/>
          <w:sz w:val="28"/>
          <w:szCs w:val="28"/>
        </w:rPr>
        <w:t xml:space="preserve"> </w:t>
      </w:r>
      <w:r w:rsidRPr="00E47AA9">
        <w:rPr>
          <w:rFonts w:ascii="Times New Roman" w:eastAsia="Times New Roman" w:hAnsi="Times New Roman" w:cs="Times New Roman"/>
          <w:sz w:val="28"/>
          <w:szCs w:val="28"/>
        </w:rPr>
        <w:t>в полном объеме плановых назначений исполнены:</w:t>
      </w:r>
    </w:p>
    <w:p w14:paraId="00B14650"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i/>
          <w:sz w:val="28"/>
          <w:szCs w:val="28"/>
        </w:rPr>
        <w:t>региональный проект, не входящий в состав национальных проектов "Развитие отраслей агропромышленного комплекса и стимулирование инвестиционной активности"</w:t>
      </w:r>
      <w:r w:rsidRPr="00E47AA9">
        <w:rPr>
          <w:rFonts w:ascii="Times New Roman" w:eastAsia="Times New Roman" w:hAnsi="Times New Roman" w:cs="Times New Roman"/>
          <w:sz w:val="28"/>
          <w:szCs w:val="28"/>
        </w:rPr>
        <w:t xml:space="preserve"> – 227,18 млн рублей, а именно:</w:t>
      </w:r>
    </w:p>
    <w:p w14:paraId="2BE31CBE" w14:textId="1DC9919E"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стимулирование увеличения производства картофеля и овощей (на финансовое обеспечение (возмещение) части затрат на поддержку элитного семеноводства) </w:t>
      </w:r>
      <w:r w:rsidR="000A3AB6"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3,19 млн рублей, в том числе за счет средств федерального бюджета – 2,68 млн рублей, за счет средств краевого бюджета – 0,51 млн рублей. Произведены выплаты субсидии 19 </w:t>
      </w:r>
      <w:proofErr w:type="spellStart"/>
      <w:r w:rsidRPr="00E47AA9">
        <w:rPr>
          <w:rFonts w:ascii="Times New Roman" w:eastAsia="Times New Roman" w:hAnsi="Times New Roman" w:cs="Times New Roman"/>
          <w:sz w:val="28"/>
          <w:szCs w:val="28"/>
        </w:rPr>
        <w:t>сельхозтоваропроизводителям</w:t>
      </w:r>
      <w:proofErr w:type="spellEnd"/>
      <w:r w:rsidRPr="00E47AA9">
        <w:rPr>
          <w:rFonts w:ascii="Times New Roman" w:eastAsia="Times New Roman" w:hAnsi="Times New Roman" w:cs="Times New Roman"/>
          <w:sz w:val="28"/>
          <w:szCs w:val="28"/>
        </w:rPr>
        <w:t xml:space="preserve"> на возмещение части затрат на приобретение элитных семян. Приобретена 461 тонна элитных сортов семян картофеля;</w:t>
      </w:r>
    </w:p>
    <w:p w14:paraId="42D268E9" w14:textId="402BB997"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стимулирование увеличения производства картофеля и овощей (на финансовое обеспечение (возмещение) части затрат на производство овощей защищенного грунта, произведенных с применением технологии </w:t>
      </w:r>
      <w:proofErr w:type="spellStart"/>
      <w:r w:rsidRPr="00E47AA9">
        <w:rPr>
          <w:rFonts w:ascii="Times New Roman" w:eastAsia="Times New Roman" w:hAnsi="Times New Roman" w:cs="Times New Roman"/>
          <w:sz w:val="28"/>
          <w:szCs w:val="28"/>
        </w:rPr>
        <w:t>досвечивания</w:t>
      </w:r>
      <w:proofErr w:type="spellEnd"/>
      <w:r w:rsidRPr="00E47AA9">
        <w:rPr>
          <w:rFonts w:ascii="Times New Roman" w:eastAsia="Times New Roman" w:hAnsi="Times New Roman" w:cs="Times New Roman"/>
          <w:sz w:val="28"/>
          <w:szCs w:val="28"/>
        </w:rPr>
        <w:t xml:space="preserve"> </w:t>
      </w:r>
      <w:r w:rsidR="000A3AB6"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1,15 млн рублей. Просубсидировано ООО "НК Лотос". Объем произведенных овощей защищенного грунта, выращенных с применением технологии </w:t>
      </w:r>
      <w:proofErr w:type="spellStart"/>
      <w:r w:rsidRPr="00E47AA9">
        <w:rPr>
          <w:rFonts w:ascii="Times New Roman" w:eastAsia="Times New Roman" w:hAnsi="Times New Roman" w:cs="Times New Roman"/>
          <w:sz w:val="28"/>
          <w:szCs w:val="28"/>
        </w:rPr>
        <w:t>досвечивания</w:t>
      </w:r>
      <w:proofErr w:type="spellEnd"/>
      <w:r w:rsidRPr="00E47AA9">
        <w:rPr>
          <w:rFonts w:ascii="Times New Roman" w:eastAsia="Times New Roman" w:hAnsi="Times New Roman" w:cs="Times New Roman"/>
          <w:sz w:val="28"/>
          <w:szCs w:val="28"/>
        </w:rPr>
        <w:t>, составил 7,66 тысяч тонн;</w:t>
      </w:r>
    </w:p>
    <w:p w14:paraId="1D0F875A" w14:textId="43A41A1A"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стимулирование увеличения производства картофеля и овощей (на финансовое обеспечение (возмещение) части затрат на поддержку производства картофеля и овощей открытого грунта) </w:t>
      </w:r>
      <w:r w:rsidR="007A6BC1"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40,83 млн рублей. Просубсидировано 33 </w:t>
      </w:r>
      <w:proofErr w:type="spellStart"/>
      <w:r w:rsidRPr="00E47AA9">
        <w:rPr>
          <w:rFonts w:ascii="Times New Roman" w:eastAsia="Times New Roman" w:hAnsi="Times New Roman" w:cs="Times New Roman"/>
          <w:sz w:val="28"/>
          <w:szCs w:val="28"/>
        </w:rPr>
        <w:t>сельхозтоваропроизводителя</w:t>
      </w:r>
      <w:proofErr w:type="spellEnd"/>
      <w:r w:rsidRPr="00E47AA9">
        <w:rPr>
          <w:rFonts w:ascii="Times New Roman" w:eastAsia="Times New Roman" w:hAnsi="Times New Roman" w:cs="Times New Roman"/>
          <w:sz w:val="28"/>
          <w:szCs w:val="28"/>
        </w:rPr>
        <w:t xml:space="preserve">, производящих картофель (31,38 тысяч тонн) на сумму 24,08 млн рублей и овощи открытого грунта (23,42 тысяч тонн) на общую сумму 16,75 млн рублей. Овощей открытого грунта собрано 30,4 тысяч тонн, картофеля </w:t>
      </w:r>
      <w:r w:rsidR="007A6BC1"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47,4 тысяч тонн;</w:t>
      </w:r>
    </w:p>
    <w:p w14:paraId="77C85B9D" w14:textId="292A1EE5"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стимулирование увеличения производства картофеля и овощей (на финансовое обеспечение (возмещение) части затрат на проведение агротехнологических работ, повышение уровня экологической безопасности сельскохозяйственного производства, а также на повышение плодородия и качества почв) </w:t>
      </w:r>
      <w:r w:rsidR="007A6BC1"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20,85 млн рублей, в том числе за счет средств федерального бюджета – 17,51 млн рублей, за счет краевого бюджета – 3,34 млн рублей. Просубсидировано проведение агротехнологических работ на площади 1,9</w:t>
      </w:r>
      <w:r w:rsidR="007A6BC1"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 xml:space="preserve">тысяч га 48 </w:t>
      </w:r>
      <w:proofErr w:type="spellStart"/>
      <w:r w:rsidRPr="00E47AA9">
        <w:rPr>
          <w:rFonts w:ascii="Times New Roman" w:eastAsia="Times New Roman" w:hAnsi="Times New Roman" w:cs="Times New Roman"/>
          <w:sz w:val="28"/>
          <w:szCs w:val="28"/>
        </w:rPr>
        <w:t>сельхозтоваропроизводителями</w:t>
      </w:r>
      <w:proofErr w:type="spellEnd"/>
      <w:r w:rsidRPr="00E47AA9">
        <w:rPr>
          <w:rFonts w:ascii="Times New Roman" w:eastAsia="Times New Roman" w:hAnsi="Times New Roman" w:cs="Times New Roman"/>
          <w:sz w:val="28"/>
          <w:szCs w:val="28"/>
        </w:rPr>
        <w:t xml:space="preserve">; </w:t>
      </w:r>
    </w:p>
    <w:p w14:paraId="5C6F80A8"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финансовое обеспечение (возмещение) производителям зерновых культур части затрат на производство и реализацию зерновых культур (54,97</w:t>
      </w:r>
      <w:r w:rsidR="0018766B"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 xml:space="preserve">млн рублей). Просубсидировано 25 </w:t>
      </w:r>
      <w:proofErr w:type="spellStart"/>
      <w:r w:rsidRPr="00E47AA9">
        <w:rPr>
          <w:rFonts w:ascii="Times New Roman" w:eastAsia="Times New Roman" w:hAnsi="Times New Roman" w:cs="Times New Roman"/>
          <w:sz w:val="28"/>
          <w:szCs w:val="28"/>
        </w:rPr>
        <w:t>сельхозтоварополучателей</w:t>
      </w:r>
      <w:proofErr w:type="spellEnd"/>
      <w:r w:rsidRPr="00E47AA9">
        <w:rPr>
          <w:rFonts w:ascii="Times New Roman" w:eastAsia="Times New Roman" w:hAnsi="Times New Roman" w:cs="Times New Roman"/>
          <w:sz w:val="28"/>
          <w:szCs w:val="28"/>
        </w:rPr>
        <w:t>, реализовано 274,96 тысяч тонн зерновых культур;</w:t>
      </w:r>
    </w:p>
    <w:p w14:paraId="3CA79927" w14:textId="4F96E180"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поддержка приоритетных направлений агропромышленного комплекса и развитие малых форм хозяйствования (на возмещение части затрат, связанных с приобретением семян сельскохозяйственных культур для посева (30,60 млн рублей). Просубсидировано 38 </w:t>
      </w:r>
      <w:proofErr w:type="spellStart"/>
      <w:r w:rsidRPr="00E47AA9">
        <w:rPr>
          <w:rFonts w:ascii="Times New Roman" w:eastAsia="Times New Roman" w:hAnsi="Times New Roman" w:cs="Times New Roman"/>
          <w:sz w:val="28"/>
          <w:szCs w:val="28"/>
        </w:rPr>
        <w:t>сельхозтоваропроизводителей</w:t>
      </w:r>
      <w:proofErr w:type="spellEnd"/>
      <w:r w:rsidRPr="00E47AA9">
        <w:rPr>
          <w:rFonts w:ascii="Times New Roman" w:eastAsia="Times New Roman" w:hAnsi="Times New Roman" w:cs="Times New Roman"/>
          <w:sz w:val="28"/>
          <w:szCs w:val="28"/>
        </w:rPr>
        <w:t xml:space="preserve"> на сумму 29,78 млн рублей на засевание элитными семенами 8172,3 га и 1</w:t>
      </w:r>
      <w:r w:rsidR="007A6BC1" w:rsidRPr="00E47AA9">
        <w:rPr>
          <w:rFonts w:ascii="Times New Roman" w:eastAsia="Times New Roman" w:hAnsi="Times New Roman" w:cs="Times New Roman"/>
          <w:sz w:val="28"/>
          <w:szCs w:val="28"/>
        </w:rPr>
        <w:t> </w:t>
      </w:r>
      <w:proofErr w:type="spellStart"/>
      <w:r w:rsidRPr="00E47AA9">
        <w:rPr>
          <w:rFonts w:ascii="Times New Roman" w:eastAsia="Times New Roman" w:hAnsi="Times New Roman" w:cs="Times New Roman"/>
          <w:sz w:val="28"/>
          <w:szCs w:val="28"/>
        </w:rPr>
        <w:t>сельхозтоваропроизводитель</w:t>
      </w:r>
      <w:proofErr w:type="spellEnd"/>
      <w:r w:rsidRPr="00E47AA9">
        <w:rPr>
          <w:rFonts w:ascii="Times New Roman" w:eastAsia="Times New Roman" w:hAnsi="Times New Roman" w:cs="Times New Roman"/>
          <w:sz w:val="28"/>
          <w:szCs w:val="28"/>
        </w:rPr>
        <w:t xml:space="preserve"> на сумму 0,82 млн рублей на засе</w:t>
      </w:r>
      <w:r w:rsidR="007A6BC1" w:rsidRPr="00E47AA9">
        <w:rPr>
          <w:rFonts w:ascii="Times New Roman" w:eastAsia="Times New Roman" w:hAnsi="Times New Roman" w:cs="Times New Roman"/>
          <w:sz w:val="28"/>
          <w:szCs w:val="28"/>
        </w:rPr>
        <w:t>в</w:t>
      </w:r>
      <w:r w:rsidRPr="00E47AA9">
        <w:rPr>
          <w:rFonts w:ascii="Times New Roman" w:eastAsia="Times New Roman" w:hAnsi="Times New Roman" w:cs="Times New Roman"/>
          <w:sz w:val="28"/>
          <w:szCs w:val="28"/>
        </w:rPr>
        <w:t xml:space="preserve"> кормовых культур на 657 га в районе, приравненном к району Крайнего Севера;</w:t>
      </w:r>
    </w:p>
    <w:p w14:paraId="04AB4B22"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lastRenderedPageBreak/>
        <w:t>поддержка приоритетных направлений агропромышленного комплекса и развитие малых форм хозяйствования (на возмещение части затрат, связанных с проведением агротехнологических работ) (75,57 млн рублей, в том числе за счет средств федерального бюджета – 63,48 млн рублей, за счет краевого бюджета – 12,09 млн рублей.). Просубсидировано 55 </w:t>
      </w:r>
      <w:proofErr w:type="spellStart"/>
      <w:r w:rsidRPr="00E47AA9">
        <w:rPr>
          <w:rFonts w:ascii="Times New Roman" w:eastAsia="Times New Roman" w:hAnsi="Times New Roman" w:cs="Times New Roman"/>
          <w:sz w:val="28"/>
          <w:szCs w:val="28"/>
        </w:rPr>
        <w:t>сельхозтоваропроизводителей</w:t>
      </w:r>
      <w:proofErr w:type="spellEnd"/>
      <w:r w:rsidRPr="00E47AA9">
        <w:rPr>
          <w:rFonts w:ascii="Times New Roman" w:eastAsia="Times New Roman" w:hAnsi="Times New Roman" w:cs="Times New Roman"/>
          <w:sz w:val="28"/>
          <w:szCs w:val="28"/>
        </w:rPr>
        <w:t xml:space="preserve"> на проведение агротехнологических работ на площади 36,08 тысяч га; </w:t>
      </w:r>
    </w:p>
    <w:p w14:paraId="3A6E0249" w14:textId="6F4F0785" w:rsidR="000711E6" w:rsidRPr="00E47AA9" w:rsidRDefault="00DF277C"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i/>
          <w:sz w:val="28"/>
          <w:szCs w:val="28"/>
        </w:rPr>
        <w:t>КПМ</w:t>
      </w:r>
      <w:r w:rsidR="000711E6" w:rsidRPr="00E47AA9">
        <w:rPr>
          <w:rFonts w:ascii="Times New Roman" w:eastAsia="Times New Roman" w:hAnsi="Times New Roman" w:cs="Times New Roman"/>
          <w:i/>
          <w:sz w:val="28"/>
          <w:szCs w:val="28"/>
        </w:rPr>
        <w:t xml:space="preserve"> "Стимулирование развития производства сельскохозяйственных культур"</w:t>
      </w:r>
      <w:r w:rsidR="000711E6" w:rsidRPr="00E47AA9">
        <w:rPr>
          <w:rFonts w:ascii="Times New Roman" w:eastAsia="Times New Roman" w:hAnsi="Times New Roman" w:cs="Times New Roman"/>
          <w:sz w:val="28"/>
          <w:szCs w:val="28"/>
        </w:rPr>
        <w:t xml:space="preserve"> – 554,02 млн рублей, в том числе субсидии на возмещение части затрат, связанных:</w:t>
      </w:r>
    </w:p>
    <w:p w14:paraId="295A876F" w14:textId="1457846F"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с произ</w:t>
      </w:r>
      <w:r w:rsidR="007A6BC1" w:rsidRPr="00E47AA9">
        <w:rPr>
          <w:rFonts w:ascii="Times New Roman" w:eastAsia="Times New Roman" w:hAnsi="Times New Roman" w:cs="Times New Roman"/>
          <w:sz w:val="28"/>
          <w:szCs w:val="28"/>
        </w:rPr>
        <w:t>водством гречихи и (или) риса –</w:t>
      </w:r>
      <w:r w:rsidRPr="00E47AA9">
        <w:rPr>
          <w:rFonts w:ascii="Times New Roman" w:eastAsia="Times New Roman" w:hAnsi="Times New Roman" w:cs="Times New Roman"/>
          <w:sz w:val="28"/>
          <w:szCs w:val="28"/>
        </w:rPr>
        <w:t xml:space="preserve">150,00 млн рублей. Из средств краевого бюджета просубсидированы 13 </w:t>
      </w:r>
      <w:proofErr w:type="spellStart"/>
      <w:r w:rsidRPr="00E47AA9">
        <w:rPr>
          <w:rFonts w:ascii="Times New Roman" w:eastAsia="Times New Roman" w:hAnsi="Times New Roman" w:cs="Times New Roman"/>
          <w:sz w:val="28"/>
          <w:szCs w:val="28"/>
        </w:rPr>
        <w:t>сельхозтоваропроизводителей</w:t>
      </w:r>
      <w:proofErr w:type="spellEnd"/>
      <w:r w:rsidRPr="00E47AA9">
        <w:rPr>
          <w:rFonts w:ascii="Times New Roman" w:eastAsia="Times New Roman" w:hAnsi="Times New Roman" w:cs="Times New Roman"/>
          <w:sz w:val="28"/>
          <w:szCs w:val="28"/>
        </w:rPr>
        <w:t>. Общая посевная площадь по рису составила 12777,57 га, гречихи – 18,4 га;</w:t>
      </w:r>
    </w:p>
    <w:p w14:paraId="110A69CB" w14:textId="60EC8B86"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с производством и реализацией овощей закрытого грунта </w:t>
      </w:r>
      <w:r w:rsidR="007A6BC1"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360,15 млн рублей. За счет средств краевого бюджета просубсидированы 4 </w:t>
      </w:r>
      <w:proofErr w:type="spellStart"/>
      <w:r w:rsidRPr="00E47AA9">
        <w:rPr>
          <w:rFonts w:ascii="Times New Roman" w:eastAsia="Times New Roman" w:hAnsi="Times New Roman" w:cs="Times New Roman"/>
          <w:sz w:val="28"/>
          <w:szCs w:val="28"/>
        </w:rPr>
        <w:t>сельхозтоваропроизводителя</w:t>
      </w:r>
      <w:proofErr w:type="spellEnd"/>
      <w:r w:rsidRPr="00E47AA9">
        <w:rPr>
          <w:rFonts w:ascii="Times New Roman" w:eastAsia="Times New Roman" w:hAnsi="Times New Roman" w:cs="Times New Roman"/>
          <w:sz w:val="28"/>
          <w:szCs w:val="28"/>
        </w:rPr>
        <w:t>, которые произвели 9600,29 тонн овощей закрытого грунта;</w:t>
      </w:r>
    </w:p>
    <w:p w14:paraId="57895AA0" w14:textId="4AAC5A06"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с поддержкой закладки и уходом за многолетними плодовыми и (или) ягодными насаждениями, виноградниками и виноградными питомниками </w:t>
      </w:r>
      <w:r w:rsidR="007A6BC1"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2,75 млн рублей. Просубсидировано 2 </w:t>
      </w:r>
      <w:proofErr w:type="spellStart"/>
      <w:r w:rsidRPr="00E47AA9">
        <w:rPr>
          <w:rFonts w:ascii="Times New Roman" w:eastAsia="Times New Roman" w:hAnsi="Times New Roman" w:cs="Times New Roman"/>
          <w:sz w:val="28"/>
          <w:szCs w:val="28"/>
        </w:rPr>
        <w:t>сельхозтоваропроизводителя</w:t>
      </w:r>
      <w:proofErr w:type="spellEnd"/>
      <w:r w:rsidRPr="00E47AA9">
        <w:rPr>
          <w:rFonts w:ascii="Times New Roman" w:eastAsia="Times New Roman" w:hAnsi="Times New Roman" w:cs="Times New Roman"/>
          <w:sz w:val="28"/>
          <w:szCs w:val="28"/>
        </w:rPr>
        <w:t xml:space="preserve"> для ухода за многолетними насаждениями на площади 5 га и для закладки многолетних насаждений на площади 3 га;</w:t>
      </w:r>
    </w:p>
    <w:p w14:paraId="4B6689B6" w14:textId="7E768550"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с приобретением семян сельскохозяйственных культур </w:t>
      </w:r>
      <w:r w:rsidR="007A6BC1"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4,12 млн рублей. За счет средств краевого бюджета просубсидирован 41 </w:t>
      </w:r>
      <w:proofErr w:type="spellStart"/>
      <w:r w:rsidRPr="00E47AA9">
        <w:rPr>
          <w:rFonts w:ascii="Times New Roman" w:eastAsia="Times New Roman" w:hAnsi="Times New Roman" w:cs="Times New Roman"/>
          <w:sz w:val="28"/>
          <w:szCs w:val="28"/>
        </w:rPr>
        <w:t>сельхозтоваропроизводитель</w:t>
      </w:r>
      <w:proofErr w:type="spellEnd"/>
      <w:r w:rsidRPr="00E47AA9">
        <w:rPr>
          <w:rFonts w:ascii="Times New Roman" w:eastAsia="Times New Roman" w:hAnsi="Times New Roman" w:cs="Times New Roman"/>
          <w:sz w:val="28"/>
          <w:szCs w:val="28"/>
        </w:rPr>
        <w:t xml:space="preserve"> на приобретение 216,837 тонн семян.</w:t>
      </w:r>
    </w:p>
    <w:p w14:paraId="37BDDFF0" w14:textId="77777777" w:rsidR="000711E6" w:rsidRPr="00E47AA9" w:rsidRDefault="000711E6" w:rsidP="000711E6">
      <w:pPr>
        <w:spacing w:after="0" w:line="240" w:lineRule="auto"/>
        <w:ind w:firstLine="709"/>
        <w:jc w:val="both"/>
        <w:rPr>
          <w:rFonts w:ascii="Times New Roman" w:eastAsia="Times New Roman" w:hAnsi="Times New Roman" w:cs="Times New Roman"/>
          <w:b/>
          <w:sz w:val="28"/>
          <w:szCs w:val="28"/>
        </w:rPr>
      </w:pPr>
      <w:r w:rsidRPr="00E47AA9">
        <w:rPr>
          <w:rFonts w:ascii="Times New Roman" w:eastAsia="Times New Roman" w:hAnsi="Times New Roman" w:cs="Times New Roman"/>
          <w:b/>
          <w:sz w:val="28"/>
          <w:szCs w:val="28"/>
        </w:rPr>
        <w:t xml:space="preserve">Подпрограмма "Развитие </w:t>
      </w:r>
      <w:proofErr w:type="spellStart"/>
      <w:r w:rsidRPr="00E47AA9">
        <w:rPr>
          <w:rFonts w:ascii="Times New Roman" w:eastAsia="Times New Roman" w:hAnsi="Times New Roman" w:cs="Times New Roman"/>
          <w:b/>
          <w:sz w:val="28"/>
          <w:szCs w:val="28"/>
        </w:rPr>
        <w:t>подотрасли</w:t>
      </w:r>
      <w:proofErr w:type="spellEnd"/>
      <w:r w:rsidRPr="00E47AA9">
        <w:rPr>
          <w:rFonts w:ascii="Times New Roman" w:eastAsia="Times New Roman" w:hAnsi="Times New Roman" w:cs="Times New Roman"/>
          <w:b/>
          <w:sz w:val="28"/>
          <w:szCs w:val="28"/>
        </w:rPr>
        <w:t xml:space="preserve"> животноводства, переработки и реализации продукции животноводства"</w:t>
      </w:r>
    </w:p>
    <w:p w14:paraId="0A44C558"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u w:val="single"/>
        </w:rPr>
      </w:pPr>
      <w:r w:rsidRPr="00E47AA9">
        <w:rPr>
          <w:rFonts w:ascii="Times New Roman" w:eastAsia="Times New Roman" w:hAnsi="Times New Roman" w:cs="Times New Roman"/>
          <w:sz w:val="28"/>
          <w:szCs w:val="28"/>
          <w:u w:val="single"/>
        </w:rPr>
        <w:t xml:space="preserve">Министерством сельского хозяйства Приморского края </w:t>
      </w:r>
      <w:r w:rsidRPr="00E47AA9">
        <w:rPr>
          <w:rFonts w:ascii="Times New Roman" w:eastAsia="Calibri" w:hAnsi="Times New Roman" w:cs="Times New Roman"/>
          <w:sz w:val="28"/>
          <w:szCs w:val="28"/>
        </w:rPr>
        <w:t>в полном объеме плановых назначений реализованы:</w:t>
      </w:r>
    </w:p>
    <w:p w14:paraId="0B537B91" w14:textId="77777777" w:rsidR="000711E6" w:rsidRPr="00E47AA9" w:rsidRDefault="000711E6" w:rsidP="000711E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i/>
          <w:sz w:val="28"/>
          <w:szCs w:val="28"/>
        </w:rPr>
        <w:t xml:space="preserve">региональный проект, не входящий в состав национальных проектов "Развитие отраслей агропромышленного комплекса и стимулирование инвестиционной активности" </w:t>
      </w:r>
      <w:r w:rsidRPr="00E47AA9">
        <w:rPr>
          <w:rFonts w:ascii="Times New Roman" w:eastAsia="Calibri" w:hAnsi="Times New Roman" w:cs="Times New Roman"/>
          <w:sz w:val="28"/>
          <w:szCs w:val="28"/>
        </w:rPr>
        <w:t xml:space="preserve">– 42,29 млн рублей, в том числе за счет федерального бюджета – 35,52 млн рублей, краевого бюджета – 6,77 млн рублей. Средства направлены на поддержку приоритетных направлений агропромышленного комплекса и развитие малых форм хозяйствования. Просубсидированы 2 </w:t>
      </w:r>
      <w:proofErr w:type="spellStart"/>
      <w:r w:rsidRPr="00E47AA9">
        <w:rPr>
          <w:rFonts w:ascii="Times New Roman" w:eastAsia="Calibri" w:hAnsi="Times New Roman" w:cs="Times New Roman"/>
          <w:sz w:val="28"/>
          <w:szCs w:val="28"/>
        </w:rPr>
        <w:t>сельхозтоваропроизводителя</w:t>
      </w:r>
      <w:proofErr w:type="spellEnd"/>
      <w:r w:rsidRPr="00E47AA9">
        <w:rPr>
          <w:rFonts w:ascii="Times New Roman" w:eastAsia="Calibri" w:hAnsi="Times New Roman" w:cs="Times New Roman"/>
          <w:sz w:val="28"/>
          <w:szCs w:val="28"/>
        </w:rPr>
        <w:t xml:space="preserve"> в части затрат по поддержке племенного крупного рогатого скота молочного и мясного направления (3524 голов коров), содержащихся в племенных репродукторах; </w:t>
      </w:r>
    </w:p>
    <w:p w14:paraId="1CB81ECD" w14:textId="77777777" w:rsidR="000711E6" w:rsidRPr="00E47AA9" w:rsidRDefault="000711E6" w:rsidP="000711E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i/>
          <w:sz w:val="28"/>
          <w:szCs w:val="28"/>
        </w:rPr>
        <w:t>КПМ "Поддержка в области животноводства"</w:t>
      </w:r>
      <w:r w:rsidRPr="00E47AA9">
        <w:rPr>
          <w:rFonts w:ascii="Times New Roman" w:eastAsia="Calibri" w:hAnsi="Times New Roman" w:cs="Times New Roman"/>
          <w:sz w:val="28"/>
          <w:szCs w:val="28"/>
        </w:rPr>
        <w:t xml:space="preserve"> – 2050,48 млн рублей. В рамках комплекса предоставлены субсидии: </w:t>
      </w:r>
    </w:p>
    <w:p w14:paraId="5E826FFE" w14:textId="2FD88E5D" w:rsidR="000711E6" w:rsidRPr="00E47AA9" w:rsidRDefault="000711E6" w:rsidP="000711E6">
      <w:pPr>
        <w:spacing w:after="0" w:line="240" w:lineRule="auto"/>
        <w:ind w:firstLine="709"/>
        <w:jc w:val="both"/>
        <w:rPr>
          <w:rFonts w:ascii="Times New Roman" w:eastAsia="Calibri" w:hAnsi="Times New Roman" w:cs="Times New Roman"/>
          <w:i/>
          <w:sz w:val="28"/>
          <w:szCs w:val="28"/>
        </w:rPr>
      </w:pPr>
      <w:r w:rsidRPr="00E47AA9">
        <w:rPr>
          <w:rFonts w:ascii="Times New Roman" w:eastAsia="Calibri" w:hAnsi="Times New Roman" w:cs="Times New Roman"/>
          <w:sz w:val="28"/>
          <w:szCs w:val="28"/>
        </w:rPr>
        <w:t xml:space="preserve">на возмещение части затрат, связанных с развитием отрасли птицеводства и молочного скотоводства </w:t>
      </w:r>
      <w:r w:rsidR="007A6BC1"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2044,38 млн рублей. Просубсидирована реализация 7 </w:t>
      </w:r>
      <w:proofErr w:type="spellStart"/>
      <w:r w:rsidRPr="00E47AA9">
        <w:rPr>
          <w:rFonts w:ascii="Times New Roman" w:eastAsia="Calibri" w:hAnsi="Times New Roman" w:cs="Times New Roman"/>
          <w:sz w:val="28"/>
          <w:szCs w:val="28"/>
        </w:rPr>
        <w:t>сельхозтоваропроизводителями</w:t>
      </w:r>
      <w:proofErr w:type="spellEnd"/>
      <w:r w:rsidRPr="00E47AA9">
        <w:rPr>
          <w:rFonts w:ascii="Times New Roman" w:eastAsia="Calibri" w:hAnsi="Times New Roman" w:cs="Times New Roman"/>
          <w:sz w:val="28"/>
          <w:szCs w:val="28"/>
        </w:rPr>
        <w:t xml:space="preserve"> и 18 крестьянско-фермерскими хозяйствами 65,54 тысяч тонн молока, </w:t>
      </w:r>
      <w:r w:rsidRPr="00E47AA9">
        <w:rPr>
          <w:rFonts w:ascii="Times New Roman" w:eastAsia="Calibri" w:hAnsi="Times New Roman" w:cs="Times New Roman"/>
          <w:sz w:val="28"/>
          <w:szCs w:val="28"/>
        </w:rPr>
        <w:lastRenderedPageBreak/>
        <w:t>2 </w:t>
      </w:r>
      <w:proofErr w:type="spellStart"/>
      <w:r w:rsidRPr="00E47AA9">
        <w:rPr>
          <w:rFonts w:ascii="Times New Roman" w:eastAsia="Calibri" w:hAnsi="Times New Roman" w:cs="Times New Roman"/>
          <w:sz w:val="28"/>
          <w:szCs w:val="28"/>
        </w:rPr>
        <w:t>сельхозтоваропроизводителями</w:t>
      </w:r>
      <w:proofErr w:type="spellEnd"/>
      <w:r w:rsidRPr="00E47AA9">
        <w:rPr>
          <w:rFonts w:ascii="Times New Roman" w:eastAsia="Calibri" w:hAnsi="Times New Roman" w:cs="Times New Roman"/>
          <w:sz w:val="28"/>
          <w:szCs w:val="28"/>
        </w:rPr>
        <w:t xml:space="preserve"> и 3</w:t>
      </w:r>
      <w:r w:rsidRPr="00E47AA9">
        <w:rPr>
          <w:rFonts w:ascii="Times New Roman" w:eastAsia="Times New Roman" w:hAnsi="Times New Roman" w:cs="Times New Roman"/>
          <w:sz w:val="24"/>
          <w:szCs w:val="24"/>
          <w:lang w:eastAsia="ru-RU"/>
        </w:rPr>
        <w:t xml:space="preserve"> </w:t>
      </w:r>
      <w:r w:rsidRPr="00E47AA9">
        <w:rPr>
          <w:rFonts w:ascii="Times New Roman" w:eastAsia="Calibri" w:hAnsi="Times New Roman" w:cs="Times New Roman"/>
          <w:sz w:val="28"/>
          <w:szCs w:val="28"/>
        </w:rPr>
        <w:t>крестьянско-фермерскими хозяйствами произведенного на убой в живом весе и реализованного и/или отгруженного на собственную переработку 18,99 тысяч тонн мяса птицы, 2 </w:t>
      </w:r>
      <w:proofErr w:type="spellStart"/>
      <w:r w:rsidRPr="00E47AA9">
        <w:rPr>
          <w:rFonts w:ascii="Times New Roman" w:eastAsia="Calibri" w:hAnsi="Times New Roman" w:cs="Times New Roman"/>
          <w:sz w:val="28"/>
          <w:szCs w:val="28"/>
        </w:rPr>
        <w:t>сельхозтоваропроизводителями</w:t>
      </w:r>
      <w:proofErr w:type="spellEnd"/>
      <w:r w:rsidRPr="00E47AA9">
        <w:rPr>
          <w:rFonts w:ascii="Times New Roman" w:eastAsia="Calibri" w:hAnsi="Times New Roman" w:cs="Times New Roman"/>
          <w:sz w:val="28"/>
          <w:szCs w:val="28"/>
        </w:rPr>
        <w:t xml:space="preserve"> и 2 крестьянско-фермерскими хозяйствами произведенного и реализованного куриного яйца 182,26 тысяч штук; </w:t>
      </w:r>
    </w:p>
    <w:p w14:paraId="4D0F5517" w14:textId="09EF69C3"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sz w:val="28"/>
          <w:szCs w:val="28"/>
          <w:lang w:eastAsia="ru-RU"/>
        </w:rPr>
        <w:t xml:space="preserve">АНО "Агентство по развитию пчеловодства Приморского края" в целях создания и обеспечения уставной деятельности </w:t>
      </w:r>
      <w:r w:rsidR="007A6BC1"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6,10 млн рублей. Агентством проведены 5 ярмарок, направленных на популяризацию пчеловодства и продукции пчеловодства и 5 обучающих занятий, оказаны 116 консультаций по поддержке пчеловодам</w:t>
      </w:r>
      <w:r w:rsidR="007A6BC1"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оказано сопровождение 10 </w:t>
      </w:r>
      <w:proofErr w:type="spellStart"/>
      <w:r w:rsidRPr="00E47AA9">
        <w:rPr>
          <w:rFonts w:ascii="Times New Roman" w:eastAsia="Times New Roman" w:hAnsi="Times New Roman" w:cs="Times New Roman"/>
          <w:sz w:val="28"/>
          <w:szCs w:val="28"/>
          <w:lang w:eastAsia="ru-RU"/>
        </w:rPr>
        <w:t>сельхозтоваропроизводителям</w:t>
      </w:r>
      <w:proofErr w:type="spellEnd"/>
      <w:r w:rsidRPr="00E47AA9">
        <w:rPr>
          <w:rFonts w:ascii="Times New Roman" w:eastAsia="Times New Roman" w:hAnsi="Times New Roman" w:cs="Times New Roman"/>
          <w:sz w:val="28"/>
          <w:szCs w:val="28"/>
          <w:lang w:eastAsia="ru-RU"/>
        </w:rPr>
        <w:t>;</w:t>
      </w:r>
    </w:p>
    <w:p w14:paraId="604029D2" w14:textId="77777777" w:rsidR="000711E6" w:rsidRPr="00E47AA9" w:rsidRDefault="000711E6" w:rsidP="000711E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i/>
          <w:sz w:val="28"/>
          <w:szCs w:val="28"/>
        </w:rPr>
        <w:t>КПМ "Поддержка племенного животноводства"</w:t>
      </w:r>
      <w:r w:rsidRPr="00E47AA9">
        <w:rPr>
          <w:rFonts w:ascii="Times New Roman" w:eastAsia="Calibri" w:hAnsi="Times New Roman" w:cs="Times New Roman"/>
          <w:sz w:val="28"/>
          <w:szCs w:val="28"/>
        </w:rPr>
        <w:t xml:space="preserve"> – 16,50 млн рублей. ООО "</w:t>
      </w:r>
      <w:proofErr w:type="spellStart"/>
      <w:r w:rsidRPr="00E47AA9">
        <w:rPr>
          <w:rFonts w:ascii="Times New Roman" w:eastAsia="Calibri" w:hAnsi="Times New Roman" w:cs="Times New Roman"/>
          <w:sz w:val="28"/>
          <w:szCs w:val="28"/>
        </w:rPr>
        <w:t>Племпредприятие</w:t>
      </w:r>
      <w:proofErr w:type="spellEnd"/>
      <w:r w:rsidRPr="00E47AA9">
        <w:rPr>
          <w:rFonts w:ascii="Times New Roman" w:eastAsia="Calibri" w:hAnsi="Times New Roman" w:cs="Times New Roman"/>
          <w:sz w:val="28"/>
          <w:szCs w:val="28"/>
        </w:rPr>
        <w:t>" Приморское" предоставлена субсидия на возмещение части затрат, связанных с развитием племенного животноводства в части искусственного осеменения сельскохозяйственных животных (51,56 тысяч доз семени).</w:t>
      </w:r>
    </w:p>
    <w:p w14:paraId="18914EA9" w14:textId="114A633C"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В рамках</w:t>
      </w:r>
      <w:r w:rsidRPr="00E47AA9">
        <w:rPr>
          <w:rFonts w:ascii="Times New Roman" w:eastAsia="Times New Roman" w:hAnsi="Times New Roman" w:cs="Times New Roman"/>
          <w:b/>
          <w:i/>
          <w:sz w:val="28"/>
          <w:szCs w:val="28"/>
        </w:rPr>
        <w:t xml:space="preserve"> </w:t>
      </w:r>
      <w:r w:rsidRPr="00E47AA9">
        <w:rPr>
          <w:rFonts w:ascii="Times New Roman" w:eastAsia="Times New Roman" w:hAnsi="Times New Roman" w:cs="Times New Roman"/>
          <w:i/>
          <w:sz w:val="28"/>
          <w:szCs w:val="28"/>
        </w:rPr>
        <w:t>КПМ "Поддержка в области ветеринарии"</w:t>
      </w:r>
      <w:r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u w:val="single"/>
        </w:rPr>
        <w:t>Государственной ветеринарной инспекцией Приморского края</w:t>
      </w:r>
      <w:r w:rsidRPr="00E47AA9">
        <w:rPr>
          <w:rFonts w:ascii="Times New Roman" w:eastAsia="Times New Roman" w:hAnsi="Times New Roman" w:cs="Times New Roman"/>
          <w:sz w:val="28"/>
          <w:szCs w:val="28"/>
        </w:rPr>
        <w:t xml:space="preserve"> реализованы мероприятия на сумму 772,78 млн рублей (план </w:t>
      </w:r>
      <w:r w:rsidR="00E02DD2"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rPr>
        <w:t>774,78 млн рублей), из них:</w:t>
      </w:r>
    </w:p>
    <w:p w14:paraId="1983560E"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на обеспечение деятельности ветеринарных станций по борьбе с болезнями животных – 698,38 млн рублей (в полном объеме плановых назначений). Количество проведенных плановых диагностических исследований на особо опасные болезни животных (птиц) и болезни общие для человека и животных (птиц) – 456,7 тысяч единиц. Количество проведенных плановых профилактических вакцинаций животных (птиц) против особо опасных болезней животных и болезней общих для человека и животных (птиц) – 1 100,2 тысяч голов;</w:t>
      </w:r>
    </w:p>
    <w:p w14:paraId="5E891473" w14:textId="61E02062"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субсидии ветеринарным станциям по борьбе с болезнями животных – 39,80 млн рублей (96,59 % от плана 41,21 млн рублей). Направлено на подготовку к аккредитации ветеринарных лабораторий 13,14 млн рублей; на приобретение особо ценного и другого движимого имущества 19,47 млн рублей (9 автомобилей); на внедрение автоматизированной системы учета и регистрации сельскохозяйственных животных "</w:t>
      </w:r>
      <w:proofErr w:type="spellStart"/>
      <w:r w:rsidRPr="00E47AA9">
        <w:rPr>
          <w:rFonts w:ascii="Times New Roman" w:eastAsia="Times New Roman" w:hAnsi="Times New Roman" w:cs="Times New Roman"/>
          <w:sz w:val="28"/>
          <w:szCs w:val="28"/>
        </w:rPr>
        <w:t>RegAgro</w:t>
      </w:r>
      <w:proofErr w:type="spellEnd"/>
      <w:r w:rsidRPr="00E47AA9">
        <w:rPr>
          <w:rFonts w:ascii="Times New Roman" w:eastAsia="Times New Roman" w:hAnsi="Times New Roman" w:cs="Times New Roman"/>
          <w:sz w:val="28"/>
          <w:szCs w:val="28"/>
        </w:rPr>
        <w:t xml:space="preserve">" 7,19 млн рублей. </w:t>
      </w:r>
    </w:p>
    <w:p w14:paraId="4BE276EA" w14:textId="77777777" w:rsidR="000711E6" w:rsidRPr="00E47AA9" w:rsidRDefault="000711E6" w:rsidP="000711E6">
      <w:pPr>
        <w:spacing w:after="0" w:line="240" w:lineRule="auto"/>
        <w:ind w:firstLine="709"/>
        <w:jc w:val="both"/>
        <w:rPr>
          <w:rFonts w:ascii="Times New Roman" w:eastAsia="Times New Roman" w:hAnsi="Times New Roman" w:cs="Times New Roman"/>
          <w:b/>
          <w:sz w:val="28"/>
          <w:szCs w:val="28"/>
        </w:rPr>
      </w:pPr>
      <w:r w:rsidRPr="00E47AA9">
        <w:rPr>
          <w:rFonts w:ascii="Times New Roman" w:eastAsia="Times New Roman" w:hAnsi="Times New Roman" w:cs="Times New Roman"/>
          <w:b/>
          <w:sz w:val="28"/>
          <w:szCs w:val="28"/>
        </w:rPr>
        <w:t>Подпрограмма "Развитие пищевой и перерабатывающей промышленности"</w:t>
      </w:r>
    </w:p>
    <w:p w14:paraId="49F8C181"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u w:val="single"/>
        </w:rPr>
        <w:t>Министерством сельского хозяйства Приморского края</w:t>
      </w:r>
      <w:r w:rsidRPr="00E47AA9">
        <w:rPr>
          <w:rFonts w:ascii="Times New Roman" w:eastAsia="Times New Roman" w:hAnsi="Times New Roman" w:cs="Times New Roman"/>
          <w:sz w:val="28"/>
          <w:szCs w:val="28"/>
        </w:rPr>
        <w:t xml:space="preserve"> расходы исполнены в полном объеме, а именно:</w:t>
      </w:r>
    </w:p>
    <w:p w14:paraId="67244B2D"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i/>
          <w:sz w:val="28"/>
          <w:szCs w:val="28"/>
        </w:rPr>
        <w:t>региональный проект, не входящий в состав национальных проектов "Развитие отраслей агропромышленного комплекса и стимулирование инвестиционной активности"</w:t>
      </w:r>
      <w:r w:rsidRPr="00E47AA9">
        <w:rPr>
          <w:rFonts w:ascii="Times New Roman" w:eastAsia="Times New Roman" w:hAnsi="Times New Roman" w:cs="Times New Roman"/>
          <w:sz w:val="28"/>
          <w:szCs w:val="28"/>
        </w:rPr>
        <w:t xml:space="preserve"> – 34,65 млн рублей, в том числе за счет федерального бюджета – 29,11 млн рублей, краевого бюджета – 5,54 млн рублей.</w:t>
      </w:r>
    </w:p>
    <w:p w14:paraId="7664EAF7"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В рамках поддержки приоритетных направлений агропромышленного комплекса и развитие малых форм хозяйствования (на возмещение части </w:t>
      </w:r>
      <w:r w:rsidRPr="00E47AA9">
        <w:rPr>
          <w:rFonts w:ascii="Times New Roman" w:eastAsia="Times New Roman" w:hAnsi="Times New Roman" w:cs="Times New Roman"/>
          <w:sz w:val="28"/>
          <w:szCs w:val="28"/>
        </w:rPr>
        <w:lastRenderedPageBreak/>
        <w:t>затрат, связанных с переработкой молока сырого крупного рогатого скота, козьего и овечьего на пищевую продукцию) просубсидированы 5 предприятий, переработавших 6,93 тонн молока для производства пищевой продукции;</w:t>
      </w:r>
    </w:p>
    <w:p w14:paraId="1896FBF8"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i/>
          <w:sz w:val="28"/>
          <w:szCs w:val="28"/>
        </w:rPr>
        <w:t>КПМ "Поддержка молокоперерабатывающих предприятий"</w:t>
      </w:r>
      <w:r w:rsidRPr="00E47AA9">
        <w:rPr>
          <w:rFonts w:ascii="Times New Roman" w:eastAsia="Times New Roman" w:hAnsi="Times New Roman" w:cs="Times New Roman"/>
          <w:sz w:val="28"/>
          <w:szCs w:val="28"/>
        </w:rPr>
        <w:t xml:space="preserve"> – 50,00 млн рублей. Предоставлены субсидии 7 организациям Приморского края на возмещение части затрат, связанных с развитием молокоперерабатывающего производства, которыми переработано 6,758 тысяч тонн молока; </w:t>
      </w:r>
    </w:p>
    <w:p w14:paraId="734D24D8"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i/>
          <w:sz w:val="28"/>
          <w:szCs w:val="28"/>
        </w:rPr>
        <w:t>КПМ "Поддержка предприятий хлебопекарной отрасли"</w:t>
      </w:r>
      <w:r w:rsidRPr="00E47AA9">
        <w:rPr>
          <w:rFonts w:ascii="Times New Roman" w:eastAsia="Times New Roman" w:hAnsi="Times New Roman" w:cs="Times New Roman"/>
          <w:sz w:val="28"/>
          <w:szCs w:val="28"/>
        </w:rPr>
        <w:t xml:space="preserve"> – 87,42 млн рублей. Субсидии на возмещение части затрат, связанных с производством социальных сортов хлеба предоставлены 15 хлебопекарным предприятиям. В 2024 году произведено 18,12 тысяч тонн социальных сортов хлеба.</w:t>
      </w:r>
    </w:p>
    <w:p w14:paraId="718B64CE" w14:textId="77777777" w:rsidR="000711E6" w:rsidRPr="00E47AA9" w:rsidRDefault="000711E6" w:rsidP="000711E6">
      <w:pPr>
        <w:spacing w:after="0" w:line="240" w:lineRule="auto"/>
        <w:ind w:firstLine="709"/>
        <w:jc w:val="both"/>
        <w:rPr>
          <w:rFonts w:ascii="Times New Roman" w:eastAsia="Times New Roman" w:hAnsi="Times New Roman" w:cs="Times New Roman"/>
          <w:b/>
          <w:sz w:val="28"/>
          <w:szCs w:val="28"/>
        </w:rPr>
      </w:pPr>
      <w:r w:rsidRPr="00E47AA9">
        <w:rPr>
          <w:rFonts w:ascii="Times New Roman" w:eastAsia="Times New Roman" w:hAnsi="Times New Roman" w:cs="Times New Roman"/>
          <w:b/>
          <w:sz w:val="28"/>
          <w:szCs w:val="28"/>
        </w:rPr>
        <w:t>Подпрограмма "Развитие сельскохозяйственной кооперации и малых форм хозяйствования"</w:t>
      </w:r>
    </w:p>
    <w:p w14:paraId="0BA73A3C" w14:textId="5A544619" w:rsidR="000711E6" w:rsidRPr="00E47AA9" w:rsidRDefault="000711E6" w:rsidP="000711E6">
      <w:pPr>
        <w:spacing w:after="0" w:line="240" w:lineRule="auto"/>
        <w:ind w:firstLine="709"/>
        <w:jc w:val="both"/>
        <w:rPr>
          <w:rFonts w:ascii="Times New Roman" w:eastAsia="Calibri" w:hAnsi="Times New Roman" w:cs="Times New Roman"/>
          <w:sz w:val="28"/>
          <w:szCs w:val="28"/>
        </w:rPr>
      </w:pPr>
      <w:r w:rsidRPr="00E47AA9">
        <w:rPr>
          <w:rFonts w:ascii="Times New Roman" w:eastAsia="Times New Roman" w:hAnsi="Times New Roman" w:cs="Times New Roman"/>
          <w:sz w:val="28"/>
          <w:szCs w:val="28"/>
          <w:u w:val="single"/>
        </w:rPr>
        <w:t>Министерство</w:t>
      </w:r>
      <w:r w:rsidR="009826B5" w:rsidRPr="00E47AA9">
        <w:rPr>
          <w:rFonts w:ascii="Times New Roman" w:eastAsia="Times New Roman" w:hAnsi="Times New Roman" w:cs="Times New Roman"/>
          <w:sz w:val="28"/>
          <w:szCs w:val="28"/>
          <w:u w:val="single"/>
        </w:rPr>
        <w:t>м</w:t>
      </w:r>
      <w:r w:rsidRPr="00E47AA9">
        <w:rPr>
          <w:rFonts w:ascii="Times New Roman" w:eastAsia="Times New Roman" w:hAnsi="Times New Roman" w:cs="Times New Roman"/>
          <w:sz w:val="28"/>
          <w:szCs w:val="28"/>
          <w:u w:val="single"/>
        </w:rPr>
        <w:t xml:space="preserve"> сельского хозяйства Приморского края</w:t>
      </w:r>
      <w:r w:rsidRPr="00E47AA9">
        <w:rPr>
          <w:rFonts w:ascii="Times New Roman" w:eastAsia="Times New Roman" w:hAnsi="Times New Roman" w:cs="Times New Roman"/>
          <w:sz w:val="28"/>
          <w:szCs w:val="28"/>
        </w:rPr>
        <w:t xml:space="preserve"> </w:t>
      </w:r>
      <w:r w:rsidRPr="00E47AA9">
        <w:rPr>
          <w:rFonts w:ascii="Times New Roman" w:eastAsia="Calibri" w:hAnsi="Times New Roman" w:cs="Times New Roman"/>
          <w:sz w:val="28"/>
          <w:szCs w:val="28"/>
        </w:rPr>
        <w:t>реализованы следующие мероприятия:</w:t>
      </w:r>
    </w:p>
    <w:p w14:paraId="2971CBF7" w14:textId="77777777" w:rsidR="000711E6" w:rsidRPr="00E47AA9" w:rsidRDefault="000711E6" w:rsidP="000711E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i/>
          <w:sz w:val="28"/>
          <w:szCs w:val="28"/>
        </w:rPr>
        <w:t xml:space="preserve">региональный проект, не входящий в состав национальных проектов "Развитие отраслей агропромышленного комплекса и стимулирование инвестиционной активности" – </w:t>
      </w:r>
      <w:r w:rsidRPr="00E47AA9">
        <w:rPr>
          <w:rFonts w:ascii="Times New Roman" w:eastAsia="Calibri" w:hAnsi="Times New Roman" w:cs="Times New Roman"/>
          <w:sz w:val="28"/>
          <w:szCs w:val="28"/>
        </w:rPr>
        <w:t xml:space="preserve">112,06 млн рублей (в полном объеме плановых назначений) на </w:t>
      </w:r>
      <w:r w:rsidRPr="00E47AA9">
        <w:rPr>
          <w:rFonts w:ascii="Times New Roman" w:eastAsia="Times New Roman" w:hAnsi="Times New Roman" w:cs="Times New Roman"/>
          <w:sz w:val="28"/>
          <w:szCs w:val="28"/>
          <w:lang w:eastAsia="ru-RU"/>
        </w:rPr>
        <w:t>поддержку приоритетных направлений агропромышленного комплекса и развитие малых форм хозяйствования на финансовое обеспечение затрат</w:t>
      </w:r>
      <w:r w:rsidRPr="00E47AA9">
        <w:rPr>
          <w:rFonts w:ascii="Times New Roman" w:eastAsia="Calibri" w:hAnsi="Times New Roman" w:cs="Times New Roman"/>
          <w:sz w:val="28"/>
          <w:szCs w:val="28"/>
        </w:rPr>
        <w:t>:</w:t>
      </w:r>
    </w:p>
    <w:p w14:paraId="0DAA971A"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по созданию и развитию крестьянских (фермерских) хозяйств – 72,13 млн рублей, в том числе за счет федерального бюджета – 60,59 млн рублей и краевого бюджета – 11,54 млн рублей. Предоставлено 3 гранта; </w:t>
      </w:r>
    </w:p>
    <w:p w14:paraId="64738826"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грантовую поддержку сельскохозяйственных потребительских кооперативов – 39,93 млн рублей. Предоставлено 2 гранта на поддержку сельскохозяйственных потребительских кооперативов (ПСССХПК "Витязь", СППК "Медовое Приморье");</w:t>
      </w:r>
    </w:p>
    <w:p w14:paraId="3F3B137D" w14:textId="77777777" w:rsidR="000711E6" w:rsidRPr="00E47AA9" w:rsidRDefault="000711E6" w:rsidP="000711E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i/>
          <w:sz w:val="28"/>
          <w:szCs w:val="28"/>
        </w:rPr>
        <w:t>КПМ "Поддержка крестьянских (фермерских) хозяйств</w:t>
      </w:r>
      <w:r w:rsidRPr="00E47AA9">
        <w:rPr>
          <w:rFonts w:ascii="Times New Roman" w:eastAsia="Calibri" w:hAnsi="Times New Roman" w:cs="Times New Roman"/>
          <w:sz w:val="28"/>
          <w:szCs w:val="28"/>
        </w:rPr>
        <w:t>" – 152,74 млн рублей, или 99,98 % от плана 152,77 млн рублей:</w:t>
      </w:r>
    </w:p>
    <w:p w14:paraId="58677BA6" w14:textId="47FEB69C" w:rsidR="000711E6" w:rsidRPr="00E47AA9" w:rsidRDefault="000711E6" w:rsidP="000711E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гранты на развитие семейных животноводческих ферм </w:t>
      </w:r>
      <w:r w:rsidRPr="00E47AA9">
        <w:rPr>
          <w:rFonts w:ascii="Times New Roman" w:eastAsia="Calibri" w:hAnsi="Times New Roman" w:cs="Times New Roman"/>
          <w:sz w:val="28"/>
          <w:szCs w:val="28"/>
        </w:rPr>
        <w:softHyphen/>
      </w:r>
      <w:r w:rsidR="009826B5"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предоставлены в полном объеме плановых назначений 17,16 млн рублей на создание 2 семейных ферм;</w:t>
      </w:r>
    </w:p>
    <w:p w14:paraId="14FF75F6"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грант "Соотечественник" на реализацию проектов по вовлечению в сельскохозяйственный оборот выбывших сельскохозяйственных угодий – предоставлено 5 грантов в полном объеме плановых назначений 128,18 млн рублей; </w:t>
      </w:r>
    </w:p>
    <w:p w14:paraId="275D0C00" w14:textId="0A1529CF"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субсидии на возмещение части затрат, связанных с приобретением и установкой нестационарных торговых объектов </w:t>
      </w:r>
      <w:r w:rsidR="00C82FFD"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предоставлены в полном объеме плановых назначений 0,98 млн рублей СПССК "Доступные продукты" на установку 3 нестационарных торговых объектов;</w:t>
      </w:r>
    </w:p>
    <w:p w14:paraId="37A2273B" w14:textId="36DFEAAC"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субсидии индивидуальным пред</w:t>
      </w:r>
      <w:r w:rsidR="00C82FFD" w:rsidRPr="00E47AA9">
        <w:rPr>
          <w:rFonts w:ascii="Times New Roman" w:eastAsia="Times New Roman" w:hAnsi="Times New Roman" w:cs="Times New Roman"/>
          <w:sz w:val="28"/>
          <w:szCs w:val="28"/>
          <w:lang w:eastAsia="ru-RU"/>
        </w:rPr>
        <w:t>принимателям-</w:t>
      </w:r>
      <w:r w:rsidRPr="00E47AA9">
        <w:rPr>
          <w:rFonts w:ascii="Times New Roman" w:eastAsia="Times New Roman" w:hAnsi="Times New Roman" w:cs="Times New Roman"/>
          <w:sz w:val="28"/>
          <w:szCs w:val="28"/>
          <w:lang w:eastAsia="ru-RU"/>
        </w:rPr>
        <w:t xml:space="preserve">соотечественникам на финансовое обеспечение части затрат на приобретение сельскохозяйственной техники и оборудования </w:t>
      </w:r>
      <w:r w:rsidR="00C82FFD"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предоставлены в полном объеме плановых назначений 1,84 млн рублей соотечественнику-старообрядцу на приобретение 4 единиц техники и оборудования с помощью кредитных средств;</w:t>
      </w:r>
    </w:p>
    <w:p w14:paraId="62C7C3FE" w14:textId="303B52C6"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субсидии индивидуальным предпринимателям-соотечественникам на компенсацию части процентной ставки по кредитным договорам на приобретение сельскохозяйственной техники и оборудования – 4,58 млн рублей, или 99,46 % от плана 4,60 млн рублей. Просубсидированы 3 индивидуальных предпринимателя за счет средств краевого бюджета; </w:t>
      </w:r>
    </w:p>
    <w:p w14:paraId="24B6E501"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i/>
          <w:sz w:val="28"/>
          <w:szCs w:val="28"/>
        </w:rPr>
        <w:t xml:space="preserve">КПМ "Информационное обеспечение агропромышленного комплекса" – </w:t>
      </w:r>
      <w:r w:rsidRPr="00E47AA9">
        <w:rPr>
          <w:rFonts w:ascii="Times New Roman" w:eastAsia="Calibri" w:hAnsi="Times New Roman" w:cs="Times New Roman"/>
          <w:sz w:val="28"/>
          <w:szCs w:val="28"/>
        </w:rPr>
        <w:t xml:space="preserve">2704,28 млн рублей в полном объеме плановых назначений на </w:t>
      </w:r>
      <w:r w:rsidRPr="00E47AA9">
        <w:rPr>
          <w:rFonts w:ascii="Times New Roman" w:eastAsia="Times New Roman" w:hAnsi="Times New Roman" w:cs="Times New Roman"/>
          <w:sz w:val="28"/>
          <w:szCs w:val="28"/>
          <w:lang w:eastAsia="ru-RU"/>
        </w:rPr>
        <w:t xml:space="preserve">мероприятия по оказанию консультационной помощи. В Уссурийском городском округе 19-20 сентября 2024 года на базе КГБПОУ "Уссурийский агропромышленный колледж" прошло </w:t>
      </w:r>
      <w:proofErr w:type="spellStart"/>
      <w:r w:rsidRPr="00E47AA9">
        <w:rPr>
          <w:rFonts w:ascii="Times New Roman" w:eastAsia="Times New Roman" w:hAnsi="Times New Roman" w:cs="Times New Roman"/>
          <w:sz w:val="28"/>
          <w:szCs w:val="28"/>
          <w:lang w:eastAsia="ru-RU"/>
        </w:rPr>
        <w:t>конгрессно</w:t>
      </w:r>
      <w:proofErr w:type="spellEnd"/>
      <w:r w:rsidRPr="00E47AA9">
        <w:rPr>
          <w:rFonts w:ascii="Times New Roman" w:eastAsia="Times New Roman" w:hAnsi="Times New Roman" w:cs="Times New Roman"/>
          <w:sz w:val="28"/>
          <w:szCs w:val="28"/>
          <w:lang w:eastAsia="ru-RU"/>
        </w:rPr>
        <w:t xml:space="preserve">-выставочное мероприятие производственный семинар-совещание "День поля-2024". </w:t>
      </w:r>
    </w:p>
    <w:p w14:paraId="177C2943" w14:textId="77777777" w:rsidR="000711E6" w:rsidRPr="00E47AA9" w:rsidRDefault="000711E6" w:rsidP="000711E6">
      <w:pPr>
        <w:spacing w:after="0" w:line="240" w:lineRule="auto"/>
        <w:ind w:firstLine="709"/>
        <w:jc w:val="both"/>
        <w:rPr>
          <w:rFonts w:ascii="Times New Roman" w:eastAsia="Times New Roman" w:hAnsi="Times New Roman" w:cs="Times New Roman"/>
          <w:b/>
          <w:sz w:val="28"/>
          <w:szCs w:val="28"/>
        </w:rPr>
      </w:pPr>
      <w:r w:rsidRPr="00E47AA9">
        <w:rPr>
          <w:rFonts w:ascii="Times New Roman" w:eastAsia="Times New Roman" w:hAnsi="Times New Roman" w:cs="Times New Roman"/>
          <w:b/>
          <w:sz w:val="28"/>
          <w:szCs w:val="28"/>
        </w:rPr>
        <w:t>Подпрограмма "Развитие мелиорации сельскохозяйственных земель"</w:t>
      </w:r>
    </w:p>
    <w:p w14:paraId="1147B746" w14:textId="77777777" w:rsidR="000711E6" w:rsidRPr="00E47AA9" w:rsidRDefault="000711E6" w:rsidP="000711E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В рамках подпрограммы реализуются: </w:t>
      </w:r>
    </w:p>
    <w:p w14:paraId="074EBA4C" w14:textId="77777777" w:rsidR="000711E6" w:rsidRPr="00E47AA9" w:rsidRDefault="000711E6" w:rsidP="000711E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i/>
          <w:sz w:val="28"/>
          <w:szCs w:val="28"/>
        </w:rPr>
        <w:t>региональный проект, не входящий в состав национальных проектов "Развитие отраслей агропромышленного комплекса и стимулирование инвестиционной активности"</w:t>
      </w:r>
      <w:r w:rsidRPr="00E47AA9">
        <w:rPr>
          <w:rFonts w:ascii="Times New Roman" w:eastAsia="Calibri" w:hAnsi="Times New Roman" w:cs="Times New Roman"/>
          <w:sz w:val="28"/>
          <w:szCs w:val="28"/>
        </w:rPr>
        <w:t>. За отчетный год РПНВ исполнен в сумме 77,73 млн рублей, или 92,55 % от плана 83,99 млн рублей, в том числе:</w:t>
      </w:r>
    </w:p>
    <w:p w14:paraId="724D9C1F" w14:textId="56C1B81F" w:rsidR="000711E6" w:rsidRPr="00E47AA9" w:rsidRDefault="000711E6" w:rsidP="000711E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sz w:val="28"/>
          <w:szCs w:val="28"/>
          <w:u w:val="single"/>
        </w:rPr>
        <w:t>министерством сельского хозяйства Приморского края</w:t>
      </w:r>
      <w:r w:rsidRPr="00E47AA9">
        <w:rPr>
          <w:rFonts w:ascii="Times New Roman" w:eastAsia="Calibri" w:hAnsi="Times New Roman" w:cs="Times New Roman"/>
          <w:sz w:val="28"/>
          <w:szCs w:val="28"/>
        </w:rPr>
        <w:t xml:space="preserve"> – 69,68 млн рублей, или 92,46 % от плановых назначений 75,36 млн рублей. </w:t>
      </w:r>
      <w:r w:rsidRPr="00E47AA9">
        <w:rPr>
          <w:rFonts w:ascii="Times New Roman" w:eastAsia="Times New Roman" w:hAnsi="Times New Roman" w:cs="Times New Roman"/>
          <w:sz w:val="28"/>
          <w:szCs w:val="28"/>
          <w:lang w:eastAsia="ru-RU"/>
        </w:rPr>
        <w:t xml:space="preserve">Просубсидировано 4 </w:t>
      </w:r>
      <w:proofErr w:type="spellStart"/>
      <w:r w:rsidRPr="00E47AA9">
        <w:rPr>
          <w:rFonts w:ascii="Times New Roman" w:eastAsia="Times New Roman" w:hAnsi="Times New Roman" w:cs="Times New Roman"/>
          <w:sz w:val="28"/>
          <w:szCs w:val="28"/>
          <w:lang w:eastAsia="ru-RU"/>
        </w:rPr>
        <w:t>сельхозтоваропроизводителя</w:t>
      </w:r>
      <w:proofErr w:type="spellEnd"/>
      <w:r w:rsidR="00651A0B" w:rsidRPr="00E47AA9">
        <w:rPr>
          <w:rFonts w:ascii="Times New Roman" w:eastAsia="Times New Roman" w:hAnsi="Times New Roman" w:cs="Times New Roman"/>
          <w:sz w:val="28"/>
          <w:szCs w:val="28"/>
          <w:lang w:eastAsia="ru-RU"/>
        </w:rPr>
        <w:t xml:space="preserve"> для</w:t>
      </w:r>
      <w:r w:rsidRPr="00E47AA9">
        <w:rPr>
          <w:rFonts w:ascii="Times New Roman" w:eastAsia="Times New Roman" w:hAnsi="Times New Roman" w:cs="Times New Roman"/>
          <w:sz w:val="28"/>
          <w:szCs w:val="28"/>
          <w:lang w:eastAsia="ru-RU"/>
        </w:rPr>
        <w:t xml:space="preserve"> проведени</w:t>
      </w:r>
      <w:r w:rsidR="00651A0B" w:rsidRPr="00E47AA9">
        <w:rPr>
          <w:rFonts w:ascii="Times New Roman" w:eastAsia="Times New Roman" w:hAnsi="Times New Roman" w:cs="Times New Roman"/>
          <w:sz w:val="28"/>
          <w:szCs w:val="28"/>
          <w:lang w:eastAsia="ru-RU"/>
        </w:rPr>
        <w:t>я</w:t>
      </w:r>
      <w:r w:rsidRPr="00E47AA9">
        <w:rPr>
          <w:rFonts w:ascii="Times New Roman" w:eastAsia="Times New Roman" w:hAnsi="Times New Roman" w:cs="Times New Roman"/>
          <w:sz w:val="28"/>
          <w:szCs w:val="28"/>
          <w:lang w:eastAsia="ru-RU"/>
        </w:rPr>
        <w:t xml:space="preserve"> </w:t>
      </w:r>
      <w:proofErr w:type="spellStart"/>
      <w:r w:rsidRPr="00E47AA9">
        <w:rPr>
          <w:rFonts w:ascii="Times New Roman" w:eastAsia="Times New Roman" w:hAnsi="Times New Roman" w:cs="Times New Roman"/>
          <w:sz w:val="28"/>
          <w:szCs w:val="28"/>
          <w:lang w:eastAsia="ru-RU"/>
        </w:rPr>
        <w:t>культуртехнических</w:t>
      </w:r>
      <w:proofErr w:type="spellEnd"/>
      <w:r w:rsidRPr="00E47AA9">
        <w:rPr>
          <w:rFonts w:ascii="Times New Roman" w:eastAsia="Times New Roman" w:hAnsi="Times New Roman" w:cs="Times New Roman"/>
          <w:sz w:val="28"/>
          <w:szCs w:val="28"/>
          <w:lang w:eastAsia="ru-RU"/>
        </w:rPr>
        <w:t xml:space="preserve"> мероприятий на площади 889,61 га на сумму 11,00 млн рублей, а также 1 сельхозпредприяти</w:t>
      </w:r>
      <w:r w:rsidR="005643BA" w:rsidRPr="00E47AA9">
        <w:rPr>
          <w:rFonts w:ascii="Times New Roman" w:eastAsia="Times New Roman" w:hAnsi="Times New Roman" w:cs="Times New Roman"/>
          <w:sz w:val="28"/>
          <w:szCs w:val="28"/>
          <w:lang w:eastAsia="ru-RU"/>
        </w:rPr>
        <w:t>е</w:t>
      </w:r>
      <w:r w:rsidRPr="00E47AA9">
        <w:rPr>
          <w:rFonts w:ascii="Times New Roman" w:eastAsia="Times New Roman" w:hAnsi="Times New Roman" w:cs="Times New Roman"/>
          <w:sz w:val="28"/>
          <w:szCs w:val="28"/>
          <w:lang w:eastAsia="ru-RU"/>
        </w:rPr>
        <w:t xml:space="preserve"> </w:t>
      </w:r>
      <w:r w:rsidR="005643BA" w:rsidRPr="00E47AA9">
        <w:rPr>
          <w:rFonts w:ascii="Times New Roman" w:eastAsia="Times New Roman" w:hAnsi="Times New Roman" w:cs="Times New Roman"/>
          <w:sz w:val="28"/>
          <w:szCs w:val="28"/>
          <w:lang w:eastAsia="ru-RU"/>
        </w:rPr>
        <w:t xml:space="preserve">на </w:t>
      </w:r>
      <w:r w:rsidRPr="00E47AA9">
        <w:rPr>
          <w:rFonts w:ascii="Times New Roman" w:eastAsia="Times New Roman" w:hAnsi="Times New Roman" w:cs="Times New Roman"/>
          <w:sz w:val="28"/>
          <w:szCs w:val="28"/>
          <w:lang w:eastAsia="ru-RU"/>
        </w:rPr>
        <w:t>мероприятия в области известкования кислых почв на пашне площадью 7021,79 га на сумму 58,68 млн рублей;</w:t>
      </w:r>
    </w:p>
    <w:p w14:paraId="266B390A" w14:textId="6EE33B63"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u w:val="single"/>
        </w:rPr>
        <w:t>министерством имущественных и земельных отношений Приморского края</w:t>
      </w:r>
      <w:r w:rsidRPr="00E47AA9">
        <w:rPr>
          <w:rFonts w:ascii="Times New Roman" w:eastAsia="Times New Roman" w:hAnsi="Times New Roman" w:cs="Times New Roman"/>
          <w:sz w:val="28"/>
          <w:szCs w:val="28"/>
        </w:rPr>
        <w:t xml:space="preserve"> – 8,05 млн рублей, или 93,30 % от плана 8,63 млн рублей</w:t>
      </w:r>
      <w:r w:rsidR="00C82FFD"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направлено на подготовку проектов межевания земельных участков и на проведение кадастровых работ;</w:t>
      </w:r>
    </w:p>
    <w:p w14:paraId="7A77FE22" w14:textId="77777777" w:rsidR="000711E6" w:rsidRPr="00E47AA9" w:rsidRDefault="000711E6" w:rsidP="000711E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i/>
          <w:sz w:val="28"/>
          <w:szCs w:val="28"/>
        </w:rPr>
        <w:t>КПМ "Обеспечение функционирования мелиоративных систем"</w:t>
      </w:r>
      <w:r w:rsidRPr="00E47AA9">
        <w:rPr>
          <w:rFonts w:ascii="Times New Roman" w:eastAsia="Calibri" w:hAnsi="Times New Roman" w:cs="Times New Roman"/>
          <w:sz w:val="28"/>
          <w:szCs w:val="28"/>
        </w:rPr>
        <w:t xml:space="preserve"> – 13,02 млн рублей, или 39,79 % от плана 32,74 млн рублей, в том числе: </w:t>
      </w:r>
    </w:p>
    <w:p w14:paraId="685D65D2"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проведение агрохимического обследования (мониторинг) – 7500,00 млн рублей (в полном объеме плановых назначений). Заключен электронный контракт с ФГБУ "</w:t>
      </w:r>
      <w:proofErr w:type="spellStart"/>
      <w:r w:rsidRPr="00E47AA9">
        <w:rPr>
          <w:rFonts w:ascii="Times New Roman" w:eastAsia="Times New Roman" w:hAnsi="Times New Roman" w:cs="Times New Roman"/>
          <w:sz w:val="28"/>
          <w:szCs w:val="28"/>
          <w:lang w:eastAsia="ru-RU"/>
        </w:rPr>
        <w:t>Россельхозцентр</w:t>
      </w:r>
      <w:proofErr w:type="spellEnd"/>
      <w:r w:rsidRPr="00E47AA9">
        <w:rPr>
          <w:rFonts w:ascii="Times New Roman" w:eastAsia="Times New Roman" w:hAnsi="Times New Roman" w:cs="Times New Roman"/>
          <w:sz w:val="28"/>
          <w:szCs w:val="28"/>
          <w:lang w:eastAsia="ru-RU"/>
        </w:rPr>
        <w:t>". Работы выполнены в полном объеме, обследование проведено на площади 50531,79 га;</w:t>
      </w:r>
    </w:p>
    <w:p w14:paraId="621812B6"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проведение работ по землеустройству земель сельскохозяйственного назначения – расходы не исполнены в планируемом объеме 8,70 млн рублей. По результатам конкурсного отбора принято постановление Правительства </w:t>
      </w:r>
      <w:r w:rsidRPr="00E47AA9">
        <w:rPr>
          <w:rFonts w:ascii="Times New Roman" w:eastAsia="Times New Roman" w:hAnsi="Times New Roman" w:cs="Times New Roman"/>
          <w:sz w:val="28"/>
          <w:szCs w:val="28"/>
          <w:lang w:eastAsia="ru-RU"/>
        </w:rPr>
        <w:lastRenderedPageBreak/>
        <w:t>Приморского края от 31.07.2024 №550-пп</w:t>
      </w:r>
      <w:r w:rsidRPr="00E47AA9">
        <w:rPr>
          <w:rFonts w:ascii="Times New Roman" w:eastAsia="Times New Roman" w:hAnsi="Times New Roman" w:cs="Times New Roman"/>
          <w:sz w:val="28"/>
          <w:szCs w:val="28"/>
          <w:vertAlign w:val="superscript"/>
          <w:lang w:eastAsia="ru-RU"/>
        </w:rPr>
        <w:footnoteReference w:id="79"/>
      </w:r>
      <w:r w:rsidRPr="00E47AA9">
        <w:rPr>
          <w:rFonts w:ascii="Times New Roman" w:eastAsia="Times New Roman" w:hAnsi="Times New Roman" w:cs="Times New Roman"/>
          <w:sz w:val="28"/>
          <w:szCs w:val="28"/>
          <w:lang w:eastAsia="ru-RU"/>
        </w:rPr>
        <w:t>. Заключено соглашение с администрацией Дальнереченского городского округа. По результатам аукциона заключен контракт с подрядчиком, который в последствии расторгнут по соглашению сторон. Деньги не освоены и возвращены в бюджет;</w:t>
      </w:r>
    </w:p>
    <w:p w14:paraId="5092BFC2"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проведение работ по межеванию, паспортизации и постановке на кадастровый учет земельного участка, мелиоративных систем и отдельно стоящих гидротехнических сооружений – 5,52 млн рублей, или 33,41 % от плана (16,54 млн рублей). Заключены соглашения на проведение работ по паспортизации 10 мелиоративных систем с администрациями муниципальных округов: Анучинского, Красноармейского, Партизанского и Хорольского, а также Лесозаводского городского округа в соответствии с постановлением Правительства Приморского края от 20.05.2024 № 327-пп</w:t>
      </w:r>
      <w:r w:rsidRPr="00E47AA9">
        <w:rPr>
          <w:rFonts w:ascii="Times New Roman" w:eastAsia="Times New Roman" w:hAnsi="Times New Roman" w:cs="Times New Roman"/>
          <w:sz w:val="28"/>
          <w:szCs w:val="28"/>
          <w:vertAlign w:val="superscript"/>
          <w:lang w:eastAsia="ru-RU"/>
        </w:rPr>
        <w:footnoteReference w:id="80"/>
      </w:r>
      <w:r w:rsidRPr="00E47AA9">
        <w:rPr>
          <w:rFonts w:ascii="Times New Roman" w:eastAsia="Times New Roman" w:hAnsi="Times New Roman" w:cs="Times New Roman"/>
          <w:sz w:val="28"/>
          <w:szCs w:val="28"/>
          <w:lang w:eastAsia="ru-RU"/>
        </w:rPr>
        <w:t xml:space="preserve">. В связи с увеличением бюджетных ассигнований на 2024 год проведен дополнительный конкурсный отбор. Дополнительно субсидии предоставлены Михайловскому и </w:t>
      </w:r>
      <w:proofErr w:type="spellStart"/>
      <w:r w:rsidRPr="00E47AA9">
        <w:rPr>
          <w:rFonts w:ascii="Times New Roman" w:eastAsia="Times New Roman" w:hAnsi="Times New Roman" w:cs="Times New Roman"/>
          <w:sz w:val="28"/>
          <w:szCs w:val="28"/>
          <w:lang w:eastAsia="ru-RU"/>
        </w:rPr>
        <w:t>Яковлевскому</w:t>
      </w:r>
      <w:proofErr w:type="spellEnd"/>
      <w:r w:rsidRPr="00E47AA9">
        <w:rPr>
          <w:rFonts w:ascii="Times New Roman" w:eastAsia="Times New Roman" w:hAnsi="Times New Roman" w:cs="Times New Roman"/>
          <w:sz w:val="28"/>
          <w:szCs w:val="28"/>
          <w:lang w:eastAsia="ru-RU"/>
        </w:rPr>
        <w:t xml:space="preserve"> муниципальным округам. Неосвоенный остаток сложился в связи с экономией по результатам торгов муниципальными образованиями.</w:t>
      </w:r>
    </w:p>
    <w:p w14:paraId="28D3680B"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b/>
          <w:sz w:val="28"/>
          <w:szCs w:val="28"/>
        </w:rPr>
        <w:t>Подпрограмма "Создание системы поддержки фермеров и развитие сельской кооперации"</w:t>
      </w:r>
      <w:r w:rsidRPr="00E47AA9">
        <w:rPr>
          <w:rFonts w:ascii="Times New Roman" w:eastAsia="Times New Roman" w:hAnsi="Times New Roman" w:cs="Times New Roman"/>
          <w:sz w:val="28"/>
          <w:szCs w:val="28"/>
        </w:rPr>
        <w:t xml:space="preserve"> </w:t>
      </w:r>
    </w:p>
    <w:p w14:paraId="514B3D6B"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Расходы на мероприятия </w:t>
      </w:r>
      <w:r w:rsidRPr="00E47AA9">
        <w:rPr>
          <w:rFonts w:ascii="Times New Roman" w:eastAsia="Times New Roman" w:hAnsi="Times New Roman" w:cs="Times New Roman"/>
          <w:i/>
          <w:sz w:val="28"/>
          <w:szCs w:val="28"/>
        </w:rPr>
        <w:t>РП "Акселерация субъектов малого и среднего предпринимательства</w:t>
      </w:r>
      <w:r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i/>
          <w:sz w:val="28"/>
          <w:szCs w:val="28"/>
        </w:rPr>
        <w:t xml:space="preserve">входящий в состав национального проекта "Малое и среднее предпринимательство и поддержка индивидуальной предпринимательской инициативы" </w:t>
      </w:r>
      <w:r w:rsidRPr="00E47AA9">
        <w:rPr>
          <w:rFonts w:ascii="Times New Roman" w:eastAsia="Times New Roman" w:hAnsi="Times New Roman" w:cs="Times New Roman"/>
          <w:sz w:val="28"/>
          <w:szCs w:val="28"/>
          <w:u w:val="single"/>
        </w:rPr>
        <w:t>министерством сельского хозяйства Приморского края</w:t>
      </w:r>
      <w:r w:rsidRPr="00E47AA9">
        <w:rPr>
          <w:rFonts w:ascii="Times New Roman" w:eastAsia="Times New Roman" w:hAnsi="Times New Roman" w:cs="Times New Roman"/>
          <w:i/>
          <w:sz w:val="28"/>
          <w:szCs w:val="28"/>
        </w:rPr>
        <w:t xml:space="preserve"> </w:t>
      </w:r>
      <w:r w:rsidRPr="00E47AA9">
        <w:rPr>
          <w:rFonts w:ascii="Times New Roman" w:eastAsia="Times New Roman" w:hAnsi="Times New Roman" w:cs="Times New Roman"/>
          <w:sz w:val="28"/>
          <w:szCs w:val="28"/>
        </w:rPr>
        <w:t>произведены в полном объеме плановых назначений 99,58 млн рублей. Подробная информация представлена в приложении 3 к Заключению.</w:t>
      </w:r>
    </w:p>
    <w:p w14:paraId="4E802064" w14:textId="77777777" w:rsidR="000711E6" w:rsidRPr="00E47AA9" w:rsidRDefault="000711E6" w:rsidP="000711E6">
      <w:pPr>
        <w:spacing w:after="0" w:line="240" w:lineRule="auto"/>
        <w:ind w:firstLine="709"/>
        <w:jc w:val="both"/>
        <w:rPr>
          <w:rFonts w:ascii="Times New Roman" w:eastAsia="Times New Roman" w:hAnsi="Times New Roman" w:cs="Times New Roman"/>
          <w:b/>
          <w:sz w:val="28"/>
          <w:szCs w:val="28"/>
        </w:rPr>
      </w:pPr>
      <w:r w:rsidRPr="00E47AA9">
        <w:rPr>
          <w:rFonts w:ascii="Times New Roman" w:eastAsia="Times New Roman" w:hAnsi="Times New Roman" w:cs="Times New Roman"/>
          <w:b/>
          <w:sz w:val="28"/>
          <w:szCs w:val="28"/>
        </w:rPr>
        <w:t>Подпрограмма "Комплексное развитие сельских территорий"</w:t>
      </w:r>
    </w:p>
    <w:p w14:paraId="24677319" w14:textId="49F9F98E" w:rsidR="000711E6" w:rsidRPr="00E47AA9" w:rsidRDefault="000711E6" w:rsidP="000711E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Региональный проект, не входящий в состав национальных проектов "Комплексное развитие сельских территорий Приморского края"</w:t>
      </w:r>
      <w:r w:rsidR="00C82FFD" w:rsidRPr="00E47AA9">
        <w:rPr>
          <w:rFonts w:ascii="Times New Roman" w:eastAsia="Times New Roman" w:hAnsi="Times New Roman" w:cs="Times New Roman"/>
          <w:i/>
          <w:sz w:val="28"/>
          <w:szCs w:val="28"/>
          <w:lang w:eastAsia="ru-RU"/>
        </w:rPr>
        <w:t>,</w:t>
      </w:r>
      <w:r w:rsidRPr="00E47AA9">
        <w:rPr>
          <w:rFonts w:ascii="Times New Roman" w:eastAsia="Times New Roman" w:hAnsi="Times New Roman" w:cs="Times New Roman"/>
          <w:i/>
          <w:sz w:val="28"/>
          <w:szCs w:val="28"/>
          <w:lang w:eastAsia="ru-RU"/>
        </w:rPr>
        <w:t xml:space="preserve"> </w:t>
      </w:r>
      <w:r w:rsidRPr="00E47AA9">
        <w:rPr>
          <w:rFonts w:ascii="Times New Roman" w:eastAsia="Times New Roman" w:hAnsi="Times New Roman" w:cs="Times New Roman"/>
          <w:sz w:val="28"/>
          <w:szCs w:val="28"/>
          <w:lang w:eastAsia="ru-RU"/>
        </w:rPr>
        <w:t>исполнен в сумме 385,86 млн рублей, или 99,17 % от плана 389,10 млн рублей, в том числе:</w:t>
      </w:r>
    </w:p>
    <w:p w14:paraId="2FB74699"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u w:val="single"/>
          <w:lang w:eastAsia="ru-RU"/>
        </w:rPr>
        <w:t>министерством сельского хозяйства Приморского края</w:t>
      </w:r>
      <w:r w:rsidRPr="00E47AA9">
        <w:rPr>
          <w:rFonts w:ascii="Times New Roman" w:eastAsia="Times New Roman" w:hAnsi="Times New Roman" w:cs="Times New Roman"/>
          <w:sz w:val="28"/>
          <w:szCs w:val="28"/>
          <w:lang w:eastAsia="ru-RU"/>
        </w:rPr>
        <w:t xml:space="preserve"> – в полном объеме плановых назначений 8,12 млн рублей на:</w:t>
      </w:r>
    </w:p>
    <w:p w14:paraId="251C1E1F"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обеспечение комплексного развития сельских территорий (социальные выплаты на строительство (приобретение) жилья гражданам, проживающим на сельских территориях Приморского края) – 3,99 млн рублей. Выдано свидетельство на предоставление субсидии 1 жителю сельской местности. Федеральные средства доведены до получателя субсидии в полном объеме. Начато строительство жилья; </w:t>
      </w:r>
    </w:p>
    <w:p w14:paraId="42BC4A20"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обеспечение комплексного развития сельских территорий (на реализацию мероприятий по благоустройству сельских территорий) – 4,13 млн рублей. Принято постановление Правительства Приморского края от 18.01.2024 № 17-пп</w:t>
      </w:r>
      <w:r w:rsidRPr="00E47AA9">
        <w:rPr>
          <w:rFonts w:ascii="Times New Roman" w:eastAsia="Times New Roman" w:hAnsi="Times New Roman" w:cs="Times New Roman"/>
          <w:sz w:val="28"/>
          <w:szCs w:val="28"/>
          <w:vertAlign w:val="superscript"/>
          <w:lang w:eastAsia="ru-RU"/>
        </w:rPr>
        <w:footnoteReference w:id="81"/>
      </w:r>
      <w:r w:rsidRPr="00E47AA9">
        <w:rPr>
          <w:rFonts w:ascii="Times New Roman" w:eastAsia="Times New Roman" w:hAnsi="Times New Roman" w:cs="Times New Roman"/>
          <w:sz w:val="28"/>
          <w:szCs w:val="28"/>
          <w:lang w:eastAsia="ru-RU"/>
        </w:rPr>
        <w:t xml:space="preserve">. Заключены соглашения с муниципалитетами, проведены аукционные процедуры, определены подрядчики, заключены контракты на ремонт тротуаров в пгт </w:t>
      </w:r>
      <w:proofErr w:type="spellStart"/>
      <w:r w:rsidRPr="00E47AA9">
        <w:rPr>
          <w:rFonts w:ascii="Times New Roman" w:eastAsia="Times New Roman" w:hAnsi="Times New Roman" w:cs="Times New Roman"/>
          <w:sz w:val="28"/>
          <w:szCs w:val="28"/>
          <w:lang w:eastAsia="ru-RU"/>
        </w:rPr>
        <w:t>Лучегорск</w:t>
      </w:r>
      <w:proofErr w:type="spellEnd"/>
      <w:r w:rsidRPr="00E47AA9">
        <w:rPr>
          <w:rFonts w:ascii="Times New Roman" w:eastAsia="Times New Roman" w:hAnsi="Times New Roman" w:cs="Times New Roman"/>
          <w:sz w:val="28"/>
          <w:szCs w:val="28"/>
          <w:lang w:eastAsia="ru-RU"/>
        </w:rPr>
        <w:t xml:space="preserve"> и установку спортивной площадки в с. Анна. По всем объектам работы завершены в срок; </w:t>
      </w:r>
    </w:p>
    <w:p w14:paraId="4C7496AD"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u w:val="single"/>
        </w:rPr>
        <w:t xml:space="preserve">министерством культуры и архивного дела Приморского края </w:t>
      </w:r>
      <w:r w:rsidRPr="00E47AA9">
        <w:rPr>
          <w:rFonts w:ascii="Times New Roman" w:eastAsia="Times New Roman" w:hAnsi="Times New Roman" w:cs="Times New Roman"/>
          <w:sz w:val="28"/>
          <w:szCs w:val="28"/>
        </w:rPr>
        <w:t>– 44,33 млн рублей (в полном объеме плановых назначений). В рамках мероприятия по строительству и реконструкции (модернизации), капитального ремонта объектов муниципальных организаций культурно-досугового типа, приобретения оборудования и транспортных средств выполнено следующее:</w:t>
      </w:r>
    </w:p>
    <w:p w14:paraId="2FC537A7" w14:textId="77777777" w:rsidR="000711E6" w:rsidRPr="00E47AA9" w:rsidRDefault="000711E6" w:rsidP="000711E6">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в пос. Западный завершено строительство и введен в эксплуатацию сельский дом культуры на 100 мест; </w:t>
      </w:r>
    </w:p>
    <w:p w14:paraId="3BF4BC1D" w14:textId="77777777" w:rsidR="000711E6" w:rsidRPr="00E47AA9" w:rsidRDefault="000711E6" w:rsidP="000711E6">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в селе Соколовка завершен капитальный ремонт здания сельского клуба; приобретен автобус, а также оборудование, оргтехника и мебель; </w:t>
      </w:r>
    </w:p>
    <w:p w14:paraId="36E17216" w14:textId="77777777"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u w:val="single"/>
        </w:rPr>
      </w:pPr>
      <w:r w:rsidRPr="00E47AA9">
        <w:rPr>
          <w:rFonts w:ascii="Times New Roman" w:eastAsia="Times New Roman" w:hAnsi="Times New Roman" w:cs="Times New Roman"/>
          <w:sz w:val="28"/>
          <w:szCs w:val="28"/>
          <w:u w:val="single"/>
        </w:rPr>
        <w:t>министерством образования Приморского края:</w:t>
      </w:r>
    </w:p>
    <w:p w14:paraId="01E28FC3" w14:textId="66E3F03A" w:rsidR="000711E6" w:rsidRPr="00E47AA9" w:rsidRDefault="000711E6" w:rsidP="000711E6">
      <w:pPr>
        <w:autoSpaceDE w:val="0"/>
        <w:autoSpaceDN w:val="0"/>
        <w:adjustRightInd w:val="0"/>
        <w:spacing w:after="0" w:line="240" w:lineRule="auto"/>
        <w:ind w:firstLine="709"/>
        <w:jc w:val="both"/>
        <w:rPr>
          <w:rFonts w:ascii="Times New Roman" w:hAnsi="Times New Roman" w:cs="Times New Roman"/>
          <w:i/>
          <w:sz w:val="28"/>
          <w:szCs w:val="28"/>
        </w:rPr>
      </w:pPr>
      <w:r w:rsidRPr="00E47AA9">
        <w:rPr>
          <w:rFonts w:ascii="Times New Roman" w:eastAsia="Times New Roman" w:hAnsi="Times New Roman" w:cs="Times New Roman"/>
          <w:sz w:val="28"/>
          <w:szCs w:val="28"/>
        </w:rPr>
        <w:t xml:space="preserve">15,10 млн рублей, или 95,38 % (план </w:t>
      </w:r>
      <w:r w:rsidR="009C59FC"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rPr>
        <w:t xml:space="preserve">15,83 млн рублей) </w:t>
      </w:r>
      <w:r w:rsidR="002F3A75"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на строительство и реконструкцию (модернизацию), капитальный ремонт объектов государственных или муниципальных дошкольных образовательных организаций. Средства субсидии предоставлены в рамках соглашения </w:t>
      </w:r>
      <w:r w:rsidRPr="00E47AA9">
        <w:rPr>
          <w:rFonts w:ascii="Times New Roman" w:hAnsi="Times New Roman" w:cs="Times New Roman"/>
          <w:sz w:val="28"/>
          <w:szCs w:val="28"/>
        </w:rPr>
        <w:t xml:space="preserve">между администрацией </w:t>
      </w:r>
      <w:proofErr w:type="spellStart"/>
      <w:r w:rsidRPr="00E47AA9">
        <w:rPr>
          <w:rFonts w:ascii="Times New Roman" w:hAnsi="Times New Roman" w:cs="Times New Roman"/>
          <w:sz w:val="28"/>
          <w:szCs w:val="28"/>
        </w:rPr>
        <w:t>Надеждинского</w:t>
      </w:r>
      <w:proofErr w:type="spellEnd"/>
      <w:r w:rsidRPr="00E47AA9">
        <w:rPr>
          <w:rFonts w:ascii="Times New Roman" w:hAnsi="Times New Roman" w:cs="Times New Roman"/>
          <w:sz w:val="28"/>
          <w:szCs w:val="28"/>
        </w:rPr>
        <w:t xml:space="preserve"> муниципального района и министерством образования Приморского края от 13.02.2024 для оплаты инвестиционного платежа согласно план</w:t>
      </w:r>
      <w:r w:rsidR="002F3A75" w:rsidRPr="00E47AA9">
        <w:rPr>
          <w:rFonts w:ascii="Times New Roman" w:hAnsi="Times New Roman" w:cs="Times New Roman"/>
          <w:sz w:val="28"/>
          <w:szCs w:val="28"/>
        </w:rPr>
        <w:t>у</w:t>
      </w:r>
      <w:r w:rsidRPr="00E47AA9">
        <w:rPr>
          <w:rFonts w:ascii="Times New Roman" w:hAnsi="Times New Roman" w:cs="Times New Roman"/>
          <w:sz w:val="28"/>
          <w:szCs w:val="28"/>
        </w:rPr>
        <w:t xml:space="preserve">-графику концессионного соглашения по финансированию, проектированию, строительству и эксплуатации объекта образования детский сад на 240 мест в п. Зима Южная. В июле 2023 года детский сад сдан в эксплуатацию и используется по назначению. </w:t>
      </w:r>
      <w:r w:rsidRPr="00E47AA9">
        <w:rPr>
          <w:rFonts w:ascii="Times New Roman" w:hAnsi="Times New Roman" w:cs="Times New Roman"/>
          <w:i/>
          <w:sz w:val="28"/>
          <w:szCs w:val="28"/>
        </w:rPr>
        <w:t>Контрольно-счетной палатой в 2024 году проведено экспертно-аналитическое мероприятие "Анализ реализации концессионных соглашений в отношении объектов социальной инфраструктуры (здравоохранения, в том числе объекты, предназначенные для санаторно-курортного лечения, образования, культуры, спорта, объекты, используемые для организации отдыха граждан и туризма, иные объекты социально-культурного назначения)" (проверяемый период 2022-2023 годы и истекший период 2024 года). При анализе концессионных соглашений установлено, что данному детскому саду порядок согласования изменений</w:t>
      </w:r>
      <w:r w:rsidR="005643BA" w:rsidRPr="00E47AA9">
        <w:rPr>
          <w:rFonts w:ascii="Times New Roman" w:hAnsi="Times New Roman" w:cs="Times New Roman"/>
          <w:i/>
          <w:sz w:val="28"/>
          <w:szCs w:val="28"/>
        </w:rPr>
        <w:t xml:space="preserve"> в</w:t>
      </w:r>
      <w:r w:rsidRPr="00E47AA9">
        <w:rPr>
          <w:rFonts w:ascii="Times New Roman" w:hAnsi="Times New Roman" w:cs="Times New Roman"/>
          <w:i/>
          <w:sz w:val="28"/>
          <w:szCs w:val="28"/>
        </w:rPr>
        <w:t xml:space="preserve"> соглашени</w:t>
      </w:r>
      <w:r w:rsidR="005643BA" w:rsidRPr="00E47AA9">
        <w:rPr>
          <w:rFonts w:ascii="Times New Roman" w:hAnsi="Times New Roman" w:cs="Times New Roman"/>
          <w:i/>
          <w:sz w:val="28"/>
          <w:szCs w:val="28"/>
        </w:rPr>
        <w:t>е</w:t>
      </w:r>
      <w:r w:rsidRPr="00E47AA9">
        <w:rPr>
          <w:rFonts w:ascii="Times New Roman" w:hAnsi="Times New Roman" w:cs="Times New Roman"/>
          <w:i/>
          <w:sz w:val="28"/>
          <w:szCs w:val="28"/>
        </w:rPr>
        <w:t xml:space="preserve"> с антимонопольным органом, предусмотренный статьей 13 Федерального закона от 21.07.2005 № 115-ФЗ "О концессионных соглашениях", не соблюден;</w:t>
      </w:r>
    </w:p>
    <w:p w14:paraId="6BB1D02D" w14:textId="1E79DBEB" w:rsidR="000711E6" w:rsidRPr="00E47AA9" w:rsidRDefault="000711E6" w:rsidP="000711E6">
      <w:pPr>
        <w:spacing w:after="0" w:line="240" w:lineRule="auto"/>
        <w:ind w:firstLine="709"/>
        <w:jc w:val="both"/>
        <w:rPr>
          <w:rFonts w:ascii="Times New Roman" w:eastAsia="Calibri" w:hAnsi="Times New Roman" w:cs="Times New Roman"/>
          <w:sz w:val="28"/>
          <w:szCs w:val="28"/>
        </w:rPr>
      </w:pPr>
      <w:r w:rsidRPr="00E47AA9">
        <w:rPr>
          <w:rFonts w:ascii="Times New Roman" w:eastAsia="Times New Roman" w:hAnsi="Times New Roman" w:cs="Times New Roman"/>
          <w:sz w:val="28"/>
          <w:szCs w:val="28"/>
        </w:rPr>
        <w:t xml:space="preserve">48,35 млн рублей (в полном объеме плановых назначений) на строительство и реконструкцию (модернизацию), капитальный ремонт </w:t>
      </w:r>
      <w:r w:rsidRPr="00E47AA9">
        <w:rPr>
          <w:rFonts w:ascii="Times New Roman" w:eastAsia="Times New Roman" w:hAnsi="Times New Roman" w:cs="Times New Roman"/>
          <w:sz w:val="28"/>
          <w:szCs w:val="28"/>
        </w:rPr>
        <w:lastRenderedPageBreak/>
        <w:t xml:space="preserve">объектов муниципальных общеобразовательных организаций, приобретение оборудования и транспортных средств. </w:t>
      </w:r>
      <w:proofErr w:type="spellStart"/>
      <w:r w:rsidRPr="00E47AA9">
        <w:rPr>
          <w:rFonts w:ascii="Times New Roman" w:eastAsia="Calibri" w:hAnsi="Times New Roman" w:cs="Times New Roman"/>
          <w:sz w:val="28"/>
          <w:szCs w:val="28"/>
        </w:rPr>
        <w:t>Чугуевскому</w:t>
      </w:r>
      <w:proofErr w:type="spellEnd"/>
      <w:r w:rsidRPr="00E47AA9">
        <w:rPr>
          <w:rFonts w:ascii="Times New Roman" w:eastAsia="Calibri" w:hAnsi="Times New Roman" w:cs="Times New Roman"/>
          <w:sz w:val="28"/>
          <w:szCs w:val="28"/>
        </w:rPr>
        <w:t xml:space="preserve"> муниципальному округу предоставлены субсидии на приобретение оборудования и проведение капитального ремонта МКОУ "Средняя общеобразовательная школа № 15" </w:t>
      </w:r>
      <w:r w:rsidRPr="00E47AA9">
        <w:rPr>
          <w:rFonts w:ascii="Times New Roman" w:eastAsia="Calibri" w:hAnsi="Times New Roman" w:cs="Times New Roman"/>
          <w:sz w:val="28"/>
          <w:szCs w:val="28"/>
        </w:rPr>
        <w:br/>
        <w:t>с. Соколовка</w:t>
      </w:r>
      <w:r w:rsidR="002F3A75" w:rsidRPr="00E47AA9">
        <w:rPr>
          <w:rFonts w:ascii="Times New Roman" w:eastAsia="Calibri" w:hAnsi="Times New Roman" w:cs="Times New Roman"/>
          <w:sz w:val="28"/>
          <w:szCs w:val="28"/>
        </w:rPr>
        <w:t>, на</w:t>
      </w:r>
      <w:r w:rsidRPr="00E47AA9">
        <w:rPr>
          <w:rFonts w:ascii="Times New Roman" w:eastAsia="Calibri" w:hAnsi="Times New Roman" w:cs="Times New Roman"/>
          <w:sz w:val="28"/>
          <w:szCs w:val="28"/>
        </w:rPr>
        <w:t xml:space="preserve"> капитальный ремонт помещений санузлов МКОУ "Средняя общеобразовательная школа № 2" с. Чугуевка</w:t>
      </w:r>
      <w:r w:rsidR="002F3A75"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спортивного здания МКОУ "Средняя общеобразовательная школа им. А.А. Фадеева" с. Чугуевка; </w:t>
      </w:r>
    </w:p>
    <w:p w14:paraId="1F8C523A" w14:textId="43F68B01"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u w:val="single"/>
        </w:rPr>
        <w:t>министерством строительства Приморского края</w:t>
      </w:r>
      <w:r w:rsidRPr="00E47AA9">
        <w:rPr>
          <w:rFonts w:ascii="Times New Roman" w:eastAsia="Times New Roman" w:hAnsi="Times New Roman" w:cs="Times New Roman"/>
          <w:sz w:val="28"/>
          <w:szCs w:val="28"/>
        </w:rPr>
        <w:t xml:space="preserve"> – 74,68 млн рублей, или 99,01 % (от плана 75,43 млн рублей)</w:t>
      </w:r>
      <w:r w:rsidR="002F3A75"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на строительство и реконструкцию (модернизацию), капитальный ремонт объектов государственных или муниципальных физкультурно-спортивных организаций. Осуществлена реконструкция стадиона "Урожай" в </w:t>
      </w:r>
      <w:proofErr w:type="spellStart"/>
      <w:r w:rsidRPr="00E47AA9">
        <w:rPr>
          <w:rFonts w:ascii="Times New Roman" w:eastAsia="Times New Roman" w:hAnsi="Times New Roman" w:cs="Times New Roman"/>
          <w:sz w:val="28"/>
          <w:szCs w:val="28"/>
        </w:rPr>
        <w:t>Ханкайском</w:t>
      </w:r>
      <w:proofErr w:type="spellEnd"/>
      <w:r w:rsidRPr="00E47AA9">
        <w:rPr>
          <w:rFonts w:ascii="Times New Roman" w:eastAsia="Times New Roman" w:hAnsi="Times New Roman" w:cs="Times New Roman"/>
          <w:sz w:val="28"/>
          <w:szCs w:val="28"/>
        </w:rPr>
        <w:t xml:space="preserve"> муниципальном округе. Разрешение на ввод объекта получено 10.01.2025;</w:t>
      </w:r>
    </w:p>
    <w:p w14:paraId="653B39A2" w14:textId="416A1684"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u w:val="single"/>
        </w:rPr>
        <w:t>министерством жилищно-коммунального хозяйства Приморского края</w:t>
      </w:r>
      <w:r w:rsidRPr="00E47AA9">
        <w:rPr>
          <w:rFonts w:ascii="Times New Roman" w:eastAsia="Times New Roman" w:hAnsi="Times New Roman" w:cs="Times New Roman"/>
          <w:sz w:val="28"/>
          <w:szCs w:val="28"/>
        </w:rPr>
        <w:t xml:space="preserve"> – 195,28 млн рублей (в полном объеме плановых назначений) на строительство, реконструкци</w:t>
      </w:r>
      <w:r w:rsidR="00D01B49" w:rsidRPr="00E47AA9">
        <w:rPr>
          <w:rFonts w:ascii="Times New Roman" w:eastAsia="Times New Roman" w:hAnsi="Times New Roman" w:cs="Times New Roman"/>
          <w:sz w:val="28"/>
          <w:szCs w:val="28"/>
        </w:rPr>
        <w:t>ю</w:t>
      </w:r>
      <w:r w:rsidRPr="00E47AA9">
        <w:rPr>
          <w:rFonts w:ascii="Times New Roman" w:eastAsia="Times New Roman" w:hAnsi="Times New Roman" w:cs="Times New Roman"/>
          <w:sz w:val="28"/>
          <w:szCs w:val="28"/>
        </w:rPr>
        <w:t xml:space="preserve"> и капитальный ремонт централизованных и нецентрализованных систем водоснабжения, водоотведения, канализации, очистных сооружений, станций водоподготовки и водозаборных сооружений для функционирования объектов жилого и нежилого фонда (объектов социального назначения). В рамках мероприятия осуществляется строительство канализационных очистных сооружений в селе Чугуевка. Строительная готовность объекта 29 %. </w:t>
      </w:r>
    </w:p>
    <w:p w14:paraId="2C1EEF64" w14:textId="77777777" w:rsidR="000711E6" w:rsidRPr="00E47AA9" w:rsidRDefault="000711E6" w:rsidP="000711E6">
      <w:pPr>
        <w:spacing w:after="0" w:line="240" w:lineRule="auto"/>
        <w:jc w:val="both"/>
        <w:rPr>
          <w:rFonts w:ascii="Times New Roman" w:eastAsia="Times New Roman" w:hAnsi="Times New Roman" w:cs="Times New Roman"/>
          <w:sz w:val="28"/>
          <w:szCs w:val="28"/>
          <w:lang w:eastAsia="ru-RU"/>
        </w:rPr>
      </w:pPr>
    </w:p>
    <w:p w14:paraId="39D2AC9D" w14:textId="77777777" w:rsidR="000711E6" w:rsidRPr="00E47AA9" w:rsidRDefault="000711E6" w:rsidP="00FD476E">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noProof/>
          <w:sz w:val="20"/>
          <w:szCs w:val="20"/>
          <w:lang w:eastAsia="ru-RU"/>
        </w:rPr>
        <w:drawing>
          <wp:anchor distT="0" distB="0" distL="114300" distR="114300" simplePos="0" relativeHeight="251691008" behindDoc="0" locked="0" layoutInCell="1" allowOverlap="1" wp14:anchorId="1868AFBB" wp14:editId="032A6A62">
            <wp:simplePos x="0" y="0"/>
            <wp:positionH relativeFrom="column">
              <wp:posOffset>53975</wp:posOffset>
            </wp:positionH>
            <wp:positionV relativeFrom="paragraph">
              <wp:posOffset>25673</wp:posOffset>
            </wp:positionV>
            <wp:extent cx="1123315" cy="1123315"/>
            <wp:effectExtent l="0" t="0" r="635" b="635"/>
            <wp:wrapSquare wrapText="bothSides"/>
            <wp:docPr id="51" name="Рисунок 51" descr="C:\Users\zavzyataya_sv\Desktop\Картинки к исполнению\1402925-sea-world-vii-exotic-fishes-ve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avzyataya_sv\Desktop\Картинки к исполнению\1402925-sea-world-vii-exotic-fishes-vector.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23315" cy="11233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AA9">
        <w:rPr>
          <w:rFonts w:ascii="Times New Roman" w:eastAsia="Times New Roman" w:hAnsi="Times New Roman" w:cs="Times New Roman"/>
          <w:b/>
          <w:sz w:val="28"/>
          <w:szCs w:val="28"/>
          <w:lang w:eastAsia="ru-RU"/>
        </w:rPr>
        <w:t>5.2.15.</w:t>
      </w:r>
      <w:r w:rsidRPr="00E47AA9">
        <w:rPr>
          <w:rFonts w:ascii="Times New Roman" w:eastAsia="Times New Roman" w:hAnsi="Times New Roman" w:cs="Times New Roman"/>
          <w:b/>
          <w:sz w:val="28"/>
          <w:szCs w:val="28"/>
          <w:lang w:val="en-US" w:eastAsia="ru-RU"/>
        </w:rPr>
        <w:t> </w:t>
      </w:r>
      <w:r w:rsidRPr="00E47AA9">
        <w:rPr>
          <w:rFonts w:ascii="Times New Roman" w:eastAsia="Times New Roman" w:hAnsi="Times New Roman" w:cs="Times New Roman"/>
          <w:b/>
          <w:sz w:val="28"/>
          <w:szCs w:val="28"/>
          <w:lang w:eastAsia="ru-RU"/>
        </w:rPr>
        <w:t>Государственная программа Приморского края "Развитие рыбохозяйственного комплекса в Приморском крае"</w:t>
      </w:r>
    </w:p>
    <w:p w14:paraId="6234E258"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Уточненные бюджетные ассигнования на 2024 год на реализацию ГП составили 43,91 млн рублей. </w:t>
      </w:r>
    </w:p>
    <w:p w14:paraId="21DC259C" w14:textId="160B04E6" w:rsidR="000711E6" w:rsidRPr="00E47AA9" w:rsidRDefault="000711E6" w:rsidP="000711E6">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Исполнено 43,23 млн рублей, или 98,4</w:t>
      </w:r>
      <w:r w:rsidR="00FF3F47" w:rsidRPr="00E47AA9">
        <w:rPr>
          <w:rFonts w:ascii="Times New Roman" w:eastAsia="Times New Roman" w:hAnsi="Times New Roman" w:cs="Times New Roman"/>
          <w:sz w:val="28"/>
          <w:szCs w:val="28"/>
        </w:rPr>
        <w:t>5</w:t>
      </w:r>
      <w:r w:rsidRPr="00E47AA9">
        <w:rPr>
          <w:rFonts w:ascii="Times New Roman" w:eastAsia="Times New Roman" w:hAnsi="Times New Roman" w:cs="Times New Roman"/>
          <w:sz w:val="28"/>
          <w:szCs w:val="28"/>
        </w:rPr>
        <w:t xml:space="preserve"> %, в том числе: средства федерального бюджета – 0,67 млн рублей, краевого бюджета – 42,56 млн рублей.</w:t>
      </w:r>
    </w:p>
    <w:p w14:paraId="159B8AC5" w14:textId="75332636" w:rsidR="000711E6" w:rsidRPr="00E47AA9" w:rsidRDefault="000711E6" w:rsidP="000711E6">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eastAsia="Times New Roman" w:hAnsi="Times New Roman" w:cs="Times New Roman"/>
          <w:sz w:val="28"/>
          <w:szCs w:val="28"/>
        </w:rPr>
        <w:t xml:space="preserve">Согласно паспорту ГП ответственный исполнитель </w:t>
      </w:r>
      <w:r w:rsidR="002F3A75"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w:t>
      </w:r>
      <w:r w:rsidRPr="00E47AA9">
        <w:rPr>
          <w:rFonts w:ascii="Times New Roman" w:hAnsi="Times New Roman" w:cs="Times New Roman"/>
          <w:sz w:val="28"/>
          <w:szCs w:val="28"/>
        </w:rPr>
        <w:t>министерство лесного хозяйства, охраны окружающей среды, животного мира и природных ресурсов Приморского края. Соисполнители отсутствуют.</w:t>
      </w:r>
    </w:p>
    <w:p w14:paraId="3403ACC0" w14:textId="77777777" w:rsidR="00DE1A3B" w:rsidRPr="00E47AA9" w:rsidRDefault="00DE1A3B" w:rsidP="00DE1A3B">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В соответствии со Сводным годовым докладом:</w:t>
      </w:r>
    </w:p>
    <w:p w14:paraId="67519BE2" w14:textId="1B89342C" w:rsidR="00DE1A3B" w:rsidRPr="00E47AA9" w:rsidRDefault="00DE1A3B" w:rsidP="00DE1A3B">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из 4 мероприятий государственной программы, запланированных в 2024 году, выполнены в полном объеме 3 мероприятия, 1 мероприятие выполнено не в полном объеме;</w:t>
      </w:r>
    </w:p>
    <w:p w14:paraId="7CC00F9C" w14:textId="1D01E5EF" w:rsidR="00DE1A3B" w:rsidRPr="00E47AA9" w:rsidRDefault="00DE1A3B" w:rsidP="00DE1A3B">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из 10 показателей государственной программы 8 достигли планового значения, 1 показатель достигнут не в полном объеме;</w:t>
      </w:r>
    </w:p>
    <w:p w14:paraId="6CDEB5AC" w14:textId="5183BEE1" w:rsidR="00DE1A3B" w:rsidRPr="00E47AA9" w:rsidRDefault="00DE1A3B" w:rsidP="00DE1A3B">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эффективность реализации государственной программы составила 98,4</w:t>
      </w:r>
      <w:r w:rsidR="009C59FC" w:rsidRPr="00E47AA9">
        <w:rPr>
          <w:rFonts w:ascii="Times New Roman" w:hAnsi="Times New Roman" w:cs="Times New Roman"/>
          <w:sz w:val="28"/>
          <w:szCs w:val="28"/>
        </w:rPr>
        <w:t> </w:t>
      </w:r>
      <w:r w:rsidRPr="00E47AA9">
        <w:rPr>
          <w:rFonts w:ascii="Times New Roman" w:hAnsi="Times New Roman" w:cs="Times New Roman"/>
          <w:sz w:val="28"/>
          <w:szCs w:val="28"/>
        </w:rPr>
        <w:t>% (высокая).</w:t>
      </w:r>
    </w:p>
    <w:p w14:paraId="0B276AC8" w14:textId="77777777" w:rsidR="000711E6" w:rsidRPr="00E47AA9" w:rsidRDefault="000711E6" w:rsidP="000711E6">
      <w:pPr>
        <w:autoSpaceDE w:val="0"/>
        <w:autoSpaceDN w:val="0"/>
        <w:adjustRightInd w:val="0"/>
        <w:spacing w:after="0" w:line="240" w:lineRule="auto"/>
        <w:ind w:firstLine="708"/>
        <w:jc w:val="both"/>
        <w:rPr>
          <w:rFonts w:ascii="Times New Roman" w:hAnsi="Times New Roman" w:cs="Times New Roman"/>
          <w:b/>
          <w:sz w:val="28"/>
          <w:szCs w:val="28"/>
        </w:rPr>
      </w:pPr>
      <w:r w:rsidRPr="00E47AA9">
        <w:rPr>
          <w:rFonts w:ascii="Times New Roman" w:hAnsi="Times New Roman" w:cs="Times New Roman"/>
          <w:b/>
          <w:sz w:val="28"/>
          <w:szCs w:val="28"/>
        </w:rPr>
        <w:t xml:space="preserve">Подпрограмма "Развитие </w:t>
      </w:r>
      <w:proofErr w:type="spellStart"/>
      <w:r w:rsidRPr="00E47AA9">
        <w:rPr>
          <w:rFonts w:ascii="Times New Roman" w:hAnsi="Times New Roman" w:cs="Times New Roman"/>
          <w:b/>
          <w:sz w:val="28"/>
          <w:szCs w:val="28"/>
        </w:rPr>
        <w:t>аквакультуры</w:t>
      </w:r>
      <w:proofErr w:type="spellEnd"/>
      <w:r w:rsidRPr="00E47AA9">
        <w:rPr>
          <w:rFonts w:ascii="Times New Roman" w:hAnsi="Times New Roman" w:cs="Times New Roman"/>
          <w:b/>
          <w:sz w:val="28"/>
          <w:szCs w:val="28"/>
        </w:rPr>
        <w:t xml:space="preserve"> (рыбоводства) в Приморском крае"</w:t>
      </w:r>
    </w:p>
    <w:p w14:paraId="02382B83" w14:textId="464DE346" w:rsidR="000711E6" w:rsidRPr="00E47AA9" w:rsidRDefault="000711E6" w:rsidP="000711E6">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lastRenderedPageBreak/>
        <w:t xml:space="preserve">В рамках </w:t>
      </w:r>
      <w:r w:rsidRPr="00E47AA9">
        <w:rPr>
          <w:rFonts w:ascii="Times New Roman" w:hAnsi="Times New Roman" w:cs="Times New Roman"/>
          <w:i/>
          <w:sz w:val="28"/>
          <w:szCs w:val="28"/>
        </w:rPr>
        <w:t>КПМ "Оказание мер государственной поддержки</w:t>
      </w:r>
      <w:r w:rsidRPr="00E47AA9">
        <w:rPr>
          <w:rFonts w:ascii="Times New Roman" w:hAnsi="Times New Roman" w:cs="Times New Roman"/>
          <w:sz w:val="28"/>
          <w:szCs w:val="28"/>
        </w:rPr>
        <w:t xml:space="preserve"> </w:t>
      </w:r>
      <w:r w:rsidRPr="00E47AA9">
        <w:rPr>
          <w:rFonts w:ascii="Times New Roman" w:hAnsi="Times New Roman" w:cs="Times New Roman"/>
          <w:i/>
          <w:sz w:val="28"/>
          <w:szCs w:val="28"/>
        </w:rPr>
        <w:t xml:space="preserve">организациям, осуществляющим </w:t>
      </w:r>
      <w:proofErr w:type="spellStart"/>
      <w:r w:rsidRPr="00E47AA9">
        <w:rPr>
          <w:rFonts w:ascii="Times New Roman" w:hAnsi="Times New Roman" w:cs="Times New Roman"/>
          <w:i/>
          <w:sz w:val="28"/>
          <w:szCs w:val="28"/>
        </w:rPr>
        <w:t>аквакультуру</w:t>
      </w:r>
      <w:proofErr w:type="spellEnd"/>
      <w:r w:rsidRPr="00E47AA9">
        <w:rPr>
          <w:rFonts w:ascii="Times New Roman" w:hAnsi="Times New Roman" w:cs="Times New Roman"/>
          <w:i/>
          <w:sz w:val="28"/>
          <w:szCs w:val="28"/>
        </w:rPr>
        <w:t xml:space="preserve"> в Приморском крае"</w:t>
      </w:r>
      <w:r w:rsidR="002F3A75" w:rsidRPr="00E47AA9">
        <w:rPr>
          <w:rFonts w:ascii="Times New Roman" w:hAnsi="Times New Roman" w:cs="Times New Roman"/>
          <w:i/>
          <w:sz w:val="28"/>
          <w:szCs w:val="28"/>
        </w:rPr>
        <w:t>,</w:t>
      </w:r>
      <w:r w:rsidRPr="00E47AA9">
        <w:rPr>
          <w:rFonts w:ascii="Times New Roman" w:hAnsi="Times New Roman" w:cs="Times New Roman"/>
          <w:sz w:val="28"/>
          <w:szCs w:val="28"/>
        </w:rPr>
        <w:t xml:space="preserve"> предоставляются субсидии на возмещение части затрат организациям, осуществляющим </w:t>
      </w:r>
      <w:proofErr w:type="spellStart"/>
      <w:r w:rsidRPr="00E47AA9">
        <w:rPr>
          <w:rFonts w:ascii="Times New Roman" w:hAnsi="Times New Roman" w:cs="Times New Roman"/>
          <w:sz w:val="28"/>
          <w:szCs w:val="28"/>
        </w:rPr>
        <w:t>аквакультуру</w:t>
      </w:r>
      <w:proofErr w:type="spellEnd"/>
      <w:r w:rsidRPr="00E47AA9">
        <w:rPr>
          <w:rFonts w:ascii="Times New Roman" w:hAnsi="Times New Roman" w:cs="Times New Roman"/>
          <w:sz w:val="28"/>
          <w:szCs w:val="28"/>
        </w:rPr>
        <w:t xml:space="preserve"> (рыбоводство) на развитие </w:t>
      </w:r>
      <w:proofErr w:type="spellStart"/>
      <w:r w:rsidRPr="00E47AA9">
        <w:rPr>
          <w:rFonts w:ascii="Times New Roman" w:hAnsi="Times New Roman" w:cs="Times New Roman"/>
          <w:sz w:val="28"/>
          <w:szCs w:val="28"/>
        </w:rPr>
        <w:t>аквакультуры</w:t>
      </w:r>
      <w:proofErr w:type="spellEnd"/>
      <w:r w:rsidRPr="00E47AA9">
        <w:rPr>
          <w:rFonts w:ascii="Times New Roman" w:hAnsi="Times New Roman" w:cs="Times New Roman"/>
          <w:sz w:val="28"/>
          <w:szCs w:val="28"/>
        </w:rPr>
        <w:t xml:space="preserve"> (рыбоводства) в Приморском крае.</w:t>
      </w:r>
    </w:p>
    <w:p w14:paraId="3FEA048D" w14:textId="3514BF6F" w:rsidR="000711E6" w:rsidRPr="00E47AA9" w:rsidRDefault="000711E6" w:rsidP="000711E6">
      <w:pPr>
        <w:autoSpaceDE w:val="0"/>
        <w:autoSpaceDN w:val="0"/>
        <w:adjustRightInd w:val="0"/>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Контрольно-счетная палата обращает внимание, что ответственным исполнителем программы</w:t>
      </w:r>
      <w:r w:rsidRPr="00E47AA9">
        <w:rPr>
          <w:rStyle w:val="a8"/>
          <w:rFonts w:ascii="Times New Roman" w:hAnsi="Times New Roman"/>
          <w:sz w:val="28"/>
          <w:szCs w:val="28"/>
        </w:rPr>
        <w:footnoteReference w:id="82"/>
      </w:r>
      <w:r w:rsidRPr="00E47AA9">
        <w:rPr>
          <w:rFonts w:ascii="Times New Roman" w:hAnsi="Times New Roman" w:cs="Times New Roman"/>
          <w:sz w:val="28"/>
          <w:szCs w:val="28"/>
        </w:rPr>
        <w:t xml:space="preserve"> при планировании объемов субсидии на очередной финансовый год и плановый период не принимается во внимание фактическое количество желающих принять участие в отборе в целях предоставления субсидии в предыдущие годы. Как правило, ГРБС изначально закладывается избыточный объем средств, многократно превышающий фактические потребности, что в дальнейшем приводит к корректировке (объем субсидии сокращается полностью, либо практически в полном объеме). Так:</w:t>
      </w:r>
    </w:p>
    <w:p w14:paraId="0FBD6567" w14:textId="77777777" w:rsidR="000711E6" w:rsidRPr="00E47AA9" w:rsidRDefault="000711E6" w:rsidP="000711E6">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в 2022 году первоначально в законе о краевом бюджете запланировано 17,65 млн рублей, в последней редакции – 1,33 млн рублей. Приняла участие в отборе 1 организация, с которой заключено соглашение и выплачена субсидия в сумме 1,33 млн рублей;</w:t>
      </w:r>
    </w:p>
    <w:p w14:paraId="6FE7D22B" w14:textId="208B9E65" w:rsidR="000711E6" w:rsidRPr="00E47AA9" w:rsidRDefault="000711E6" w:rsidP="000711E6">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в 2023 году первоначально в законе о краевом бюджете </w:t>
      </w:r>
      <w:r w:rsidR="002F3A75" w:rsidRPr="00E47AA9">
        <w:rPr>
          <w:rFonts w:ascii="Times New Roman" w:hAnsi="Times New Roman" w:cs="Times New Roman"/>
          <w:sz w:val="28"/>
          <w:szCs w:val="28"/>
        </w:rPr>
        <w:t>–</w:t>
      </w:r>
      <w:r w:rsidRPr="00E47AA9">
        <w:rPr>
          <w:rFonts w:ascii="Times New Roman" w:hAnsi="Times New Roman" w:cs="Times New Roman"/>
          <w:sz w:val="28"/>
          <w:szCs w:val="28"/>
        </w:rPr>
        <w:t xml:space="preserve"> 7,65 млн рублей. Заявок на принятие участия в отборе не подано ни одной организацией. Объем средств сокращен в полном объеме;</w:t>
      </w:r>
    </w:p>
    <w:p w14:paraId="2B76ACD7" w14:textId="18DFF34E" w:rsidR="000711E6" w:rsidRPr="00E47AA9" w:rsidRDefault="000711E6" w:rsidP="000711E6">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в 2024 году первоначально в законе о краевом бюджете </w:t>
      </w:r>
      <w:r w:rsidR="002F3A75" w:rsidRPr="00E47AA9">
        <w:rPr>
          <w:rFonts w:ascii="Times New Roman" w:hAnsi="Times New Roman" w:cs="Times New Roman"/>
          <w:sz w:val="28"/>
          <w:szCs w:val="28"/>
        </w:rPr>
        <w:t>–</w:t>
      </w:r>
      <w:r w:rsidRPr="00E47AA9">
        <w:rPr>
          <w:rFonts w:ascii="Times New Roman" w:hAnsi="Times New Roman" w:cs="Times New Roman"/>
          <w:sz w:val="28"/>
          <w:szCs w:val="28"/>
        </w:rPr>
        <w:t xml:space="preserve"> 7,65 млн рублей, в действующей редакции – 0,48 млн рублей. Для участия в отборе на получение субсидии заявилась 1 организация, с которой заключено соглашение и выплачена субсидия в сумме 0,48 млн рублей.</w:t>
      </w:r>
    </w:p>
    <w:p w14:paraId="02D17945" w14:textId="77777777" w:rsidR="000711E6" w:rsidRPr="00E47AA9" w:rsidRDefault="000711E6" w:rsidP="000711E6">
      <w:pPr>
        <w:spacing w:after="0" w:line="240" w:lineRule="auto"/>
        <w:ind w:firstLine="709"/>
        <w:jc w:val="both"/>
        <w:rPr>
          <w:rFonts w:ascii="Times New Roman" w:eastAsia="Times New Roman" w:hAnsi="Times New Roman" w:cs="Times New Roman"/>
          <w:b/>
          <w:sz w:val="28"/>
          <w:szCs w:val="28"/>
        </w:rPr>
      </w:pPr>
      <w:r w:rsidRPr="00E47AA9">
        <w:rPr>
          <w:rFonts w:ascii="Times New Roman" w:eastAsia="Times New Roman" w:hAnsi="Times New Roman" w:cs="Times New Roman"/>
          <w:b/>
          <w:sz w:val="28"/>
          <w:szCs w:val="28"/>
        </w:rPr>
        <w:t xml:space="preserve">Подпрограмма "Стимулирование обновления и модернизации основных производственных фондов рыбохозяйственного комплекса в Приморском крае" </w:t>
      </w:r>
    </w:p>
    <w:p w14:paraId="3925F248"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rPr>
        <w:t>В рамках</w:t>
      </w:r>
      <w:r w:rsidRPr="00E47AA9">
        <w:rPr>
          <w:rFonts w:ascii="Times New Roman" w:eastAsia="Times New Roman" w:hAnsi="Times New Roman" w:cs="Times New Roman"/>
          <w:b/>
          <w:i/>
          <w:sz w:val="28"/>
          <w:szCs w:val="28"/>
        </w:rPr>
        <w:t xml:space="preserve"> </w:t>
      </w:r>
      <w:r w:rsidRPr="00E47AA9">
        <w:rPr>
          <w:rFonts w:ascii="Times New Roman" w:eastAsia="Times New Roman" w:hAnsi="Times New Roman" w:cs="Times New Roman"/>
          <w:i/>
          <w:sz w:val="28"/>
          <w:szCs w:val="28"/>
        </w:rPr>
        <w:t>КПМ "Стимулирование обновления и модернизации основных производственных фондов рыбохозяйственного комплекса в Приморском крае"</w:t>
      </w:r>
      <w:r w:rsidRPr="00E47AA9">
        <w:rPr>
          <w:rFonts w:ascii="Times New Roman" w:eastAsia="Times New Roman" w:hAnsi="Times New Roman" w:cs="Times New Roman"/>
          <w:b/>
          <w:i/>
          <w:sz w:val="28"/>
          <w:szCs w:val="28"/>
        </w:rPr>
        <w:t xml:space="preserve"> </w:t>
      </w:r>
      <w:r w:rsidRPr="00E47AA9">
        <w:rPr>
          <w:rFonts w:ascii="Times New Roman" w:eastAsia="Times New Roman" w:hAnsi="Times New Roman" w:cs="Times New Roman"/>
          <w:sz w:val="28"/>
          <w:szCs w:val="28"/>
        </w:rPr>
        <w:t>предоставлены с</w:t>
      </w:r>
      <w:r w:rsidRPr="00E47AA9">
        <w:rPr>
          <w:rFonts w:ascii="Times New Roman" w:eastAsia="Times New Roman" w:hAnsi="Times New Roman" w:cs="Times New Roman"/>
          <w:sz w:val="28"/>
          <w:szCs w:val="28"/>
          <w:lang w:eastAsia="ru-RU"/>
        </w:rPr>
        <w:t xml:space="preserve">убсидии на возмещение части затрат организациям на развитие </w:t>
      </w:r>
      <w:proofErr w:type="spellStart"/>
      <w:r w:rsidRPr="00E47AA9">
        <w:rPr>
          <w:rFonts w:ascii="Times New Roman" w:eastAsia="Times New Roman" w:hAnsi="Times New Roman" w:cs="Times New Roman"/>
          <w:sz w:val="28"/>
          <w:szCs w:val="28"/>
          <w:lang w:eastAsia="ru-RU"/>
        </w:rPr>
        <w:t>рыбоперерабатывающих</w:t>
      </w:r>
      <w:proofErr w:type="spellEnd"/>
      <w:r w:rsidRPr="00E47AA9">
        <w:rPr>
          <w:rFonts w:ascii="Times New Roman" w:eastAsia="Times New Roman" w:hAnsi="Times New Roman" w:cs="Times New Roman"/>
          <w:sz w:val="28"/>
          <w:szCs w:val="28"/>
          <w:lang w:eastAsia="ru-RU"/>
        </w:rPr>
        <w:t xml:space="preserve"> и холодильных мощностей в Приморском крае в сумме 18,75 млн рублей (в полном объеме плановых назначений), а именно: ООО "Русский минтай" – 8,01 млн рублей, ООО "Велес-Снек" – 7,28 млн рублей, АО "РК "Новый мир" – 3,46 млн рублей.</w:t>
      </w:r>
    </w:p>
    <w:p w14:paraId="7FCC800F" w14:textId="3ECB4A28" w:rsidR="000711E6" w:rsidRPr="00E47AA9" w:rsidRDefault="000711E6" w:rsidP="000711E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i/>
          <w:sz w:val="28"/>
          <w:szCs w:val="28"/>
          <w:lang w:eastAsia="ru-RU"/>
        </w:rPr>
        <w:t>Контрольно-счетной палатой в ходе проверки</w:t>
      </w:r>
      <w:r w:rsidR="007D6D55" w:rsidRPr="00E47AA9">
        <w:rPr>
          <w:rStyle w:val="a8"/>
          <w:rFonts w:ascii="Times New Roman" w:eastAsia="Times New Roman" w:hAnsi="Times New Roman"/>
          <w:i/>
          <w:sz w:val="28"/>
          <w:szCs w:val="28"/>
          <w:lang w:eastAsia="ru-RU"/>
        </w:rPr>
        <w:footnoteReference w:id="83"/>
      </w:r>
      <w:r w:rsidRPr="00E47AA9">
        <w:rPr>
          <w:rFonts w:ascii="Times New Roman" w:eastAsia="Times New Roman" w:hAnsi="Times New Roman" w:cs="Times New Roman"/>
          <w:i/>
          <w:sz w:val="28"/>
          <w:szCs w:val="28"/>
          <w:lang w:eastAsia="ru-RU"/>
        </w:rPr>
        <w:t xml:space="preserve"> целевого и эффективного использования данного вида субсидии установлено, что порядки, регламентирующие предоставление субсидий из краевого бюджета на государственную поддержку развития </w:t>
      </w:r>
      <w:proofErr w:type="spellStart"/>
      <w:r w:rsidRPr="00E47AA9">
        <w:rPr>
          <w:rFonts w:ascii="Times New Roman" w:eastAsia="Times New Roman" w:hAnsi="Times New Roman" w:cs="Times New Roman"/>
          <w:i/>
          <w:sz w:val="28"/>
          <w:szCs w:val="28"/>
          <w:lang w:eastAsia="ru-RU"/>
        </w:rPr>
        <w:t>рыбоперерабатывающих</w:t>
      </w:r>
      <w:proofErr w:type="spellEnd"/>
      <w:r w:rsidRPr="00E47AA9">
        <w:rPr>
          <w:rFonts w:ascii="Times New Roman" w:eastAsia="Times New Roman" w:hAnsi="Times New Roman" w:cs="Times New Roman"/>
          <w:i/>
          <w:sz w:val="28"/>
          <w:szCs w:val="28"/>
          <w:lang w:eastAsia="ru-RU"/>
        </w:rPr>
        <w:t xml:space="preserve"> и </w:t>
      </w:r>
      <w:r w:rsidRPr="00E47AA9">
        <w:rPr>
          <w:rFonts w:ascii="Times New Roman" w:eastAsia="Times New Roman" w:hAnsi="Times New Roman" w:cs="Times New Roman"/>
          <w:i/>
          <w:sz w:val="28"/>
          <w:szCs w:val="28"/>
          <w:lang w:eastAsia="ru-RU"/>
        </w:rPr>
        <w:lastRenderedPageBreak/>
        <w:t>холодильных мощностей в Приморском крае, утвержденные постановлениями Правительства Приморского края от 06.04.2021 № 213-пп (в том числе на 2024 год), от 03.10.2024 № 676-пп (в 2025-2027 годах) (далее</w:t>
      </w:r>
      <w:r w:rsidR="002F3A75" w:rsidRPr="00E47AA9">
        <w:rPr>
          <w:rFonts w:ascii="Times New Roman" w:eastAsia="Times New Roman" w:hAnsi="Times New Roman" w:cs="Times New Roman"/>
          <w:i/>
          <w:sz w:val="28"/>
          <w:szCs w:val="28"/>
          <w:lang w:eastAsia="ru-RU"/>
        </w:rPr>
        <w:t> </w:t>
      </w:r>
      <w:r w:rsidRPr="00E47AA9">
        <w:rPr>
          <w:rFonts w:ascii="Times New Roman" w:eastAsia="Times New Roman" w:hAnsi="Times New Roman" w:cs="Times New Roman"/>
          <w:i/>
          <w:sz w:val="28"/>
          <w:szCs w:val="28"/>
          <w:lang w:eastAsia="ru-RU"/>
        </w:rPr>
        <w:t>– Поряд</w:t>
      </w:r>
      <w:r w:rsidR="00FF3F47" w:rsidRPr="00E47AA9">
        <w:rPr>
          <w:rFonts w:ascii="Times New Roman" w:eastAsia="Times New Roman" w:hAnsi="Times New Roman" w:cs="Times New Roman"/>
          <w:i/>
          <w:sz w:val="28"/>
          <w:szCs w:val="28"/>
          <w:lang w:eastAsia="ru-RU"/>
        </w:rPr>
        <w:t>ок</w:t>
      </w:r>
      <w:r w:rsidRPr="00E47AA9">
        <w:rPr>
          <w:rFonts w:ascii="Times New Roman" w:eastAsia="Times New Roman" w:hAnsi="Times New Roman" w:cs="Times New Roman"/>
          <w:i/>
          <w:sz w:val="28"/>
          <w:szCs w:val="28"/>
          <w:lang w:eastAsia="ru-RU"/>
        </w:rPr>
        <w:t>), содержали следующие недостатки:</w:t>
      </w:r>
    </w:p>
    <w:p w14:paraId="6359B05D" w14:textId="77777777" w:rsidR="000711E6" w:rsidRPr="00E47AA9" w:rsidRDefault="000711E6" w:rsidP="000711E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i/>
          <w:sz w:val="28"/>
          <w:szCs w:val="28"/>
          <w:lang w:eastAsia="ru-RU"/>
        </w:rPr>
        <w:t>1) расчет размера субсидии министерством производился исходя из фактически произведенных и документально подтвержденных затрат, понесенных организациями, включающих НДС, что привело к тому, что ООО </w:t>
      </w:r>
      <w:proofErr w:type="spellStart"/>
      <w:r w:rsidRPr="00E47AA9">
        <w:rPr>
          <w:rFonts w:ascii="Times New Roman" w:eastAsia="Times New Roman" w:hAnsi="Times New Roman" w:cs="Times New Roman"/>
          <w:i/>
          <w:sz w:val="28"/>
          <w:szCs w:val="28"/>
          <w:lang w:eastAsia="ru-RU"/>
        </w:rPr>
        <w:t>Акварион</w:t>
      </w:r>
      <w:proofErr w:type="spellEnd"/>
      <w:r w:rsidRPr="00E47AA9">
        <w:rPr>
          <w:rFonts w:ascii="Times New Roman" w:eastAsia="Times New Roman" w:hAnsi="Times New Roman" w:cs="Times New Roman"/>
          <w:i/>
          <w:sz w:val="28"/>
          <w:szCs w:val="28"/>
          <w:lang w:eastAsia="ru-RU"/>
        </w:rPr>
        <w:t>" в периоде получения субсидии не восстановлены суммы НДС в соответствии с подпунктом 6 пункта 3 статьи 170 Налогового кодекса Российской Федерации, принятые к вычету по приобретенным основным средствам на сумму 134,01 тыс. рублей;</w:t>
      </w:r>
    </w:p>
    <w:p w14:paraId="02CFD5CD" w14:textId="77777777" w:rsidR="000711E6" w:rsidRPr="00E47AA9" w:rsidRDefault="000711E6" w:rsidP="000711E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i/>
          <w:sz w:val="28"/>
          <w:szCs w:val="28"/>
          <w:lang w:eastAsia="ru-RU"/>
        </w:rPr>
        <w:t xml:space="preserve">2) </w:t>
      </w:r>
      <w:r w:rsidR="009C2100" w:rsidRPr="00E47AA9">
        <w:rPr>
          <w:rFonts w:ascii="Times New Roman" w:eastAsia="Times New Roman" w:hAnsi="Times New Roman" w:cs="Times New Roman"/>
          <w:i/>
          <w:sz w:val="28"/>
          <w:szCs w:val="28"/>
          <w:lang w:eastAsia="ru-RU"/>
        </w:rPr>
        <w:t>о</w:t>
      </w:r>
      <w:r w:rsidRPr="00E47AA9">
        <w:rPr>
          <w:rFonts w:ascii="Times New Roman" w:eastAsia="Times New Roman" w:hAnsi="Times New Roman" w:cs="Times New Roman"/>
          <w:i/>
          <w:sz w:val="28"/>
          <w:szCs w:val="28"/>
          <w:lang w:eastAsia="ru-RU"/>
        </w:rPr>
        <w:t xml:space="preserve">пределение термина "модернизация" в Порядках не содержится. Отсутствует инструментарий оценки, анализа и управления модернизацией указанных производств и мощностей. </w:t>
      </w:r>
    </w:p>
    <w:p w14:paraId="7A49D02B" w14:textId="530D23F2" w:rsidR="000711E6" w:rsidRPr="00E47AA9" w:rsidRDefault="000711E6" w:rsidP="000711E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i/>
          <w:sz w:val="28"/>
          <w:szCs w:val="28"/>
          <w:lang w:eastAsia="ru-RU"/>
        </w:rPr>
        <w:t xml:space="preserve">По результатам контрольного мероприятия министерством подготовлен проект постановления Правительства Приморского края о внесении изменений в </w:t>
      </w:r>
      <w:r w:rsidR="00FF3F47" w:rsidRPr="00E47AA9">
        <w:rPr>
          <w:rFonts w:ascii="Times New Roman" w:eastAsia="Times New Roman" w:hAnsi="Times New Roman" w:cs="Times New Roman"/>
          <w:i/>
          <w:sz w:val="28"/>
          <w:szCs w:val="28"/>
          <w:lang w:eastAsia="ru-RU"/>
        </w:rPr>
        <w:t>П</w:t>
      </w:r>
      <w:r w:rsidRPr="00E47AA9">
        <w:rPr>
          <w:rFonts w:ascii="Times New Roman" w:eastAsia="Times New Roman" w:hAnsi="Times New Roman" w:cs="Times New Roman"/>
          <w:i/>
          <w:sz w:val="28"/>
          <w:szCs w:val="28"/>
          <w:lang w:eastAsia="ru-RU"/>
        </w:rPr>
        <w:t xml:space="preserve">орядок от 03.10.2024 № 676-пп, который в настоящее время проходит процедуру согласования в органах исполнительной власти Приморского края: </w:t>
      </w:r>
    </w:p>
    <w:p w14:paraId="7CC3F263" w14:textId="14E6CE08" w:rsidR="000711E6" w:rsidRPr="00E47AA9" w:rsidRDefault="000711E6" w:rsidP="000711E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i/>
          <w:sz w:val="28"/>
          <w:szCs w:val="28"/>
          <w:lang w:eastAsia="ru-RU"/>
        </w:rPr>
        <w:t xml:space="preserve">в целях исключения возможности </w:t>
      </w:r>
      <w:proofErr w:type="spellStart"/>
      <w:r w:rsidRPr="00E47AA9">
        <w:rPr>
          <w:rFonts w:ascii="Times New Roman" w:eastAsia="Times New Roman" w:hAnsi="Times New Roman" w:cs="Times New Roman"/>
          <w:i/>
          <w:sz w:val="28"/>
          <w:szCs w:val="28"/>
          <w:lang w:eastAsia="ru-RU"/>
        </w:rPr>
        <w:t>невосстановления</w:t>
      </w:r>
      <w:proofErr w:type="spellEnd"/>
      <w:r w:rsidRPr="00E47AA9">
        <w:rPr>
          <w:rFonts w:ascii="Times New Roman" w:eastAsia="Times New Roman" w:hAnsi="Times New Roman" w:cs="Times New Roman"/>
          <w:i/>
          <w:sz w:val="28"/>
          <w:szCs w:val="28"/>
          <w:lang w:eastAsia="ru-RU"/>
        </w:rPr>
        <w:t xml:space="preserve"> НДС предприятиями – получателями субсидий и, соответственно, исключения выпадающих доходов бюджета из формулы расчета субсидии исключен НДС;</w:t>
      </w:r>
    </w:p>
    <w:p w14:paraId="0436BEF9" w14:textId="757ABBB4" w:rsidR="000711E6" w:rsidRPr="00E47AA9" w:rsidRDefault="000711E6" w:rsidP="000711E6">
      <w:pPr>
        <w:spacing w:after="0" w:line="240" w:lineRule="auto"/>
        <w:ind w:firstLine="709"/>
        <w:jc w:val="both"/>
        <w:rPr>
          <w:rFonts w:ascii="Times New Roman" w:eastAsia="Times New Roman" w:hAnsi="Times New Roman" w:cs="Times New Roman"/>
          <w:i/>
          <w:sz w:val="28"/>
          <w:szCs w:val="28"/>
          <w:lang w:eastAsia="ru-RU"/>
        </w:rPr>
      </w:pPr>
      <w:r w:rsidRPr="00E47AA9">
        <w:rPr>
          <w:rFonts w:ascii="Times New Roman" w:eastAsia="Times New Roman" w:hAnsi="Times New Roman" w:cs="Times New Roman"/>
          <w:i/>
          <w:sz w:val="28"/>
          <w:szCs w:val="28"/>
          <w:lang w:eastAsia="ru-RU"/>
        </w:rPr>
        <w:t>в связи с тем, что субсидии предоставляются на приобретение нового оборудования, из порядка исключен термин модернизация, а также внесены изменения в условия предоставления субсидии, а именно приобретение оборудования, с момента выпуска (изготовления) которого на 1 января года подачи в министерство заявки и прилагаемых к ней документов прошло не более трех лет, что обусловлено сроками полезного использования оборудования, устанавливаемых организациями-получателями субсидий в приказах о вводе в эксплуатацию объектов основных средств. Дополнен перечень документов, подтверждающих фактически произведенные затраты, связанные с приобретением оборудования, в том числе документами, подтверждающими дату выпуска (изготовления) оборудования.</w:t>
      </w:r>
    </w:p>
    <w:p w14:paraId="43490570" w14:textId="77777777" w:rsidR="000711E6" w:rsidRPr="00E47AA9" w:rsidRDefault="000711E6" w:rsidP="000711E6">
      <w:pPr>
        <w:spacing w:after="0" w:line="240" w:lineRule="auto"/>
        <w:ind w:firstLine="709"/>
        <w:jc w:val="both"/>
        <w:rPr>
          <w:rFonts w:ascii="Times New Roman" w:eastAsia="Times New Roman" w:hAnsi="Times New Roman" w:cs="Times New Roman"/>
          <w:b/>
          <w:sz w:val="28"/>
          <w:szCs w:val="28"/>
        </w:rPr>
      </w:pPr>
      <w:r w:rsidRPr="00E47AA9">
        <w:rPr>
          <w:rFonts w:ascii="Times New Roman" w:eastAsia="Times New Roman" w:hAnsi="Times New Roman" w:cs="Times New Roman"/>
          <w:b/>
          <w:sz w:val="28"/>
          <w:szCs w:val="28"/>
        </w:rPr>
        <w:t>Подпрограмма</w:t>
      </w:r>
      <w:r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b/>
          <w:sz w:val="28"/>
          <w:szCs w:val="28"/>
        </w:rPr>
        <w:t>"Развитие системы государственного управления"</w:t>
      </w:r>
    </w:p>
    <w:p w14:paraId="63626F41" w14:textId="77777777"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hAnsi="Times New Roman" w:cs="Times New Roman"/>
          <w:sz w:val="28"/>
          <w:szCs w:val="28"/>
        </w:rPr>
        <w:t>По</w:t>
      </w:r>
      <w:r w:rsidRPr="00E47AA9">
        <w:rPr>
          <w:rFonts w:ascii="Times New Roman" w:hAnsi="Times New Roman" w:cs="Times New Roman"/>
          <w:b/>
          <w:i/>
          <w:sz w:val="28"/>
          <w:szCs w:val="28"/>
        </w:rPr>
        <w:t xml:space="preserve"> </w:t>
      </w:r>
      <w:r w:rsidRPr="00E47AA9">
        <w:rPr>
          <w:rFonts w:ascii="Times New Roman" w:hAnsi="Times New Roman" w:cs="Times New Roman"/>
          <w:i/>
          <w:sz w:val="28"/>
          <w:szCs w:val="28"/>
        </w:rPr>
        <w:t>КПМ "Развитие системы государственного управления"</w:t>
      </w:r>
      <w:r w:rsidRPr="00E47AA9">
        <w:rPr>
          <w:rFonts w:ascii="Times New Roman" w:hAnsi="Times New Roman" w:cs="Times New Roman"/>
          <w:b/>
          <w:i/>
          <w:sz w:val="28"/>
          <w:szCs w:val="28"/>
        </w:rPr>
        <w:t xml:space="preserve"> </w:t>
      </w:r>
      <w:r w:rsidRPr="00E47AA9">
        <w:rPr>
          <w:rFonts w:ascii="Times New Roman" w:hAnsi="Times New Roman" w:cs="Times New Roman"/>
          <w:sz w:val="28"/>
          <w:szCs w:val="28"/>
        </w:rPr>
        <w:t xml:space="preserve">запланировано </w:t>
      </w:r>
      <w:r w:rsidRPr="00E47AA9">
        <w:rPr>
          <w:rFonts w:ascii="Times New Roman" w:eastAsia="Times New Roman" w:hAnsi="Times New Roman" w:cs="Times New Roman"/>
          <w:sz w:val="28"/>
          <w:szCs w:val="28"/>
          <w:lang w:eastAsia="ru-RU"/>
        </w:rPr>
        <w:t xml:space="preserve">24,01 млн рублей на обеспечение деятельности </w:t>
      </w:r>
      <w:r w:rsidRPr="00E47AA9">
        <w:rPr>
          <w:rFonts w:ascii="Times New Roman" w:eastAsia="Times New Roman" w:hAnsi="Times New Roman" w:cs="Times New Roman"/>
          <w:sz w:val="28"/>
          <w:szCs w:val="28"/>
        </w:rPr>
        <w:t>агентства по рыболовству Приморского края</w:t>
      </w:r>
      <w:r w:rsidRPr="00E47AA9">
        <w:rPr>
          <w:rFonts w:ascii="Times New Roman" w:eastAsia="Times New Roman" w:hAnsi="Times New Roman" w:cs="Times New Roman"/>
          <w:sz w:val="28"/>
          <w:szCs w:val="28"/>
          <w:lang w:eastAsia="ru-RU"/>
        </w:rPr>
        <w:t xml:space="preserve">, исполнение составило 23,33 млн рублей, или 97,15 %. </w:t>
      </w:r>
    </w:p>
    <w:p w14:paraId="5252FB16" w14:textId="46EB16E1" w:rsidR="000711E6" w:rsidRPr="00E47AA9" w:rsidRDefault="000711E6" w:rsidP="000711E6">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hAnsi="Times New Roman" w:cs="Times New Roman"/>
          <w:sz w:val="28"/>
          <w:szCs w:val="28"/>
        </w:rPr>
        <w:t xml:space="preserve">По </w:t>
      </w:r>
      <w:r w:rsidRPr="00E47AA9">
        <w:rPr>
          <w:rFonts w:ascii="Times New Roman" w:hAnsi="Times New Roman" w:cs="Times New Roman"/>
          <w:i/>
          <w:sz w:val="28"/>
          <w:szCs w:val="28"/>
        </w:rPr>
        <w:t>КПМ "Реализация полномочий по организации и регулированию рыболовства, а также охране водных биологических ресурсов на внутренних водных объектах в Приморском крае в соответствии с федеральным законодательством"</w:t>
      </w:r>
      <w:r w:rsidRPr="00E47AA9">
        <w:rPr>
          <w:rFonts w:ascii="Times New Roman" w:hAnsi="Times New Roman" w:cs="Times New Roman"/>
          <w:sz w:val="28"/>
          <w:szCs w:val="28"/>
        </w:rPr>
        <w:t xml:space="preserve"> с</w:t>
      </w:r>
      <w:r w:rsidRPr="00E47AA9">
        <w:rPr>
          <w:rFonts w:ascii="Times New Roman" w:eastAsia="Times New Roman" w:hAnsi="Times New Roman" w:cs="Times New Roman"/>
          <w:sz w:val="28"/>
          <w:szCs w:val="28"/>
          <w:lang w:eastAsia="ru-RU"/>
        </w:rPr>
        <w:t xml:space="preserve">редства федерального бюджета освоены в планируемом объеме 0,67 млн рублей. Проведены работы на озере Ханка по очистке водных </w:t>
      </w:r>
      <w:r w:rsidRPr="00E47AA9">
        <w:rPr>
          <w:rFonts w:ascii="Times New Roman" w:eastAsia="Times New Roman" w:hAnsi="Times New Roman" w:cs="Times New Roman"/>
          <w:sz w:val="28"/>
          <w:szCs w:val="28"/>
          <w:lang w:eastAsia="ru-RU"/>
        </w:rPr>
        <w:lastRenderedPageBreak/>
        <w:t>объектов рыбохозяйственного значения от брошенных орудий добычи (вылова) водных биоресурсов и береговой полосы от мусора</w:t>
      </w:r>
      <w:r w:rsidR="00C1550A"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площадью 16,9 кв. км, береговых полос внутренних водных объектов Приморского края</w:t>
      </w:r>
      <w:r w:rsidR="00C1550A"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протяженностью 28,1 км. Принято участие в 3 </w:t>
      </w:r>
      <w:proofErr w:type="spellStart"/>
      <w:r w:rsidRPr="00E47AA9">
        <w:rPr>
          <w:rFonts w:ascii="Times New Roman" w:eastAsia="Times New Roman" w:hAnsi="Times New Roman" w:cs="Times New Roman"/>
          <w:sz w:val="28"/>
          <w:szCs w:val="28"/>
          <w:lang w:eastAsia="ru-RU"/>
        </w:rPr>
        <w:t>рыбохозяйственных</w:t>
      </w:r>
      <w:proofErr w:type="spellEnd"/>
      <w:r w:rsidRPr="00E47AA9">
        <w:rPr>
          <w:rFonts w:ascii="Times New Roman" w:eastAsia="Times New Roman" w:hAnsi="Times New Roman" w:cs="Times New Roman"/>
          <w:sz w:val="28"/>
          <w:szCs w:val="28"/>
          <w:lang w:eastAsia="ru-RU"/>
        </w:rPr>
        <w:t xml:space="preserve"> рейдах, в которых собран мусор и брошенные орудия лова (жаберные сети, перемет). </w:t>
      </w:r>
    </w:p>
    <w:p w14:paraId="5477591A" w14:textId="77777777" w:rsidR="000711E6" w:rsidRPr="00E47AA9" w:rsidRDefault="000711E6" w:rsidP="000711E6">
      <w:pPr>
        <w:spacing w:after="0" w:line="240" w:lineRule="auto"/>
        <w:jc w:val="both"/>
        <w:rPr>
          <w:rFonts w:ascii="Times New Roman" w:eastAsia="Times New Roman" w:hAnsi="Times New Roman" w:cs="Times New Roman"/>
          <w:sz w:val="28"/>
          <w:szCs w:val="28"/>
          <w:lang w:eastAsia="ru-RU"/>
        </w:rPr>
      </w:pPr>
    </w:p>
    <w:p w14:paraId="01A219AF" w14:textId="77777777" w:rsidR="000711E6" w:rsidRPr="00E47AA9" w:rsidRDefault="000711E6" w:rsidP="00FD476E">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noProof/>
          <w:sz w:val="20"/>
          <w:szCs w:val="20"/>
          <w:lang w:eastAsia="ru-RU"/>
        </w:rPr>
        <w:drawing>
          <wp:anchor distT="0" distB="0" distL="114300" distR="114300" simplePos="0" relativeHeight="251686912" behindDoc="0" locked="0" layoutInCell="1" allowOverlap="1" wp14:anchorId="0D3FF617" wp14:editId="69D08495">
            <wp:simplePos x="0" y="0"/>
            <wp:positionH relativeFrom="column">
              <wp:posOffset>-96611</wp:posOffset>
            </wp:positionH>
            <wp:positionV relativeFrom="paragraph">
              <wp:posOffset>57694</wp:posOffset>
            </wp:positionV>
            <wp:extent cx="1068070" cy="1118235"/>
            <wp:effectExtent l="0" t="0" r="0" b="5715"/>
            <wp:wrapSquare wrapText="bothSides"/>
            <wp:docPr id="17" name="Рисунок 17" descr="C:\Users\zavzyataya_sv\Desktop\Картинки к исполнению\depositphotos_11399284-stock-illustration-cartoon-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avzyataya_sv\Desktop\Картинки к исполнению\depositphotos_11399284-stock-illustration-cartoon-forest.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068070" cy="11182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AA9">
        <w:rPr>
          <w:rFonts w:ascii="Times New Roman" w:eastAsia="Times New Roman" w:hAnsi="Times New Roman" w:cs="Times New Roman"/>
          <w:b/>
          <w:sz w:val="28"/>
          <w:szCs w:val="28"/>
          <w:lang w:eastAsia="ru-RU"/>
        </w:rPr>
        <w:t xml:space="preserve">5.2.16. Государственная программа Приморского края "Развитие лесного хозяйства в Приморском крае" </w:t>
      </w:r>
    </w:p>
    <w:p w14:paraId="42BFFCE1" w14:textId="77777777" w:rsidR="00925B5C" w:rsidRPr="00E47AA9" w:rsidRDefault="00925B5C" w:rsidP="00925B5C">
      <w:pPr>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Уточненные на 2024 год бюджетные назначения составили 2264,98 млн рублей. Исполнение 98,85 %, или 2239,02 млн рублей, в том числе за счет средств федерального бюджета – 852,16 млн рублей, краевого бюджета – 1386,86 млн рублей. </w:t>
      </w:r>
    </w:p>
    <w:p w14:paraId="5A552751" w14:textId="0CC6343C" w:rsidR="00925B5C" w:rsidRPr="00E47AA9" w:rsidRDefault="00925B5C" w:rsidP="00925B5C">
      <w:pPr>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Ответственным исполнителем ГП является министерство лесного хозяйства</w:t>
      </w:r>
      <w:r w:rsidR="001141C0"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w:t>
      </w:r>
      <w:r w:rsidR="001141C0" w:rsidRPr="00E47AA9">
        <w:rPr>
          <w:rFonts w:ascii="Times New Roman" w:eastAsia="Calibri" w:hAnsi="Times New Roman" w:cs="Times New Roman"/>
          <w:sz w:val="28"/>
          <w:szCs w:val="28"/>
        </w:rPr>
        <w:t xml:space="preserve">охраны окружающей среды, животного мира и природных ресурсов </w:t>
      </w:r>
      <w:r w:rsidRPr="00E47AA9">
        <w:rPr>
          <w:rFonts w:ascii="Times New Roman" w:eastAsia="Calibri" w:hAnsi="Times New Roman" w:cs="Times New Roman"/>
          <w:sz w:val="28"/>
          <w:szCs w:val="28"/>
        </w:rPr>
        <w:t>Приморского края (далее – министерство) (без соисполнителей).</w:t>
      </w:r>
    </w:p>
    <w:p w14:paraId="0FD24318" w14:textId="77777777" w:rsidR="00925B5C" w:rsidRPr="00E47AA9" w:rsidRDefault="00925B5C" w:rsidP="00925B5C">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Исполнение ГП на 2024 год в разрезе структурных элементов представлено в таблице.</w:t>
      </w:r>
    </w:p>
    <w:p w14:paraId="10649C14" w14:textId="77777777" w:rsidR="00925B5C" w:rsidRPr="00E47AA9" w:rsidRDefault="00925B5C" w:rsidP="00925B5C">
      <w:pPr>
        <w:spacing w:after="0" w:line="240" w:lineRule="auto"/>
        <w:ind w:firstLine="709"/>
        <w:jc w:val="right"/>
        <w:rPr>
          <w:rFonts w:ascii="Times New Roman" w:eastAsia="Calibri" w:hAnsi="Times New Roman" w:cs="Times New Roman"/>
          <w:sz w:val="24"/>
          <w:szCs w:val="24"/>
        </w:rPr>
      </w:pPr>
    </w:p>
    <w:tbl>
      <w:tblPr>
        <w:tblW w:w="9380" w:type="dxa"/>
        <w:tblLook w:val="04A0" w:firstRow="1" w:lastRow="0" w:firstColumn="1" w:lastColumn="0" w:noHBand="0" w:noVBand="1"/>
      </w:tblPr>
      <w:tblGrid>
        <w:gridCol w:w="3397"/>
        <w:gridCol w:w="1279"/>
        <w:gridCol w:w="1163"/>
        <w:gridCol w:w="1274"/>
        <w:gridCol w:w="845"/>
        <w:gridCol w:w="1422"/>
      </w:tblGrid>
      <w:tr w:rsidR="00E47AA9" w:rsidRPr="00E47AA9" w14:paraId="051EE9DD" w14:textId="77777777" w:rsidTr="00F370CB">
        <w:trPr>
          <w:trHeight w:val="20"/>
          <w:tblHeader/>
        </w:trPr>
        <w:tc>
          <w:tcPr>
            <w:tcW w:w="3397" w:type="dxa"/>
            <w:tcBorders>
              <w:bottom w:val="single" w:sz="4" w:space="0" w:color="auto"/>
            </w:tcBorders>
            <w:shd w:val="clear" w:color="auto" w:fill="auto"/>
            <w:vAlign w:val="center"/>
          </w:tcPr>
          <w:p w14:paraId="7EC4731E" w14:textId="77777777" w:rsidR="00925B5C" w:rsidRPr="00E47AA9" w:rsidRDefault="00925B5C" w:rsidP="00816CA3">
            <w:pPr>
              <w:spacing w:after="0" w:line="240" w:lineRule="auto"/>
              <w:jc w:val="center"/>
              <w:rPr>
                <w:rFonts w:ascii="Times New Roman" w:eastAsia="Times New Roman" w:hAnsi="Times New Roman" w:cs="Times New Roman"/>
                <w:sz w:val="20"/>
                <w:szCs w:val="20"/>
                <w:lang w:eastAsia="ru-RU"/>
              </w:rPr>
            </w:pPr>
          </w:p>
        </w:tc>
        <w:tc>
          <w:tcPr>
            <w:tcW w:w="1279" w:type="dxa"/>
            <w:tcBorders>
              <w:bottom w:val="single" w:sz="4" w:space="0" w:color="auto"/>
            </w:tcBorders>
            <w:shd w:val="clear" w:color="auto" w:fill="auto"/>
            <w:vAlign w:val="center"/>
          </w:tcPr>
          <w:p w14:paraId="51814D85" w14:textId="77777777" w:rsidR="00925B5C" w:rsidRPr="00E47AA9" w:rsidRDefault="00925B5C" w:rsidP="00816CA3">
            <w:pPr>
              <w:spacing w:after="0" w:line="240" w:lineRule="auto"/>
              <w:jc w:val="center"/>
              <w:rPr>
                <w:rFonts w:ascii="Times New Roman" w:eastAsia="Times New Roman" w:hAnsi="Times New Roman" w:cs="Times New Roman"/>
                <w:sz w:val="20"/>
                <w:szCs w:val="20"/>
                <w:lang w:eastAsia="ru-RU"/>
              </w:rPr>
            </w:pPr>
          </w:p>
        </w:tc>
        <w:tc>
          <w:tcPr>
            <w:tcW w:w="1163" w:type="dxa"/>
            <w:tcBorders>
              <w:bottom w:val="single" w:sz="4" w:space="0" w:color="auto"/>
            </w:tcBorders>
            <w:shd w:val="clear" w:color="auto" w:fill="auto"/>
            <w:vAlign w:val="center"/>
          </w:tcPr>
          <w:p w14:paraId="6887B876" w14:textId="77777777" w:rsidR="00925B5C" w:rsidRPr="00E47AA9" w:rsidRDefault="00925B5C" w:rsidP="00816CA3">
            <w:pPr>
              <w:spacing w:after="0" w:line="240" w:lineRule="auto"/>
              <w:jc w:val="center"/>
              <w:rPr>
                <w:rFonts w:ascii="Times New Roman" w:eastAsia="Times New Roman" w:hAnsi="Times New Roman" w:cs="Times New Roman"/>
                <w:sz w:val="20"/>
                <w:szCs w:val="20"/>
                <w:lang w:eastAsia="ru-RU"/>
              </w:rPr>
            </w:pPr>
          </w:p>
        </w:tc>
        <w:tc>
          <w:tcPr>
            <w:tcW w:w="1274" w:type="dxa"/>
            <w:tcBorders>
              <w:bottom w:val="single" w:sz="4" w:space="0" w:color="auto"/>
            </w:tcBorders>
            <w:shd w:val="clear" w:color="auto" w:fill="auto"/>
            <w:vAlign w:val="center"/>
          </w:tcPr>
          <w:p w14:paraId="39BC7C35" w14:textId="77777777" w:rsidR="00925B5C" w:rsidRPr="00E47AA9" w:rsidRDefault="00925B5C" w:rsidP="00816CA3">
            <w:pPr>
              <w:spacing w:after="0" w:line="240" w:lineRule="auto"/>
              <w:jc w:val="center"/>
              <w:rPr>
                <w:rFonts w:ascii="Times New Roman" w:eastAsia="Times New Roman" w:hAnsi="Times New Roman" w:cs="Times New Roman"/>
                <w:sz w:val="20"/>
                <w:szCs w:val="20"/>
                <w:lang w:eastAsia="ru-RU"/>
              </w:rPr>
            </w:pPr>
          </w:p>
        </w:tc>
        <w:tc>
          <w:tcPr>
            <w:tcW w:w="2267" w:type="dxa"/>
            <w:gridSpan w:val="2"/>
            <w:tcBorders>
              <w:bottom w:val="single" w:sz="4" w:space="0" w:color="auto"/>
            </w:tcBorders>
            <w:shd w:val="clear" w:color="auto" w:fill="auto"/>
            <w:vAlign w:val="center"/>
          </w:tcPr>
          <w:p w14:paraId="0EF5C1F7" w14:textId="77777777" w:rsidR="00925B5C" w:rsidRPr="00E47AA9" w:rsidRDefault="00925B5C" w:rsidP="00816CA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Calibri" w:hAnsi="Times New Roman" w:cs="Times New Roman"/>
                <w:sz w:val="24"/>
                <w:szCs w:val="20"/>
              </w:rPr>
              <w:t>(млн рублей)</w:t>
            </w:r>
          </w:p>
        </w:tc>
      </w:tr>
      <w:tr w:rsidR="00E47AA9" w:rsidRPr="00E47AA9" w14:paraId="207277BC" w14:textId="77777777" w:rsidTr="00F370CB">
        <w:trPr>
          <w:trHeight w:val="20"/>
          <w:tblHead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14:paraId="0DFE818E" w14:textId="77777777" w:rsidR="00925B5C" w:rsidRPr="00E47AA9" w:rsidRDefault="00925B5C" w:rsidP="00816CA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ГП, типа структурного элемента</w:t>
            </w:r>
          </w:p>
        </w:tc>
        <w:tc>
          <w:tcPr>
            <w:tcW w:w="1279" w:type="dxa"/>
            <w:tcBorders>
              <w:top w:val="single" w:sz="4" w:space="0" w:color="auto"/>
              <w:left w:val="nil"/>
              <w:bottom w:val="single" w:sz="4" w:space="0" w:color="auto"/>
              <w:right w:val="single" w:sz="4" w:space="0" w:color="auto"/>
            </w:tcBorders>
            <w:shd w:val="clear" w:color="000000" w:fill="FFFFFF"/>
            <w:vAlign w:val="center"/>
          </w:tcPr>
          <w:p w14:paraId="77BCD5E3" w14:textId="77777777" w:rsidR="00925B5C" w:rsidRPr="00E47AA9" w:rsidRDefault="00925B5C" w:rsidP="00816CA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Уточненные бюджетные назначения на 2024 год</w:t>
            </w:r>
          </w:p>
        </w:tc>
        <w:tc>
          <w:tcPr>
            <w:tcW w:w="1163" w:type="dxa"/>
            <w:tcBorders>
              <w:top w:val="single" w:sz="4" w:space="0" w:color="auto"/>
              <w:left w:val="nil"/>
              <w:bottom w:val="single" w:sz="4" w:space="0" w:color="auto"/>
              <w:right w:val="single" w:sz="4" w:space="0" w:color="auto"/>
            </w:tcBorders>
            <w:shd w:val="clear" w:color="000000" w:fill="FFFFFF"/>
            <w:vAlign w:val="center"/>
          </w:tcPr>
          <w:p w14:paraId="2266533D" w14:textId="77777777" w:rsidR="00925B5C" w:rsidRPr="00E47AA9" w:rsidRDefault="00925B5C" w:rsidP="00816CA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274" w:type="dxa"/>
            <w:tcBorders>
              <w:top w:val="single" w:sz="4" w:space="0" w:color="auto"/>
              <w:left w:val="nil"/>
              <w:bottom w:val="single" w:sz="4" w:space="0" w:color="auto"/>
              <w:right w:val="single" w:sz="4" w:space="0" w:color="auto"/>
            </w:tcBorders>
            <w:shd w:val="clear" w:color="000000" w:fill="FFFFFF"/>
            <w:vAlign w:val="center"/>
          </w:tcPr>
          <w:p w14:paraId="4A9402AF" w14:textId="77777777" w:rsidR="00925B5C" w:rsidRPr="00E47AA9" w:rsidRDefault="00925B5C" w:rsidP="00816CA3">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исполнения</w:t>
            </w:r>
          </w:p>
        </w:tc>
        <w:tc>
          <w:tcPr>
            <w:tcW w:w="845" w:type="dxa"/>
            <w:tcBorders>
              <w:top w:val="single" w:sz="4" w:space="0" w:color="auto"/>
              <w:left w:val="nil"/>
              <w:bottom w:val="single" w:sz="4" w:space="0" w:color="auto"/>
              <w:right w:val="single" w:sz="4" w:space="0" w:color="auto"/>
            </w:tcBorders>
            <w:shd w:val="clear" w:color="000000" w:fill="FFFFFF"/>
            <w:vAlign w:val="center"/>
          </w:tcPr>
          <w:p w14:paraId="2B37BDE8" w14:textId="77777777" w:rsidR="00925B5C" w:rsidRPr="00E47AA9" w:rsidRDefault="00925B5C" w:rsidP="00816CA3">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Удель-ный</w:t>
            </w:r>
            <w:proofErr w:type="spellEnd"/>
            <w:proofErr w:type="gramEnd"/>
            <w:r w:rsidRPr="00E47AA9">
              <w:rPr>
                <w:rFonts w:ascii="Times New Roman" w:eastAsia="Times New Roman" w:hAnsi="Times New Roman" w:cs="Times New Roman"/>
                <w:sz w:val="20"/>
                <w:szCs w:val="20"/>
                <w:lang w:eastAsia="ru-RU"/>
              </w:rPr>
              <w:t xml:space="preserve"> вес, %</w:t>
            </w:r>
          </w:p>
        </w:tc>
        <w:tc>
          <w:tcPr>
            <w:tcW w:w="1422" w:type="dxa"/>
            <w:tcBorders>
              <w:top w:val="single" w:sz="4" w:space="0" w:color="auto"/>
              <w:left w:val="nil"/>
              <w:bottom w:val="single" w:sz="4" w:space="0" w:color="auto"/>
              <w:right w:val="single" w:sz="4" w:space="0" w:color="auto"/>
            </w:tcBorders>
            <w:shd w:val="clear" w:color="000000" w:fill="FFFFFF"/>
            <w:vAlign w:val="center"/>
          </w:tcPr>
          <w:p w14:paraId="147D27F4" w14:textId="77777777" w:rsidR="00925B5C" w:rsidRPr="00E47AA9" w:rsidRDefault="00925B5C" w:rsidP="00816CA3">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r>
      <w:tr w:rsidR="00E47AA9" w:rsidRPr="00E47AA9" w14:paraId="68A83B06" w14:textId="77777777" w:rsidTr="00816CA3">
        <w:trPr>
          <w:trHeight w:val="20"/>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626834B2" w14:textId="285C15FE" w:rsidR="00925B5C" w:rsidRPr="00E47AA9" w:rsidRDefault="00925B5C" w:rsidP="00C1550A">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Расходы по ГП всего,</w:t>
            </w:r>
            <w:r w:rsidR="00C1550A" w:rsidRPr="00E47AA9">
              <w:rPr>
                <w:rFonts w:ascii="Times New Roman" w:eastAsia="Times New Roman" w:hAnsi="Times New Roman" w:cs="Times New Roman"/>
                <w:b/>
                <w:bCs/>
                <w:sz w:val="20"/>
                <w:szCs w:val="20"/>
                <w:lang w:eastAsia="ru-RU"/>
              </w:rPr>
              <w:t xml:space="preserve"> </w:t>
            </w:r>
            <w:r w:rsidRPr="00E47AA9">
              <w:rPr>
                <w:rFonts w:ascii="Times New Roman" w:eastAsia="Times New Roman" w:hAnsi="Times New Roman" w:cs="Times New Roman"/>
                <w:bCs/>
                <w:sz w:val="20"/>
                <w:szCs w:val="20"/>
                <w:lang w:eastAsia="ru-RU"/>
              </w:rPr>
              <w:t>в том числе</w:t>
            </w:r>
          </w:p>
        </w:tc>
        <w:tc>
          <w:tcPr>
            <w:tcW w:w="1279" w:type="dxa"/>
            <w:tcBorders>
              <w:top w:val="nil"/>
              <w:left w:val="nil"/>
              <w:bottom w:val="single" w:sz="4" w:space="0" w:color="auto"/>
              <w:right w:val="single" w:sz="4" w:space="0" w:color="auto"/>
            </w:tcBorders>
            <w:shd w:val="clear" w:color="000000" w:fill="FFFFFF"/>
            <w:vAlign w:val="center"/>
            <w:hideMark/>
          </w:tcPr>
          <w:p w14:paraId="52BA82DB"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2264,98</w:t>
            </w:r>
          </w:p>
        </w:tc>
        <w:tc>
          <w:tcPr>
            <w:tcW w:w="1163" w:type="dxa"/>
            <w:tcBorders>
              <w:top w:val="nil"/>
              <w:left w:val="nil"/>
              <w:bottom w:val="single" w:sz="4" w:space="0" w:color="auto"/>
              <w:right w:val="single" w:sz="4" w:space="0" w:color="auto"/>
            </w:tcBorders>
            <w:shd w:val="clear" w:color="000000" w:fill="FFFFFF"/>
            <w:vAlign w:val="center"/>
            <w:hideMark/>
          </w:tcPr>
          <w:p w14:paraId="583ADE81"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2239,02</w:t>
            </w:r>
          </w:p>
        </w:tc>
        <w:tc>
          <w:tcPr>
            <w:tcW w:w="1274" w:type="dxa"/>
            <w:tcBorders>
              <w:top w:val="nil"/>
              <w:left w:val="nil"/>
              <w:bottom w:val="single" w:sz="4" w:space="0" w:color="auto"/>
              <w:right w:val="single" w:sz="4" w:space="0" w:color="auto"/>
            </w:tcBorders>
            <w:shd w:val="clear" w:color="000000" w:fill="FFFFFF"/>
            <w:vAlign w:val="center"/>
            <w:hideMark/>
          </w:tcPr>
          <w:p w14:paraId="6576D79F"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98,85</w:t>
            </w:r>
          </w:p>
        </w:tc>
        <w:tc>
          <w:tcPr>
            <w:tcW w:w="845" w:type="dxa"/>
            <w:tcBorders>
              <w:top w:val="nil"/>
              <w:left w:val="nil"/>
              <w:bottom w:val="single" w:sz="4" w:space="0" w:color="auto"/>
              <w:right w:val="single" w:sz="4" w:space="0" w:color="auto"/>
            </w:tcBorders>
            <w:shd w:val="clear" w:color="000000" w:fill="FFFFFF"/>
            <w:vAlign w:val="center"/>
            <w:hideMark/>
          </w:tcPr>
          <w:p w14:paraId="1B3AEA05"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c>
          <w:tcPr>
            <w:tcW w:w="1422" w:type="dxa"/>
            <w:tcBorders>
              <w:top w:val="nil"/>
              <w:left w:val="nil"/>
              <w:bottom w:val="single" w:sz="4" w:space="0" w:color="auto"/>
              <w:right w:val="single" w:sz="4" w:space="0" w:color="auto"/>
            </w:tcBorders>
            <w:shd w:val="clear" w:color="000000" w:fill="FFFFFF"/>
            <w:vAlign w:val="center"/>
            <w:hideMark/>
          </w:tcPr>
          <w:p w14:paraId="3E3093F0"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25,96</w:t>
            </w:r>
          </w:p>
        </w:tc>
      </w:tr>
      <w:tr w:rsidR="00E47AA9" w:rsidRPr="00E47AA9" w14:paraId="35FFB3B9" w14:textId="77777777" w:rsidTr="00816CA3">
        <w:trPr>
          <w:trHeight w:val="20"/>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18ED310B" w14:textId="6FC46D10" w:rsidR="00925B5C" w:rsidRPr="00E47AA9" w:rsidRDefault="00925B5C" w:rsidP="00C1550A">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проектные мероприятия, в том числе</w:t>
            </w:r>
          </w:p>
        </w:tc>
        <w:tc>
          <w:tcPr>
            <w:tcW w:w="1279" w:type="dxa"/>
            <w:tcBorders>
              <w:top w:val="nil"/>
              <w:left w:val="nil"/>
              <w:bottom w:val="single" w:sz="4" w:space="0" w:color="auto"/>
              <w:right w:val="single" w:sz="4" w:space="0" w:color="auto"/>
            </w:tcBorders>
            <w:shd w:val="clear" w:color="auto" w:fill="auto"/>
            <w:vAlign w:val="center"/>
            <w:hideMark/>
          </w:tcPr>
          <w:p w14:paraId="5E7F40FF"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186,56</w:t>
            </w:r>
          </w:p>
        </w:tc>
        <w:tc>
          <w:tcPr>
            <w:tcW w:w="1163" w:type="dxa"/>
            <w:tcBorders>
              <w:top w:val="nil"/>
              <w:left w:val="nil"/>
              <w:bottom w:val="single" w:sz="4" w:space="0" w:color="auto"/>
              <w:right w:val="single" w:sz="4" w:space="0" w:color="auto"/>
            </w:tcBorders>
            <w:shd w:val="clear" w:color="auto" w:fill="auto"/>
            <w:vAlign w:val="center"/>
            <w:hideMark/>
          </w:tcPr>
          <w:p w14:paraId="52ED53D9"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170,81</w:t>
            </w:r>
          </w:p>
        </w:tc>
        <w:tc>
          <w:tcPr>
            <w:tcW w:w="1274" w:type="dxa"/>
            <w:tcBorders>
              <w:top w:val="nil"/>
              <w:left w:val="nil"/>
              <w:bottom w:val="single" w:sz="4" w:space="0" w:color="auto"/>
              <w:right w:val="single" w:sz="4" w:space="0" w:color="auto"/>
            </w:tcBorders>
            <w:shd w:val="clear" w:color="auto" w:fill="auto"/>
            <w:vAlign w:val="center"/>
            <w:hideMark/>
          </w:tcPr>
          <w:p w14:paraId="75B6842B"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91,56</w:t>
            </w:r>
          </w:p>
        </w:tc>
        <w:tc>
          <w:tcPr>
            <w:tcW w:w="845" w:type="dxa"/>
            <w:tcBorders>
              <w:top w:val="nil"/>
              <w:left w:val="nil"/>
              <w:bottom w:val="single" w:sz="4" w:space="0" w:color="auto"/>
              <w:right w:val="single" w:sz="4" w:space="0" w:color="auto"/>
            </w:tcBorders>
            <w:shd w:val="clear" w:color="auto" w:fill="auto"/>
            <w:vAlign w:val="center"/>
            <w:hideMark/>
          </w:tcPr>
          <w:p w14:paraId="75F96BBD"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7,63</w:t>
            </w:r>
          </w:p>
        </w:tc>
        <w:tc>
          <w:tcPr>
            <w:tcW w:w="1422" w:type="dxa"/>
            <w:tcBorders>
              <w:top w:val="nil"/>
              <w:left w:val="nil"/>
              <w:bottom w:val="single" w:sz="4" w:space="0" w:color="auto"/>
              <w:right w:val="single" w:sz="4" w:space="0" w:color="auto"/>
            </w:tcBorders>
            <w:shd w:val="clear" w:color="auto" w:fill="auto"/>
            <w:vAlign w:val="center"/>
            <w:hideMark/>
          </w:tcPr>
          <w:p w14:paraId="7CA73741"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15,75</w:t>
            </w:r>
          </w:p>
        </w:tc>
      </w:tr>
      <w:tr w:rsidR="00E47AA9" w:rsidRPr="00E47AA9" w14:paraId="1E6086CF" w14:textId="77777777" w:rsidTr="00816CA3">
        <w:trPr>
          <w:trHeight w:val="20"/>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2D9E8478" w14:textId="77777777" w:rsidR="00925B5C" w:rsidRPr="00E47AA9" w:rsidRDefault="00925B5C" w:rsidP="00816CA3">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 xml:space="preserve">РП входящие в состав НП </w:t>
            </w:r>
          </w:p>
        </w:tc>
        <w:tc>
          <w:tcPr>
            <w:tcW w:w="1279" w:type="dxa"/>
            <w:tcBorders>
              <w:top w:val="nil"/>
              <w:left w:val="nil"/>
              <w:bottom w:val="single" w:sz="4" w:space="0" w:color="auto"/>
              <w:right w:val="single" w:sz="4" w:space="0" w:color="auto"/>
            </w:tcBorders>
            <w:shd w:val="clear" w:color="auto" w:fill="auto"/>
            <w:vAlign w:val="center"/>
            <w:hideMark/>
          </w:tcPr>
          <w:p w14:paraId="354CB547"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186,56</w:t>
            </w:r>
          </w:p>
        </w:tc>
        <w:tc>
          <w:tcPr>
            <w:tcW w:w="1163" w:type="dxa"/>
            <w:tcBorders>
              <w:top w:val="nil"/>
              <w:left w:val="nil"/>
              <w:bottom w:val="single" w:sz="4" w:space="0" w:color="auto"/>
              <w:right w:val="single" w:sz="4" w:space="0" w:color="auto"/>
            </w:tcBorders>
            <w:shd w:val="clear" w:color="auto" w:fill="auto"/>
            <w:vAlign w:val="center"/>
            <w:hideMark/>
          </w:tcPr>
          <w:p w14:paraId="5AD33BC9"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170,81</w:t>
            </w:r>
          </w:p>
        </w:tc>
        <w:tc>
          <w:tcPr>
            <w:tcW w:w="1274" w:type="dxa"/>
            <w:tcBorders>
              <w:top w:val="nil"/>
              <w:left w:val="nil"/>
              <w:bottom w:val="single" w:sz="4" w:space="0" w:color="auto"/>
              <w:right w:val="single" w:sz="4" w:space="0" w:color="auto"/>
            </w:tcBorders>
            <w:shd w:val="clear" w:color="auto" w:fill="auto"/>
            <w:vAlign w:val="center"/>
            <w:hideMark/>
          </w:tcPr>
          <w:p w14:paraId="74A9636F"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91,56</w:t>
            </w:r>
          </w:p>
        </w:tc>
        <w:tc>
          <w:tcPr>
            <w:tcW w:w="845" w:type="dxa"/>
            <w:tcBorders>
              <w:top w:val="nil"/>
              <w:left w:val="nil"/>
              <w:bottom w:val="single" w:sz="4" w:space="0" w:color="auto"/>
              <w:right w:val="single" w:sz="4" w:space="0" w:color="auto"/>
            </w:tcBorders>
            <w:shd w:val="clear" w:color="auto" w:fill="auto"/>
            <w:vAlign w:val="center"/>
            <w:hideMark/>
          </w:tcPr>
          <w:p w14:paraId="21589C3A"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7,63</w:t>
            </w:r>
          </w:p>
        </w:tc>
        <w:tc>
          <w:tcPr>
            <w:tcW w:w="1422" w:type="dxa"/>
            <w:tcBorders>
              <w:top w:val="nil"/>
              <w:left w:val="nil"/>
              <w:bottom w:val="single" w:sz="4" w:space="0" w:color="auto"/>
              <w:right w:val="single" w:sz="4" w:space="0" w:color="auto"/>
            </w:tcBorders>
            <w:shd w:val="clear" w:color="auto" w:fill="auto"/>
            <w:vAlign w:val="center"/>
            <w:hideMark/>
          </w:tcPr>
          <w:p w14:paraId="5F6E1D22"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15,75</w:t>
            </w:r>
          </w:p>
        </w:tc>
      </w:tr>
      <w:tr w:rsidR="00E47AA9" w:rsidRPr="00E47AA9" w14:paraId="01DC1A83" w14:textId="77777777" w:rsidTr="00816CA3">
        <w:trPr>
          <w:trHeight w:val="20"/>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7820646D" w14:textId="77777777" w:rsidR="00925B5C" w:rsidRPr="00E47AA9" w:rsidRDefault="00925B5C" w:rsidP="00816CA3">
            <w:pPr>
              <w:spacing w:after="0" w:line="240" w:lineRule="auto"/>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НП "Экология"</w:t>
            </w:r>
          </w:p>
        </w:tc>
        <w:tc>
          <w:tcPr>
            <w:tcW w:w="1279" w:type="dxa"/>
            <w:tcBorders>
              <w:top w:val="nil"/>
              <w:left w:val="nil"/>
              <w:bottom w:val="single" w:sz="4" w:space="0" w:color="auto"/>
              <w:right w:val="single" w:sz="4" w:space="0" w:color="auto"/>
            </w:tcBorders>
            <w:shd w:val="clear" w:color="auto" w:fill="auto"/>
            <w:vAlign w:val="center"/>
            <w:hideMark/>
          </w:tcPr>
          <w:p w14:paraId="0DB99067" w14:textId="77777777" w:rsidR="00925B5C" w:rsidRPr="00E47AA9" w:rsidRDefault="00925B5C" w:rsidP="00816CA3">
            <w:pPr>
              <w:spacing w:after="0" w:line="240" w:lineRule="auto"/>
              <w:jc w:val="right"/>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155,06</w:t>
            </w:r>
          </w:p>
        </w:tc>
        <w:tc>
          <w:tcPr>
            <w:tcW w:w="1163" w:type="dxa"/>
            <w:tcBorders>
              <w:top w:val="nil"/>
              <w:left w:val="nil"/>
              <w:bottom w:val="single" w:sz="4" w:space="0" w:color="auto"/>
              <w:right w:val="single" w:sz="4" w:space="0" w:color="auto"/>
            </w:tcBorders>
            <w:shd w:val="clear" w:color="auto" w:fill="auto"/>
            <w:vAlign w:val="center"/>
            <w:hideMark/>
          </w:tcPr>
          <w:p w14:paraId="22E57AFD" w14:textId="77777777" w:rsidR="00925B5C" w:rsidRPr="00E47AA9" w:rsidRDefault="00925B5C" w:rsidP="00816CA3">
            <w:pPr>
              <w:spacing w:after="0" w:line="240" w:lineRule="auto"/>
              <w:jc w:val="right"/>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155,06</w:t>
            </w:r>
          </w:p>
        </w:tc>
        <w:tc>
          <w:tcPr>
            <w:tcW w:w="1274" w:type="dxa"/>
            <w:tcBorders>
              <w:top w:val="nil"/>
              <w:left w:val="nil"/>
              <w:bottom w:val="single" w:sz="4" w:space="0" w:color="auto"/>
              <w:right w:val="single" w:sz="4" w:space="0" w:color="auto"/>
            </w:tcBorders>
            <w:shd w:val="clear" w:color="auto" w:fill="auto"/>
            <w:vAlign w:val="center"/>
            <w:hideMark/>
          </w:tcPr>
          <w:p w14:paraId="58ABFEE5" w14:textId="77777777" w:rsidR="00925B5C" w:rsidRPr="00E47AA9" w:rsidRDefault="00925B5C" w:rsidP="00816CA3">
            <w:pPr>
              <w:spacing w:after="0" w:line="240" w:lineRule="auto"/>
              <w:jc w:val="right"/>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100,00</w:t>
            </w:r>
          </w:p>
        </w:tc>
        <w:tc>
          <w:tcPr>
            <w:tcW w:w="845" w:type="dxa"/>
            <w:tcBorders>
              <w:top w:val="nil"/>
              <w:left w:val="nil"/>
              <w:bottom w:val="single" w:sz="4" w:space="0" w:color="auto"/>
              <w:right w:val="single" w:sz="4" w:space="0" w:color="auto"/>
            </w:tcBorders>
            <w:shd w:val="clear" w:color="auto" w:fill="auto"/>
            <w:vAlign w:val="center"/>
            <w:hideMark/>
          </w:tcPr>
          <w:p w14:paraId="595E7FDD" w14:textId="77777777" w:rsidR="00925B5C" w:rsidRPr="00E47AA9" w:rsidRDefault="00925B5C" w:rsidP="00816CA3">
            <w:pPr>
              <w:spacing w:after="0" w:line="240" w:lineRule="auto"/>
              <w:jc w:val="right"/>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6,93</w:t>
            </w:r>
          </w:p>
        </w:tc>
        <w:tc>
          <w:tcPr>
            <w:tcW w:w="1422" w:type="dxa"/>
            <w:tcBorders>
              <w:top w:val="nil"/>
              <w:left w:val="nil"/>
              <w:bottom w:val="single" w:sz="4" w:space="0" w:color="auto"/>
              <w:right w:val="single" w:sz="4" w:space="0" w:color="auto"/>
            </w:tcBorders>
            <w:shd w:val="clear" w:color="auto" w:fill="auto"/>
            <w:vAlign w:val="center"/>
            <w:hideMark/>
          </w:tcPr>
          <w:p w14:paraId="195C37F9" w14:textId="77777777" w:rsidR="00925B5C" w:rsidRPr="00E47AA9" w:rsidRDefault="00925B5C" w:rsidP="00816CA3">
            <w:pPr>
              <w:spacing w:after="0" w:line="240" w:lineRule="auto"/>
              <w:jc w:val="right"/>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0,00</w:t>
            </w:r>
          </w:p>
        </w:tc>
      </w:tr>
      <w:tr w:rsidR="00E47AA9" w:rsidRPr="00E47AA9" w14:paraId="7C9591F0" w14:textId="77777777" w:rsidTr="00816CA3">
        <w:trPr>
          <w:trHeight w:val="20"/>
        </w:trPr>
        <w:tc>
          <w:tcPr>
            <w:tcW w:w="3397" w:type="dxa"/>
            <w:tcBorders>
              <w:top w:val="nil"/>
              <w:left w:val="single" w:sz="4" w:space="0" w:color="auto"/>
              <w:bottom w:val="single" w:sz="4" w:space="0" w:color="auto"/>
              <w:right w:val="single" w:sz="4" w:space="0" w:color="auto"/>
            </w:tcBorders>
            <w:shd w:val="clear" w:color="000000" w:fill="FFFFFF"/>
            <w:vAlign w:val="center"/>
            <w:hideMark/>
          </w:tcPr>
          <w:p w14:paraId="73F1B8E7" w14:textId="77777777" w:rsidR="00925B5C" w:rsidRPr="00E47AA9" w:rsidRDefault="00925B5C" w:rsidP="00816CA3">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 xml:space="preserve">РП "Сохранение лесов" </w:t>
            </w:r>
          </w:p>
        </w:tc>
        <w:tc>
          <w:tcPr>
            <w:tcW w:w="1279" w:type="dxa"/>
            <w:tcBorders>
              <w:top w:val="nil"/>
              <w:left w:val="nil"/>
              <w:bottom w:val="single" w:sz="4" w:space="0" w:color="auto"/>
              <w:right w:val="single" w:sz="4" w:space="0" w:color="auto"/>
            </w:tcBorders>
            <w:shd w:val="clear" w:color="auto" w:fill="auto"/>
            <w:vAlign w:val="center"/>
            <w:hideMark/>
          </w:tcPr>
          <w:p w14:paraId="1B4F614C" w14:textId="77777777" w:rsidR="00925B5C" w:rsidRPr="00E47AA9" w:rsidRDefault="00925B5C" w:rsidP="00816CA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155,06</w:t>
            </w:r>
          </w:p>
        </w:tc>
        <w:tc>
          <w:tcPr>
            <w:tcW w:w="1163" w:type="dxa"/>
            <w:tcBorders>
              <w:top w:val="nil"/>
              <w:left w:val="nil"/>
              <w:bottom w:val="single" w:sz="4" w:space="0" w:color="auto"/>
              <w:right w:val="single" w:sz="4" w:space="0" w:color="auto"/>
            </w:tcBorders>
            <w:shd w:val="clear" w:color="auto" w:fill="auto"/>
            <w:vAlign w:val="center"/>
            <w:hideMark/>
          </w:tcPr>
          <w:p w14:paraId="4F544FE3" w14:textId="77777777" w:rsidR="00925B5C" w:rsidRPr="00E47AA9" w:rsidRDefault="00925B5C" w:rsidP="00816CA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155,06</w:t>
            </w:r>
          </w:p>
        </w:tc>
        <w:tc>
          <w:tcPr>
            <w:tcW w:w="1274" w:type="dxa"/>
            <w:tcBorders>
              <w:top w:val="nil"/>
              <w:left w:val="nil"/>
              <w:bottom w:val="single" w:sz="4" w:space="0" w:color="auto"/>
              <w:right w:val="single" w:sz="4" w:space="0" w:color="auto"/>
            </w:tcBorders>
            <w:shd w:val="clear" w:color="auto" w:fill="auto"/>
            <w:vAlign w:val="center"/>
            <w:hideMark/>
          </w:tcPr>
          <w:p w14:paraId="7089A8E7" w14:textId="77777777" w:rsidR="00925B5C" w:rsidRPr="00E47AA9" w:rsidRDefault="00925B5C" w:rsidP="00816CA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100,00</w:t>
            </w:r>
          </w:p>
        </w:tc>
        <w:tc>
          <w:tcPr>
            <w:tcW w:w="845" w:type="dxa"/>
            <w:tcBorders>
              <w:top w:val="nil"/>
              <w:left w:val="nil"/>
              <w:bottom w:val="single" w:sz="4" w:space="0" w:color="auto"/>
              <w:right w:val="single" w:sz="4" w:space="0" w:color="auto"/>
            </w:tcBorders>
            <w:shd w:val="clear" w:color="auto" w:fill="auto"/>
            <w:vAlign w:val="center"/>
            <w:hideMark/>
          </w:tcPr>
          <w:p w14:paraId="6C21A645" w14:textId="77777777" w:rsidR="00925B5C" w:rsidRPr="00E47AA9" w:rsidRDefault="00925B5C" w:rsidP="00816CA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6,93</w:t>
            </w:r>
          </w:p>
        </w:tc>
        <w:tc>
          <w:tcPr>
            <w:tcW w:w="1422" w:type="dxa"/>
            <w:tcBorders>
              <w:top w:val="nil"/>
              <w:left w:val="nil"/>
              <w:bottom w:val="single" w:sz="4" w:space="0" w:color="auto"/>
              <w:right w:val="single" w:sz="4" w:space="0" w:color="auto"/>
            </w:tcBorders>
            <w:shd w:val="clear" w:color="auto" w:fill="auto"/>
            <w:vAlign w:val="center"/>
            <w:hideMark/>
          </w:tcPr>
          <w:p w14:paraId="61F484C0" w14:textId="77777777" w:rsidR="00925B5C" w:rsidRPr="00E47AA9" w:rsidRDefault="00925B5C" w:rsidP="00816CA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0,00</w:t>
            </w:r>
          </w:p>
        </w:tc>
      </w:tr>
      <w:tr w:rsidR="00E47AA9" w:rsidRPr="00E47AA9" w14:paraId="41E8058F" w14:textId="77777777" w:rsidTr="00816CA3">
        <w:trPr>
          <w:trHeight w:val="20"/>
        </w:trPr>
        <w:tc>
          <w:tcPr>
            <w:tcW w:w="3397" w:type="dxa"/>
            <w:tcBorders>
              <w:top w:val="nil"/>
              <w:left w:val="single" w:sz="4" w:space="0" w:color="auto"/>
              <w:bottom w:val="single" w:sz="4" w:space="0" w:color="auto"/>
              <w:right w:val="single" w:sz="4" w:space="0" w:color="auto"/>
            </w:tcBorders>
            <w:shd w:val="clear" w:color="000000" w:fill="FFFFFF"/>
            <w:vAlign w:val="center"/>
            <w:hideMark/>
          </w:tcPr>
          <w:p w14:paraId="110C9C60" w14:textId="77777777" w:rsidR="00925B5C" w:rsidRPr="00E47AA9" w:rsidRDefault="00925B5C" w:rsidP="00816CA3">
            <w:pPr>
              <w:spacing w:after="0" w:line="240" w:lineRule="auto"/>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НП "Беспилотные авиационные системы"</w:t>
            </w:r>
          </w:p>
        </w:tc>
        <w:tc>
          <w:tcPr>
            <w:tcW w:w="1279" w:type="dxa"/>
            <w:tcBorders>
              <w:top w:val="nil"/>
              <w:left w:val="nil"/>
              <w:bottom w:val="single" w:sz="4" w:space="0" w:color="auto"/>
              <w:right w:val="single" w:sz="4" w:space="0" w:color="auto"/>
            </w:tcBorders>
            <w:shd w:val="clear" w:color="auto" w:fill="auto"/>
            <w:vAlign w:val="center"/>
            <w:hideMark/>
          </w:tcPr>
          <w:p w14:paraId="2BD7CFD7" w14:textId="77777777" w:rsidR="00925B5C" w:rsidRPr="00E47AA9" w:rsidRDefault="00925B5C" w:rsidP="00816CA3">
            <w:pPr>
              <w:spacing w:after="0" w:line="240" w:lineRule="auto"/>
              <w:jc w:val="right"/>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31,50</w:t>
            </w:r>
          </w:p>
        </w:tc>
        <w:tc>
          <w:tcPr>
            <w:tcW w:w="1163" w:type="dxa"/>
            <w:tcBorders>
              <w:top w:val="nil"/>
              <w:left w:val="nil"/>
              <w:bottom w:val="single" w:sz="4" w:space="0" w:color="auto"/>
              <w:right w:val="single" w:sz="4" w:space="0" w:color="auto"/>
            </w:tcBorders>
            <w:shd w:val="clear" w:color="auto" w:fill="auto"/>
            <w:vAlign w:val="center"/>
            <w:hideMark/>
          </w:tcPr>
          <w:p w14:paraId="114D3117" w14:textId="77777777" w:rsidR="00925B5C" w:rsidRPr="00E47AA9" w:rsidRDefault="00925B5C" w:rsidP="00816CA3">
            <w:pPr>
              <w:spacing w:after="0" w:line="240" w:lineRule="auto"/>
              <w:jc w:val="right"/>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15,75</w:t>
            </w:r>
          </w:p>
        </w:tc>
        <w:tc>
          <w:tcPr>
            <w:tcW w:w="1274" w:type="dxa"/>
            <w:tcBorders>
              <w:top w:val="nil"/>
              <w:left w:val="nil"/>
              <w:bottom w:val="single" w:sz="4" w:space="0" w:color="auto"/>
              <w:right w:val="single" w:sz="4" w:space="0" w:color="auto"/>
            </w:tcBorders>
            <w:shd w:val="clear" w:color="auto" w:fill="auto"/>
            <w:vAlign w:val="center"/>
            <w:hideMark/>
          </w:tcPr>
          <w:p w14:paraId="59610BDB" w14:textId="77777777" w:rsidR="00925B5C" w:rsidRPr="00E47AA9" w:rsidRDefault="00925B5C" w:rsidP="00816CA3">
            <w:pPr>
              <w:spacing w:after="0" w:line="240" w:lineRule="auto"/>
              <w:jc w:val="right"/>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50,00</w:t>
            </w:r>
          </w:p>
        </w:tc>
        <w:tc>
          <w:tcPr>
            <w:tcW w:w="845" w:type="dxa"/>
            <w:tcBorders>
              <w:top w:val="nil"/>
              <w:left w:val="nil"/>
              <w:bottom w:val="single" w:sz="4" w:space="0" w:color="auto"/>
              <w:right w:val="single" w:sz="4" w:space="0" w:color="auto"/>
            </w:tcBorders>
            <w:shd w:val="clear" w:color="auto" w:fill="auto"/>
            <w:vAlign w:val="center"/>
            <w:hideMark/>
          </w:tcPr>
          <w:p w14:paraId="7B10BBDA" w14:textId="77777777" w:rsidR="00925B5C" w:rsidRPr="00E47AA9" w:rsidRDefault="00925B5C" w:rsidP="00816CA3">
            <w:pPr>
              <w:spacing w:after="0" w:line="240" w:lineRule="auto"/>
              <w:jc w:val="right"/>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0,70</w:t>
            </w:r>
          </w:p>
        </w:tc>
        <w:tc>
          <w:tcPr>
            <w:tcW w:w="1422" w:type="dxa"/>
            <w:tcBorders>
              <w:top w:val="nil"/>
              <w:left w:val="nil"/>
              <w:bottom w:val="single" w:sz="4" w:space="0" w:color="auto"/>
              <w:right w:val="single" w:sz="4" w:space="0" w:color="auto"/>
            </w:tcBorders>
            <w:shd w:val="clear" w:color="auto" w:fill="auto"/>
            <w:vAlign w:val="center"/>
            <w:hideMark/>
          </w:tcPr>
          <w:p w14:paraId="4C039E98" w14:textId="77777777" w:rsidR="00925B5C" w:rsidRPr="00E47AA9" w:rsidRDefault="00925B5C" w:rsidP="00816CA3">
            <w:pPr>
              <w:spacing w:after="0" w:line="240" w:lineRule="auto"/>
              <w:jc w:val="right"/>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b/>
                <w:bCs/>
                <w:i/>
                <w:iCs/>
                <w:sz w:val="20"/>
                <w:szCs w:val="20"/>
                <w:lang w:eastAsia="ru-RU"/>
              </w:rPr>
              <w:t>15,75</w:t>
            </w:r>
          </w:p>
        </w:tc>
      </w:tr>
      <w:tr w:rsidR="00E47AA9" w:rsidRPr="00E47AA9" w14:paraId="740DB78A" w14:textId="77777777" w:rsidTr="00816CA3">
        <w:trPr>
          <w:trHeight w:val="20"/>
        </w:trPr>
        <w:tc>
          <w:tcPr>
            <w:tcW w:w="3397" w:type="dxa"/>
            <w:tcBorders>
              <w:top w:val="nil"/>
              <w:left w:val="single" w:sz="4" w:space="0" w:color="auto"/>
              <w:bottom w:val="single" w:sz="4" w:space="0" w:color="auto"/>
              <w:right w:val="single" w:sz="4" w:space="0" w:color="auto"/>
            </w:tcBorders>
            <w:shd w:val="clear" w:color="000000" w:fill="FFFFFF"/>
            <w:vAlign w:val="center"/>
            <w:hideMark/>
          </w:tcPr>
          <w:p w14:paraId="7D2A1EB4" w14:textId="77777777" w:rsidR="00925B5C" w:rsidRPr="00E47AA9" w:rsidRDefault="00925B5C" w:rsidP="00816CA3">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 xml:space="preserve">РП "Стимулирование спроса на отечественные беспилотные авиационные системы" </w:t>
            </w:r>
          </w:p>
        </w:tc>
        <w:tc>
          <w:tcPr>
            <w:tcW w:w="1279" w:type="dxa"/>
            <w:tcBorders>
              <w:top w:val="nil"/>
              <w:left w:val="nil"/>
              <w:bottom w:val="single" w:sz="4" w:space="0" w:color="auto"/>
              <w:right w:val="single" w:sz="4" w:space="0" w:color="auto"/>
            </w:tcBorders>
            <w:shd w:val="clear" w:color="auto" w:fill="auto"/>
            <w:vAlign w:val="center"/>
            <w:hideMark/>
          </w:tcPr>
          <w:p w14:paraId="53E8E4D6" w14:textId="77777777" w:rsidR="00925B5C" w:rsidRPr="00E47AA9" w:rsidRDefault="00925B5C" w:rsidP="00816CA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31,50</w:t>
            </w:r>
          </w:p>
        </w:tc>
        <w:tc>
          <w:tcPr>
            <w:tcW w:w="1163" w:type="dxa"/>
            <w:tcBorders>
              <w:top w:val="nil"/>
              <w:left w:val="nil"/>
              <w:bottom w:val="single" w:sz="4" w:space="0" w:color="auto"/>
              <w:right w:val="single" w:sz="4" w:space="0" w:color="auto"/>
            </w:tcBorders>
            <w:shd w:val="clear" w:color="auto" w:fill="auto"/>
            <w:vAlign w:val="center"/>
            <w:hideMark/>
          </w:tcPr>
          <w:p w14:paraId="289FD2EA" w14:textId="77777777" w:rsidR="00925B5C" w:rsidRPr="00E47AA9" w:rsidRDefault="00925B5C" w:rsidP="00816CA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15,75</w:t>
            </w:r>
          </w:p>
        </w:tc>
        <w:tc>
          <w:tcPr>
            <w:tcW w:w="1274" w:type="dxa"/>
            <w:tcBorders>
              <w:top w:val="nil"/>
              <w:left w:val="nil"/>
              <w:bottom w:val="single" w:sz="4" w:space="0" w:color="auto"/>
              <w:right w:val="single" w:sz="4" w:space="0" w:color="auto"/>
            </w:tcBorders>
            <w:shd w:val="clear" w:color="auto" w:fill="auto"/>
            <w:vAlign w:val="center"/>
            <w:hideMark/>
          </w:tcPr>
          <w:p w14:paraId="166B2770" w14:textId="77777777" w:rsidR="00925B5C" w:rsidRPr="00E47AA9" w:rsidRDefault="00925B5C" w:rsidP="00816CA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50,00</w:t>
            </w:r>
          </w:p>
        </w:tc>
        <w:tc>
          <w:tcPr>
            <w:tcW w:w="845" w:type="dxa"/>
            <w:tcBorders>
              <w:top w:val="nil"/>
              <w:left w:val="nil"/>
              <w:bottom w:val="single" w:sz="4" w:space="0" w:color="auto"/>
              <w:right w:val="single" w:sz="4" w:space="0" w:color="auto"/>
            </w:tcBorders>
            <w:shd w:val="clear" w:color="auto" w:fill="auto"/>
            <w:vAlign w:val="center"/>
            <w:hideMark/>
          </w:tcPr>
          <w:p w14:paraId="27D4B1A8" w14:textId="77777777" w:rsidR="00925B5C" w:rsidRPr="00E47AA9" w:rsidRDefault="00925B5C" w:rsidP="00816CA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0,70</w:t>
            </w:r>
          </w:p>
        </w:tc>
        <w:tc>
          <w:tcPr>
            <w:tcW w:w="1422" w:type="dxa"/>
            <w:tcBorders>
              <w:top w:val="nil"/>
              <w:left w:val="nil"/>
              <w:bottom w:val="single" w:sz="4" w:space="0" w:color="auto"/>
              <w:right w:val="single" w:sz="4" w:space="0" w:color="auto"/>
            </w:tcBorders>
            <w:shd w:val="clear" w:color="auto" w:fill="auto"/>
            <w:vAlign w:val="center"/>
            <w:hideMark/>
          </w:tcPr>
          <w:p w14:paraId="25B035D3" w14:textId="77777777" w:rsidR="00925B5C" w:rsidRPr="00E47AA9" w:rsidRDefault="00925B5C" w:rsidP="00816CA3">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15,75</w:t>
            </w:r>
          </w:p>
        </w:tc>
      </w:tr>
      <w:tr w:rsidR="00925B5C" w:rsidRPr="00E47AA9" w14:paraId="68B6B6BD" w14:textId="77777777" w:rsidTr="00816CA3">
        <w:trPr>
          <w:trHeight w:val="20"/>
        </w:trPr>
        <w:tc>
          <w:tcPr>
            <w:tcW w:w="3397" w:type="dxa"/>
            <w:tcBorders>
              <w:top w:val="nil"/>
              <w:left w:val="single" w:sz="4" w:space="0" w:color="auto"/>
              <w:bottom w:val="single" w:sz="4" w:space="0" w:color="auto"/>
              <w:right w:val="single" w:sz="4" w:space="0" w:color="auto"/>
            </w:tcBorders>
            <w:shd w:val="clear" w:color="auto" w:fill="auto"/>
            <w:vAlign w:val="center"/>
            <w:hideMark/>
          </w:tcPr>
          <w:p w14:paraId="4D472BCF" w14:textId="77777777" w:rsidR="00925B5C" w:rsidRPr="00E47AA9" w:rsidRDefault="00925B5C" w:rsidP="00816CA3">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комплексы процессных мероприятий</w:t>
            </w:r>
          </w:p>
        </w:tc>
        <w:tc>
          <w:tcPr>
            <w:tcW w:w="1279" w:type="dxa"/>
            <w:tcBorders>
              <w:top w:val="nil"/>
              <w:left w:val="nil"/>
              <w:bottom w:val="single" w:sz="4" w:space="0" w:color="auto"/>
              <w:right w:val="single" w:sz="4" w:space="0" w:color="auto"/>
            </w:tcBorders>
            <w:shd w:val="clear" w:color="auto" w:fill="auto"/>
            <w:vAlign w:val="center"/>
            <w:hideMark/>
          </w:tcPr>
          <w:p w14:paraId="3E6875A6"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2078,42</w:t>
            </w:r>
          </w:p>
        </w:tc>
        <w:tc>
          <w:tcPr>
            <w:tcW w:w="1163" w:type="dxa"/>
            <w:tcBorders>
              <w:top w:val="nil"/>
              <w:left w:val="nil"/>
              <w:bottom w:val="single" w:sz="4" w:space="0" w:color="auto"/>
              <w:right w:val="single" w:sz="4" w:space="0" w:color="auto"/>
            </w:tcBorders>
            <w:shd w:val="clear" w:color="auto" w:fill="auto"/>
            <w:vAlign w:val="center"/>
            <w:hideMark/>
          </w:tcPr>
          <w:p w14:paraId="487625CA"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2068,21</w:t>
            </w:r>
          </w:p>
        </w:tc>
        <w:tc>
          <w:tcPr>
            <w:tcW w:w="1274" w:type="dxa"/>
            <w:tcBorders>
              <w:top w:val="nil"/>
              <w:left w:val="nil"/>
              <w:bottom w:val="single" w:sz="4" w:space="0" w:color="auto"/>
              <w:right w:val="single" w:sz="4" w:space="0" w:color="auto"/>
            </w:tcBorders>
            <w:shd w:val="clear" w:color="auto" w:fill="auto"/>
            <w:vAlign w:val="center"/>
            <w:hideMark/>
          </w:tcPr>
          <w:p w14:paraId="779490F8"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99,51</w:t>
            </w:r>
          </w:p>
        </w:tc>
        <w:tc>
          <w:tcPr>
            <w:tcW w:w="845" w:type="dxa"/>
            <w:tcBorders>
              <w:top w:val="nil"/>
              <w:left w:val="nil"/>
              <w:bottom w:val="single" w:sz="4" w:space="0" w:color="auto"/>
              <w:right w:val="single" w:sz="4" w:space="0" w:color="auto"/>
            </w:tcBorders>
            <w:shd w:val="clear" w:color="auto" w:fill="auto"/>
            <w:vAlign w:val="center"/>
            <w:hideMark/>
          </w:tcPr>
          <w:p w14:paraId="198A6B17"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92,37</w:t>
            </w:r>
          </w:p>
        </w:tc>
        <w:tc>
          <w:tcPr>
            <w:tcW w:w="1422" w:type="dxa"/>
            <w:tcBorders>
              <w:top w:val="nil"/>
              <w:left w:val="nil"/>
              <w:bottom w:val="single" w:sz="4" w:space="0" w:color="auto"/>
              <w:right w:val="single" w:sz="4" w:space="0" w:color="auto"/>
            </w:tcBorders>
            <w:shd w:val="clear" w:color="auto" w:fill="auto"/>
            <w:vAlign w:val="center"/>
            <w:hideMark/>
          </w:tcPr>
          <w:p w14:paraId="6E3B0188" w14:textId="77777777" w:rsidR="00925B5C" w:rsidRPr="00E47AA9" w:rsidRDefault="00925B5C" w:rsidP="00816CA3">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10,21</w:t>
            </w:r>
          </w:p>
        </w:tc>
      </w:tr>
    </w:tbl>
    <w:p w14:paraId="448D6613" w14:textId="77777777" w:rsidR="00925B5C" w:rsidRPr="00E47AA9" w:rsidRDefault="00925B5C" w:rsidP="00925B5C">
      <w:pPr>
        <w:spacing w:after="0" w:line="240" w:lineRule="auto"/>
        <w:ind w:firstLine="709"/>
        <w:jc w:val="both"/>
        <w:rPr>
          <w:rFonts w:ascii="Times New Roman" w:eastAsia="Calibri" w:hAnsi="Times New Roman" w:cs="Times New Roman"/>
          <w:sz w:val="20"/>
          <w:szCs w:val="20"/>
        </w:rPr>
      </w:pPr>
    </w:p>
    <w:p w14:paraId="1BDC9DD7" w14:textId="6BC64E4C" w:rsidR="00E33632" w:rsidRPr="00E47AA9" w:rsidRDefault="00FD1970" w:rsidP="001B289B">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В соответствии со </w:t>
      </w:r>
      <w:r w:rsidR="001B289B" w:rsidRPr="00E47AA9">
        <w:rPr>
          <w:rFonts w:ascii="Times New Roman" w:eastAsia="Times New Roman" w:hAnsi="Times New Roman" w:cs="Times New Roman"/>
          <w:sz w:val="28"/>
          <w:szCs w:val="28"/>
        </w:rPr>
        <w:t>Сводн</w:t>
      </w:r>
      <w:r w:rsidRPr="00E47AA9">
        <w:rPr>
          <w:rFonts w:ascii="Times New Roman" w:eastAsia="Times New Roman" w:hAnsi="Times New Roman" w:cs="Times New Roman"/>
          <w:sz w:val="28"/>
          <w:szCs w:val="28"/>
        </w:rPr>
        <w:t>ым</w:t>
      </w:r>
      <w:r w:rsidR="001B289B" w:rsidRPr="00E47AA9">
        <w:rPr>
          <w:rFonts w:ascii="Times New Roman" w:eastAsia="Times New Roman" w:hAnsi="Times New Roman" w:cs="Times New Roman"/>
          <w:sz w:val="28"/>
          <w:szCs w:val="28"/>
        </w:rPr>
        <w:t xml:space="preserve"> годов</w:t>
      </w:r>
      <w:r w:rsidRPr="00E47AA9">
        <w:rPr>
          <w:rFonts w:ascii="Times New Roman" w:eastAsia="Times New Roman" w:hAnsi="Times New Roman" w:cs="Times New Roman"/>
          <w:sz w:val="28"/>
          <w:szCs w:val="28"/>
        </w:rPr>
        <w:t>ым</w:t>
      </w:r>
      <w:r w:rsidR="001B289B" w:rsidRPr="00E47AA9">
        <w:rPr>
          <w:rFonts w:ascii="Times New Roman" w:eastAsia="Times New Roman" w:hAnsi="Times New Roman" w:cs="Times New Roman"/>
          <w:sz w:val="28"/>
          <w:szCs w:val="28"/>
        </w:rPr>
        <w:t xml:space="preserve"> доклад</w:t>
      </w:r>
      <w:r w:rsidRPr="00E47AA9">
        <w:rPr>
          <w:rFonts w:ascii="Times New Roman" w:eastAsia="Times New Roman" w:hAnsi="Times New Roman" w:cs="Times New Roman"/>
          <w:sz w:val="28"/>
          <w:szCs w:val="28"/>
        </w:rPr>
        <w:t>ом</w:t>
      </w:r>
      <w:r w:rsidR="00E33632" w:rsidRPr="00E47AA9">
        <w:rPr>
          <w:rFonts w:ascii="Times New Roman" w:eastAsia="Times New Roman" w:hAnsi="Times New Roman" w:cs="Times New Roman"/>
          <w:sz w:val="28"/>
          <w:szCs w:val="28"/>
        </w:rPr>
        <w:t>:</w:t>
      </w:r>
    </w:p>
    <w:p w14:paraId="054EE45F" w14:textId="79A34EA1" w:rsidR="00E33632" w:rsidRPr="00E47AA9" w:rsidRDefault="00E33632" w:rsidP="001B289B">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w:t>
      </w:r>
      <w:r w:rsidR="001B289B" w:rsidRPr="00E47AA9">
        <w:rPr>
          <w:rFonts w:ascii="Times New Roman" w:eastAsia="Times New Roman" w:hAnsi="Times New Roman" w:cs="Times New Roman"/>
          <w:sz w:val="28"/>
          <w:szCs w:val="28"/>
        </w:rPr>
        <w:t>з 12 мероприятий государственной программы, запланированных в 2024 году, выполнены в полном объеме 11 мероприятий, 1 мероприятие выполнено не в полном объеме</w:t>
      </w:r>
      <w:r w:rsidRPr="00E47AA9">
        <w:rPr>
          <w:rFonts w:ascii="Times New Roman" w:eastAsia="Times New Roman" w:hAnsi="Times New Roman" w:cs="Times New Roman"/>
          <w:sz w:val="28"/>
          <w:szCs w:val="28"/>
        </w:rPr>
        <w:t>;</w:t>
      </w:r>
    </w:p>
    <w:p w14:paraId="75FF6BF5" w14:textId="3A750130" w:rsidR="001B289B" w:rsidRPr="00E47AA9" w:rsidRDefault="00E33632" w:rsidP="00E33632">
      <w:pPr>
        <w:spacing w:after="0" w:line="240" w:lineRule="auto"/>
        <w:ind w:firstLine="708"/>
        <w:jc w:val="both"/>
        <w:rPr>
          <w:rFonts w:ascii="Times New Roman" w:eastAsia="Calibri" w:hAnsi="Times New Roman" w:cs="Times New Roman"/>
          <w:sz w:val="28"/>
          <w:szCs w:val="28"/>
        </w:rPr>
      </w:pPr>
      <w:r w:rsidRPr="00E47AA9">
        <w:rPr>
          <w:rFonts w:ascii="Times New Roman" w:eastAsia="Times New Roman" w:hAnsi="Times New Roman" w:cs="Times New Roman"/>
          <w:sz w:val="28"/>
          <w:szCs w:val="28"/>
          <w:lang w:eastAsia="ru-RU"/>
        </w:rPr>
        <w:t>и</w:t>
      </w:r>
      <w:r w:rsidR="001B289B" w:rsidRPr="00E47AA9">
        <w:rPr>
          <w:rFonts w:ascii="Times New Roman" w:eastAsia="Times New Roman" w:hAnsi="Times New Roman" w:cs="Times New Roman"/>
          <w:sz w:val="28"/>
          <w:szCs w:val="28"/>
          <w:lang w:eastAsia="ru-RU"/>
        </w:rPr>
        <w:t xml:space="preserve">з 9 показателей государственной программы </w:t>
      </w:r>
      <w:r w:rsidR="001B289B" w:rsidRPr="00E47AA9">
        <w:rPr>
          <w:rFonts w:ascii="Times New Roman" w:eastAsia="Calibri" w:hAnsi="Times New Roman" w:cs="Times New Roman"/>
          <w:sz w:val="28"/>
          <w:szCs w:val="28"/>
        </w:rPr>
        <w:t xml:space="preserve">все </w:t>
      </w:r>
      <w:r w:rsidR="001B289B" w:rsidRPr="00E47AA9">
        <w:rPr>
          <w:rFonts w:ascii="Times New Roman" w:eastAsia="Times New Roman" w:hAnsi="Times New Roman" w:cs="Times New Roman"/>
          <w:sz w:val="28"/>
          <w:szCs w:val="28"/>
          <w:lang w:eastAsia="ru-RU"/>
        </w:rPr>
        <w:t>достигнуты в полном объеме</w:t>
      </w:r>
      <w:r w:rsidR="00460DD3" w:rsidRPr="00E47AA9">
        <w:rPr>
          <w:rFonts w:ascii="Times New Roman" w:eastAsia="Times New Roman" w:hAnsi="Times New Roman" w:cs="Times New Roman"/>
          <w:sz w:val="28"/>
          <w:szCs w:val="28"/>
          <w:lang w:eastAsia="ru-RU"/>
        </w:rPr>
        <w:t>;</w:t>
      </w:r>
    </w:p>
    <w:p w14:paraId="30BFA364" w14:textId="31B6A7FB" w:rsidR="00E33632" w:rsidRPr="00E47AA9" w:rsidRDefault="00E33632" w:rsidP="00E33632">
      <w:pPr>
        <w:shd w:val="clear" w:color="auto" w:fill="FFFFFF" w:themeFill="background1"/>
        <w:spacing w:after="0" w:line="240" w:lineRule="auto"/>
        <w:ind w:firstLine="709"/>
        <w:contextualSpacing/>
        <w:jc w:val="both"/>
        <w:rPr>
          <w:rFonts w:ascii="Times New Roman" w:hAnsi="Times New Roman"/>
          <w:sz w:val="28"/>
          <w:szCs w:val="28"/>
        </w:rPr>
      </w:pPr>
      <w:r w:rsidRPr="00E47AA9">
        <w:rPr>
          <w:rFonts w:ascii="Times New Roman" w:eastAsia="Calibri" w:hAnsi="Times New Roman"/>
          <w:sz w:val="28"/>
          <w:szCs w:val="28"/>
        </w:rPr>
        <w:t xml:space="preserve">эффективность реализации государственной программы составила </w:t>
      </w:r>
      <w:r w:rsidRPr="00E47AA9">
        <w:rPr>
          <w:rFonts w:ascii="Times New Roman" w:eastAsia="Calibri" w:hAnsi="Times New Roman"/>
          <w:bCs/>
          <w:sz w:val="28"/>
          <w:szCs w:val="28"/>
        </w:rPr>
        <w:t>97,5</w:t>
      </w:r>
      <w:r w:rsidR="00FD1970" w:rsidRPr="00E47AA9">
        <w:rPr>
          <w:rFonts w:ascii="Times New Roman" w:eastAsia="Calibri" w:hAnsi="Times New Roman"/>
          <w:bCs/>
          <w:sz w:val="28"/>
          <w:szCs w:val="28"/>
        </w:rPr>
        <w:t> </w:t>
      </w:r>
      <w:r w:rsidRPr="00E47AA9">
        <w:rPr>
          <w:rFonts w:ascii="Times New Roman" w:eastAsia="Calibri" w:hAnsi="Times New Roman"/>
          <w:bCs/>
          <w:sz w:val="28"/>
          <w:szCs w:val="28"/>
        </w:rPr>
        <w:t xml:space="preserve">% </w:t>
      </w:r>
      <w:r w:rsidRPr="00E47AA9">
        <w:rPr>
          <w:rFonts w:ascii="Times New Roman" w:eastAsia="Calibri" w:hAnsi="Times New Roman" w:cs="Times New Roman"/>
          <w:bCs/>
          <w:sz w:val="28"/>
          <w:szCs w:val="28"/>
        </w:rPr>
        <w:t>(высокая).</w:t>
      </w:r>
    </w:p>
    <w:p w14:paraId="7F91B294" w14:textId="77777777" w:rsidR="00925B5C" w:rsidRPr="00E47AA9" w:rsidRDefault="00925B5C" w:rsidP="00925B5C">
      <w:pPr>
        <w:spacing w:after="0" w:line="240" w:lineRule="auto"/>
        <w:ind w:firstLine="709"/>
        <w:jc w:val="both"/>
        <w:outlineLvl w:val="4"/>
        <w:rPr>
          <w:rFonts w:ascii="Times New Roman" w:eastAsia="Calibri" w:hAnsi="Times New Roman" w:cs="Times New Roman"/>
          <w:b/>
          <w:sz w:val="28"/>
          <w:szCs w:val="28"/>
        </w:rPr>
      </w:pPr>
      <w:r w:rsidRPr="00E47AA9">
        <w:rPr>
          <w:rFonts w:ascii="Times New Roman" w:eastAsia="Calibri" w:hAnsi="Times New Roman" w:cs="Times New Roman"/>
          <w:b/>
          <w:sz w:val="28"/>
          <w:szCs w:val="28"/>
        </w:rPr>
        <w:t>Подпрограмма "Обеспечение использования, охраны, защиты и воспроизводства лесов"</w:t>
      </w:r>
    </w:p>
    <w:p w14:paraId="137CC324" w14:textId="77777777" w:rsidR="00925B5C" w:rsidRPr="00E47AA9" w:rsidRDefault="00925B5C" w:rsidP="00925B5C">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eastAsia="Calibri" w:hAnsi="Times New Roman" w:cs="Times New Roman"/>
          <w:sz w:val="28"/>
          <w:szCs w:val="28"/>
        </w:rPr>
        <w:lastRenderedPageBreak/>
        <w:t xml:space="preserve">В рамках указанной подпрограммы министерством исполнялись мероприятия </w:t>
      </w:r>
      <w:r w:rsidRPr="00E47AA9">
        <w:rPr>
          <w:rFonts w:ascii="Times New Roman" w:eastAsia="Calibri" w:hAnsi="Times New Roman" w:cs="Times New Roman"/>
          <w:i/>
          <w:sz w:val="28"/>
          <w:szCs w:val="28"/>
        </w:rPr>
        <w:t>РП "Сохранение лесов"</w:t>
      </w:r>
      <w:r w:rsidRPr="00E47AA9">
        <w:rPr>
          <w:rFonts w:ascii="Times New Roman" w:eastAsia="Calibri" w:hAnsi="Times New Roman" w:cs="Times New Roman"/>
          <w:sz w:val="28"/>
          <w:szCs w:val="28"/>
        </w:rPr>
        <w:t xml:space="preserve">, входящего в </w:t>
      </w:r>
      <w:r w:rsidRPr="00E47AA9">
        <w:rPr>
          <w:rFonts w:ascii="Times New Roman" w:eastAsia="Calibri" w:hAnsi="Times New Roman" w:cs="Times New Roman"/>
          <w:i/>
          <w:sz w:val="28"/>
          <w:szCs w:val="28"/>
        </w:rPr>
        <w:t>НП "Экология".</w:t>
      </w:r>
      <w:r w:rsidRPr="00E47AA9">
        <w:rPr>
          <w:rFonts w:ascii="Times New Roman" w:eastAsia="Calibri" w:hAnsi="Times New Roman" w:cs="Times New Roman"/>
          <w:sz w:val="28"/>
          <w:szCs w:val="28"/>
        </w:rPr>
        <w:t xml:space="preserve"> Бюджетные ассигнования исполнены в полном объеме в сумме 155,06 млн рублей, в том числе: за счет федеральных средств – 82,11 млн рублей, краевых –72,95 млн рублей. </w:t>
      </w:r>
      <w:r w:rsidRPr="00E47AA9">
        <w:rPr>
          <w:rFonts w:ascii="Times New Roman" w:hAnsi="Times New Roman" w:cs="Times New Roman"/>
          <w:sz w:val="28"/>
          <w:szCs w:val="28"/>
        </w:rPr>
        <w:t>Информация по реализации РП изложена в приложении 3 к Заключению.</w:t>
      </w:r>
    </w:p>
    <w:p w14:paraId="3456FACB" w14:textId="0946CE5E" w:rsidR="00925B5C" w:rsidRPr="00E47AA9" w:rsidRDefault="00925B5C" w:rsidP="00925B5C">
      <w:pPr>
        <w:spacing w:after="0" w:line="240" w:lineRule="auto"/>
        <w:ind w:firstLine="709"/>
        <w:jc w:val="both"/>
        <w:outlineLvl w:val="4"/>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Расходы по </w:t>
      </w:r>
      <w:r w:rsidRPr="00E47AA9">
        <w:rPr>
          <w:rFonts w:ascii="Times New Roman" w:eastAsia="Calibri" w:hAnsi="Times New Roman" w:cs="Times New Roman"/>
          <w:i/>
          <w:sz w:val="28"/>
          <w:szCs w:val="28"/>
        </w:rPr>
        <w:t>КПМ</w:t>
      </w:r>
      <w:r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i/>
          <w:sz w:val="28"/>
          <w:szCs w:val="28"/>
        </w:rPr>
        <w:t xml:space="preserve">"Обеспечение деятельности краевых государственных учреждений в сфере лесного хозяйства" </w:t>
      </w:r>
      <w:r w:rsidRPr="00E47AA9">
        <w:rPr>
          <w:rFonts w:ascii="Times New Roman" w:eastAsia="Calibri" w:hAnsi="Times New Roman" w:cs="Times New Roman"/>
          <w:sz w:val="28"/>
          <w:szCs w:val="28"/>
        </w:rPr>
        <w:t xml:space="preserve">исполнены на 99,91 %, или 1850,93 млн рублей, в том числе за счет </w:t>
      </w:r>
      <w:r w:rsidRPr="00E47AA9">
        <w:rPr>
          <w:rFonts w:ascii="Times New Roman" w:eastAsia="Calibri" w:hAnsi="Times New Roman" w:cs="Times New Roman"/>
          <w:sz w:val="28"/>
          <w:szCs w:val="28"/>
        </w:rPr>
        <w:br/>
        <w:t xml:space="preserve">федеральных средств – 625,43 млн рублей, краевых – 1225,50 млн рублей (план </w:t>
      </w:r>
      <w:r w:rsidR="00E02DD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1852,68 млн рублей, в том числе федеральные средства – 625,72 млн рублей, краевые – 1226,53 млн рублей), из которых:</w:t>
      </w:r>
    </w:p>
    <w:p w14:paraId="07E018DD" w14:textId="2F43C4B6" w:rsidR="00925B5C" w:rsidRPr="00E47AA9" w:rsidRDefault="00925B5C" w:rsidP="00925B5C">
      <w:pPr>
        <w:spacing w:after="0" w:line="240" w:lineRule="auto"/>
        <w:ind w:firstLine="709"/>
        <w:jc w:val="both"/>
        <w:outlineLvl w:val="4"/>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на содержание и обеспечение деятельности в области лесных отношений КГКУ "Приморское лесничество" – 930,48 млн рублей, или 99,81 %, в том числе за счет федерального бюджета – 320,53 млн рублей, краевого – </w:t>
      </w:r>
      <w:r w:rsidRPr="00E47AA9">
        <w:rPr>
          <w:rFonts w:ascii="Times New Roman" w:eastAsia="Calibri" w:hAnsi="Times New Roman" w:cs="Times New Roman"/>
          <w:sz w:val="28"/>
          <w:szCs w:val="28"/>
        </w:rPr>
        <w:br/>
        <w:t xml:space="preserve">609,95 млн рублей (план </w:t>
      </w:r>
      <w:r w:rsidR="00E02DD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932,23 млн рублей, в том числе за счет федерального бюджета – 320,81 млн рублей, краевого – 611,42 млн рублей). Средства направлены на выплаты персоналу учреждения, оплату текущих коммунальных услуг и прочих хозяйственных закупок, уплату иных платежей. Не освоено 1,75 млн рублей в основном </w:t>
      </w:r>
      <w:r w:rsidRPr="00E47AA9">
        <w:rPr>
          <w:rFonts w:ascii="Times New Roman" w:eastAsia="Times New Roman" w:hAnsi="Times New Roman" w:cs="Times New Roman"/>
          <w:sz w:val="28"/>
          <w:szCs w:val="28"/>
          <w:lang w:eastAsia="ru-RU"/>
        </w:rPr>
        <w:t xml:space="preserve">в связи экономией по закупкам товаров, работ и услуг, закупки энергетических ресурсов (1,03 млн рублей), </w:t>
      </w:r>
      <w:r w:rsidRPr="00E47AA9">
        <w:rPr>
          <w:rFonts w:ascii="Times New Roman" w:eastAsia="Times New Roman" w:hAnsi="Times New Roman" w:cs="Times New Roman"/>
          <w:sz w:val="28"/>
          <w:szCs w:val="28"/>
          <w:lang w:eastAsia="ru-RU"/>
        </w:rPr>
        <w:br/>
        <w:t>а также c экономией фонда оплаты труда, взносам во внебюджетные фонды</w:t>
      </w:r>
      <w:r w:rsidRPr="00E47AA9">
        <w:rPr>
          <w:rFonts w:ascii="Times New Roman" w:eastAsia="Times New Roman" w:hAnsi="Times New Roman" w:cs="Times New Roman"/>
          <w:sz w:val="28"/>
          <w:szCs w:val="28"/>
          <w:lang w:eastAsia="ru-RU"/>
        </w:rPr>
        <w:br/>
        <w:t>и уплатой налогов и сборов (0,72 млн рублей)</w:t>
      </w:r>
      <w:r w:rsidRPr="00E47AA9">
        <w:rPr>
          <w:rFonts w:ascii="Times New Roman" w:eastAsia="Calibri" w:hAnsi="Times New Roman" w:cs="Times New Roman"/>
          <w:sz w:val="28"/>
          <w:szCs w:val="28"/>
        </w:rPr>
        <w:t>;</w:t>
      </w:r>
    </w:p>
    <w:p w14:paraId="3B2684F7" w14:textId="77777777" w:rsidR="00925B5C" w:rsidRPr="00E47AA9" w:rsidRDefault="00925B5C" w:rsidP="00925B5C">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на субсидии КГБУ "Приморская база авиационной, наземной охраны и защиты лесов" (далее – КГБУ "Авиабаза") – в полном объеме 920,45 млн рублей, в том числе за счет федерального бюджета – 387,02 млн рублей, краевого – 688,49 млн рублей на </w:t>
      </w:r>
      <w:r w:rsidRPr="00E47AA9">
        <w:rPr>
          <w:rFonts w:ascii="Times New Roman" w:eastAsia="Times New Roman" w:hAnsi="Times New Roman" w:cs="Times New Roman"/>
          <w:sz w:val="28"/>
          <w:szCs w:val="28"/>
          <w:lang w:eastAsia="ru-RU"/>
        </w:rPr>
        <w:t>организацию системы обнаружения и учета лесных пожаров, системы наблюдения за их развитием с использованием наземных и авиационных или космических средств на всей площади, утвержденной государственным заданием, на тушение лесных пожаров, на противопожарное обустройство лесов.</w:t>
      </w:r>
    </w:p>
    <w:p w14:paraId="4FC7D7CA" w14:textId="6C12D9BA" w:rsidR="00925B5C" w:rsidRPr="00E47AA9" w:rsidRDefault="00925B5C" w:rsidP="00925B5C">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По информации министерства КГБУ "Авиабаза"</w:t>
      </w:r>
      <w:r w:rsidR="00C1550A"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за 2024 год достигнуты следующие результаты:</w:t>
      </w:r>
    </w:p>
    <w:p w14:paraId="40AE34FA" w14:textId="77777777" w:rsidR="00925B5C" w:rsidRPr="00E47AA9" w:rsidRDefault="00925B5C" w:rsidP="00925B5C">
      <w:pPr>
        <w:widowControl w:val="0"/>
        <w:tabs>
          <w:tab w:val="left" w:pos="284"/>
          <w:tab w:val="left" w:pos="1080"/>
        </w:tabs>
        <w:suppressAutoHyphens/>
        <w:spacing w:after="0" w:line="240" w:lineRule="auto"/>
        <w:ind w:firstLine="709"/>
        <w:contextualSpacing/>
        <w:jc w:val="both"/>
        <w:textAlignment w:val="baseline"/>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организована система обнаружения и учета лесных пожаров и система наблюдения за их развитием с использованием наземных, авиационных или космических средств на площади 11 037 631 га;</w:t>
      </w:r>
    </w:p>
    <w:p w14:paraId="7633376E" w14:textId="20CC8F6F" w:rsidR="00925B5C" w:rsidRPr="00E47AA9" w:rsidRDefault="00925B5C" w:rsidP="00925B5C">
      <w:pPr>
        <w:widowControl w:val="0"/>
        <w:tabs>
          <w:tab w:val="left" w:pos="284"/>
          <w:tab w:val="left" w:pos="1080"/>
        </w:tabs>
        <w:suppressAutoHyphens/>
        <w:spacing w:after="0" w:line="240" w:lineRule="auto"/>
        <w:ind w:firstLine="709"/>
        <w:contextualSpacing/>
        <w:jc w:val="both"/>
        <w:textAlignment w:val="baseline"/>
        <w:rPr>
          <w:rFonts w:ascii="Times New Roman" w:eastAsia="Calibri" w:hAnsi="Times New Roman" w:cs="Times New Roman"/>
          <w:sz w:val="28"/>
          <w:szCs w:val="28"/>
        </w:rPr>
      </w:pPr>
      <w:r w:rsidRPr="00E47AA9">
        <w:rPr>
          <w:rFonts w:ascii="Times New Roman" w:eastAsia="Times New Roman" w:hAnsi="Times New Roman" w:cs="Times New Roman"/>
          <w:sz w:val="28"/>
          <w:szCs w:val="28"/>
          <w:lang w:eastAsia="ru-RU"/>
        </w:rPr>
        <w:t>тушение лесных пожаров силами наземных пожарных формирований на площади 43 973,11 га;</w:t>
      </w:r>
    </w:p>
    <w:p w14:paraId="25E26449" w14:textId="4B08C98A" w:rsidR="00925B5C" w:rsidRPr="00E47AA9" w:rsidRDefault="00925B5C" w:rsidP="00925B5C">
      <w:pPr>
        <w:widowControl w:val="0"/>
        <w:tabs>
          <w:tab w:val="left" w:pos="284"/>
          <w:tab w:val="left" w:pos="1080"/>
        </w:tabs>
        <w:suppressAutoHyphens/>
        <w:spacing w:after="0" w:line="240" w:lineRule="auto"/>
        <w:ind w:firstLine="709"/>
        <w:contextualSpacing/>
        <w:jc w:val="both"/>
        <w:textAlignment w:val="baseline"/>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проведено тушение лесных пожаров силами парашютно-десантной службы на площади 5 011,75 га (план </w:t>
      </w:r>
      <w:r w:rsidR="00E02DD2"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300 га);</w:t>
      </w:r>
    </w:p>
    <w:p w14:paraId="792DF897" w14:textId="77777777" w:rsidR="00925B5C" w:rsidRPr="00E47AA9" w:rsidRDefault="00925B5C" w:rsidP="00925B5C">
      <w:pPr>
        <w:widowControl w:val="0"/>
        <w:tabs>
          <w:tab w:val="left" w:pos="284"/>
          <w:tab w:val="left" w:pos="1080"/>
        </w:tabs>
        <w:suppressAutoHyphens/>
        <w:spacing w:after="0" w:line="240" w:lineRule="auto"/>
        <w:ind w:firstLine="709"/>
        <w:contextualSpacing/>
        <w:jc w:val="both"/>
        <w:textAlignment w:val="baseline"/>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противопожарное обустройство лесов (исполнены в полном объеме), </w:t>
      </w:r>
      <w:r w:rsidRPr="00E47AA9">
        <w:rPr>
          <w:rFonts w:ascii="Times New Roman" w:eastAsia="Times New Roman" w:hAnsi="Times New Roman" w:cs="Times New Roman"/>
          <w:sz w:val="28"/>
          <w:szCs w:val="28"/>
          <w:lang w:eastAsia="ru-RU"/>
        </w:rPr>
        <w:br/>
        <w:t>в том числе:</w:t>
      </w:r>
    </w:p>
    <w:p w14:paraId="73A6C245" w14:textId="77777777" w:rsidR="00925B5C" w:rsidRPr="00E47AA9" w:rsidRDefault="00925B5C" w:rsidP="00925B5C">
      <w:pPr>
        <w:widowControl w:val="0"/>
        <w:tabs>
          <w:tab w:val="left" w:pos="284"/>
          <w:tab w:val="left" w:pos="1080"/>
        </w:tabs>
        <w:suppressAutoHyphens/>
        <w:spacing w:after="0" w:line="240" w:lineRule="auto"/>
        <w:ind w:firstLine="709"/>
        <w:contextualSpacing/>
        <w:jc w:val="both"/>
        <w:textAlignment w:val="baseline"/>
        <w:rPr>
          <w:rFonts w:ascii="Times New Roman" w:eastAsia="Calibri" w:hAnsi="Times New Roman" w:cs="Times New Roman"/>
          <w:sz w:val="28"/>
          <w:szCs w:val="28"/>
        </w:rPr>
      </w:pPr>
      <w:r w:rsidRPr="00E47AA9">
        <w:rPr>
          <w:rFonts w:ascii="Times New Roman" w:eastAsia="Times New Roman" w:hAnsi="Times New Roman" w:cs="Times New Roman"/>
          <w:sz w:val="28"/>
          <w:szCs w:val="28"/>
          <w:lang w:eastAsia="ru-RU"/>
        </w:rPr>
        <w:t>обустроено 50,1 км противопожарных минерализованных полос, а также прочищено и обновлено 560,1 км;</w:t>
      </w:r>
    </w:p>
    <w:p w14:paraId="5F77D65D" w14:textId="77777777" w:rsidR="00925B5C" w:rsidRPr="00E47AA9" w:rsidRDefault="00925B5C" w:rsidP="00925B5C">
      <w:pPr>
        <w:spacing w:after="0" w:line="240" w:lineRule="auto"/>
        <w:ind w:firstLine="709"/>
        <w:jc w:val="both"/>
        <w:outlineLvl w:val="4"/>
        <w:rPr>
          <w:rFonts w:ascii="Times New Roman" w:eastAsia="Calibri" w:hAnsi="Times New Roman" w:cs="Times New Roman"/>
          <w:b/>
          <w:sz w:val="28"/>
          <w:szCs w:val="28"/>
        </w:rPr>
      </w:pPr>
      <w:r w:rsidRPr="00E47AA9">
        <w:rPr>
          <w:rFonts w:ascii="Times New Roman" w:eastAsia="Calibri" w:hAnsi="Times New Roman" w:cs="Times New Roman"/>
          <w:sz w:val="28"/>
          <w:szCs w:val="28"/>
        </w:rPr>
        <w:lastRenderedPageBreak/>
        <w:t>установлено и размещено стендов и других знаков, и указателей, содержащих информацию о мерах пожарной безопасности 88 шт.</w:t>
      </w:r>
      <w:r w:rsidRPr="00E47AA9">
        <w:rPr>
          <w:rFonts w:ascii="Times New Roman" w:eastAsia="Calibri" w:hAnsi="Times New Roman" w:cs="Times New Roman"/>
          <w:b/>
          <w:sz w:val="28"/>
          <w:szCs w:val="28"/>
        </w:rPr>
        <w:t xml:space="preserve"> </w:t>
      </w:r>
    </w:p>
    <w:p w14:paraId="13678D06" w14:textId="77777777" w:rsidR="00925B5C" w:rsidRPr="00E47AA9" w:rsidRDefault="00925B5C" w:rsidP="00925B5C">
      <w:pPr>
        <w:spacing w:after="0" w:line="240" w:lineRule="auto"/>
        <w:ind w:firstLine="709"/>
        <w:jc w:val="both"/>
        <w:outlineLvl w:val="4"/>
        <w:rPr>
          <w:rFonts w:ascii="Times New Roman" w:eastAsia="Calibri" w:hAnsi="Times New Roman" w:cs="Times New Roman"/>
          <w:sz w:val="28"/>
          <w:szCs w:val="28"/>
        </w:rPr>
      </w:pPr>
      <w:r w:rsidRPr="00E47AA9">
        <w:rPr>
          <w:rFonts w:ascii="Times New Roman" w:eastAsia="Calibri" w:hAnsi="Times New Roman" w:cs="Times New Roman"/>
          <w:b/>
          <w:sz w:val="28"/>
          <w:szCs w:val="28"/>
        </w:rPr>
        <w:t>Подпрограмма "Обеспечение стратегического управления лесным хозяйством"</w:t>
      </w:r>
      <w:r w:rsidRPr="00E47AA9">
        <w:rPr>
          <w:rFonts w:ascii="Times New Roman" w:eastAsia="Calibri" w:hAnsi="Times New Roman" w:cs="Times New Roman"/>
          <w:sz w:val="28"/>
          <w:szCs w:val="28"/>
        </w:rPr>
        <w:t xml:space="preserve"> </w:t>
      </w:r>
    </w:p>
    <w:p w14:paraId="0699CD7D" w14:textId="506C9ED5" w:rsidR="00925B5C" w:rsidRPr="00E47AA9" w:rsidRDefault="00925B5C" w:rsidP="00925B5C">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eastAsia="Calibri" w:hAnsi="Times New Roman" w:cs="Times New Roman"/>
          <w:sz w:val="28"/>
          <w:szCs w:val="28"/>
        </w:rPr>
        <w:t xml:space="preserve">В рамках указанной подпрограммы министерством исполнялись мероприятия </w:t>
      </w:r>
      <w:r w:rsidRPr="00E47AA9">
        <w:rPr>
          <w:rFonts w:ascii="Times New Roman" w:eastAsia="Calibri" w:hAnsi="Times New Roman" w:cs="Times New Roman"/>
          <w:i/>
          <w:sz w:val="28"/>
          <w:szCs w:val="28"/>
        </w:rPr>
        <w:t>РП "</w:t>
      </w:r>
      <w:r w:rsidRPr="00E47AA9">
        <w:rPr>
          <w:rFonts w:ascii="Times New Roman" w:eastAsia="Times New Roman" w:hAnsi="Times New Roman" w:cs="Times New Roman"/>
          <w:i/>
          <w:iCs/>
          <w:sz w:val="28"/>
          <w:szCs w:val="28"/>
          <w:lang w:eastAsia="ru-RU"/>
        </w:rPr>
        <w:t>Стимулирование спроса на отечественные беспилотные авиационные системы</w:t>
      </w:r>
      <w:r w:rsidRPr="00E47AA9">
        <w:rPr>
          <w:rFonts w:ascii="Times New Roman" w:eastAsia="Calibri" w:hAnsi="Times New Roman" w:cs="Times New Roman"/>
          <w:i/>
          <w:sz w:val="28"/>
          <w:szCs w:val="28"/>
        </w:rPr>
        <w:t>"</w:t>
      </w:r>
      <w:r w:rsidRPr="00E47AA9">
        <w:rPr>
          <w:rFonts w:ascii="Times New Roman" w:eastAsia="Calibri" w:hAnsi="Times New Roman" w:cs="Times New Roman"/>
          <w:sz w:val="28"/>
          <w:szCs w:val="28"/>
        </w:rPr>
        <w:t xml:space="preserve">, входящего в состав </w:t>
      </w:r>
      <w:r w:rsidRPr="00E47AA9">
        <w:rPr>
          <w:rFonts w:ascii="Times New Roman" w:eastAsia="Calibri" w:hAnsi="Times New Roman" w:cs="Times New Roman"/>
          <w:i/>
          <w:sz w:val="28"/>
          <w:szCs w:val="28"/>
        </w:rPr>
        <w:t xml:space="preserve">НП </w:t>
      </w:r>
      <w:r w:rsidRPr="00E47AA9">
        <w:rPr>
          <w:rFonts w:ascii="Times New Roman" w:eastAsia="Times New Roman" w:hAnsi="Times New Roman" w:cs="Times New Roman"/>
          <w:bCs/>
          <w:i/>
          <w:iCs/>
          <w:sz w:val="28"/>
          <w:szCs w:val="28"/>
          <w:lang w:eastAsia="ru-RU"/>
        </w:rPr>
        <w:t>"Беспилотные авиационные системы"</w:t>
      </w:r>
      <w:r w:rsidRPr="00E47AA9">
        <w:rPr>
          <w:rFonts w:ascii="Times New Roman" w:eastAsia="Calibri" w:hAnsi="Times New Roman" w:cs="Times New Roman"/>
          <w:i/>
          <w:sz w:val="28"/>
          <w:szCs w:val="28"/>
        </w:rPr>
        <w:t>.</w:t>
      </w:r>
      <w:r w:rsidRPr="00E47AA9">
        <w:rPr>
          <w:rFonts w:ascii="Times New Roman" w:eastAsia="Calibri" w:hAnsi="Times New Roman" w:cs="Times New Roman"/>
          <w:sz w:val="28"/>
          <w:szCs w:val="28"/>
        </w:rPr>
        <w:t xml:space="preserve"> Бюджетные ассигнования исполнены в размере 15,75 млн рублей, или на 50,00 % (план </w:t>
      </w:r>
      <w:r w:rsidR="00E02DD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31,50 млн рулей), за счет федеральных средств.</w:t>
      </w:r>
    </w:p>
    <w:p w14:paraId="556CF1A0" w14:textId="145C52A1" w:rsidR="00925B5C" w:rsidRPr="00E47AA9" w:rsidRDefault="00925B5C" w:rsidP="00925B5C">
      <w:pPr>
        <w:spacing w:after="0" w:line="240" w:lineRule="auto"/>
        <w:ind w:firstLine="709"/>
        <w:jc w:val="both"/>
        <w:outlineLvl w:val="4"/>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Расходы по </w:t>
      </w:r>
      <w:r w:rsidRPr="00E47AA9">
        <w:rPr>
          <w:rFonts w:ascii="Times New Roman" w:eastAsia="Calibri" w:hAnsi="Times New Roman" w:cs="Times New Roman"/>
          <w:i/>
          <w:sz w:val="28"/>
          <w:szCs w:val="28"/>
        </w:rPr>
        <w:t xml:space="preserve">КПМ "Обеспечение функций государственного органа в сфере лесных отношений" </w:t>
      </w:r>
      <w:r w:rsidRPr="00E47AA9">
        <w:rPr>
          <w:rFonts w:ascii="Times New Roman" w:eastAsia="Calibri" w:hAnsi="Times New Roman" w:cs="Times New Roman"/>
          <w:sz w:val="28"/>
          <w:szCs w:val="28"/>
        </w:rPr>
        <w:t>исполнены на 96,18 %, или 212,72 млн рублей (план</w:t>
      </w:r>
      <w:r w:rsidR="00E02DD2"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 xml:space="preserve"> 221,18 млн рублей), из них:</w:t>
      </w:r>
    </w:p>
    <w:p w14:paraId="4F7E7053" w14:textId="77777777" w:rsidR="00925B5C" w:rsidRPr="00E47AA9" w:rsidRDefault="00925B5C" w:rsidP="00925B5C">
      <w:pPr>
        <w:spacing w:after="0" w:line="240" w:lineRule="auto"/>
        <w:ind w:firstLine="709"/>
        <w:jc w:val="both"/>
        <w:outlineLvl w:val="4"/>
        <w:rPr>
          <w:rFonts w:ascii="Times New Roman" w:eastAsia="Calibri" w:hAnsi="Times New Roman" w:cs="Times New Roman"/>
          <w:sz w:val="28"/>
          <w:szCs w:val="28"/>
        </w:rPr>
      </w:pPr>
      <w:r w:rsidRPr="00E47AA9">
        <w:rPr>
          <w:rFonts w:ascii="Times New Roman" w:eastAsia="Calibri" w:hAnsi="Times New Roman" w:cs="Times New Roman"/>
          <w:sz w:val="28"/>
          <w:szCs w:val="28"/>
        </w:rPr>
        <w:t>на 91,74 %, или 88,02 млн рублей (95,94 млн рублей), – на руководство и управление в сфере установленных функций органов государственной власти Приморского края;</w:t>
      </w:r>
    </w:p>
    <w:p w14:paraId="40A7FAE4" w14:textId="77777777" w:rsidR="00925B5C" w:rsidRPr="00E47AA9" w:rsidRDefault="00925B5C" w:rsidP="00925B5C">
      <w:pPr>
        <w:spacing w:after="0" w:line="240" w:lineRule="auto"/>
        <w:ind w:firstLine="709"/>
        <w:jc w:val="both"/>
        <w:outlineLvl w:val="4"/>
        <w:rPr>
          <w:rFonts w:ascii="Times New Roman" w:eastAsia="Calibri" w:hAnsi="Times New Roman" w:cs="Times New Roman"/>
          <w:sz w:val="28"/>
          <w:szCs w:val="28"/>
        </w:rPr>
      </w:pPr>
      <w:r w:rsidRPr="00E47AA9">
        <w:rPr>
          <w:rFonts w:ascii="Times New Roman" w:eastAsia="Times New Roman" w:hAnsi="Times New Roman" w:cs="Times New Roman"/>
          <w:sz w:val="28"/>
          <w:szCs w:val="28"/>
          <w:lang w:eastAsia="ru-RU"/>
        </w:rPr>
        <w:t>на 99,88 %, или 124,30 млн рублей (124,46 млн рублей), – на осуществление отдельных полномочий в области лесных отношений (содержание аппарата управления в области лесных отношений) за счет средств федерального бюджета;</w:t>
      </w:r>
    </w:p>
    <w:p w14:paraId="0750D566" w14:textId="40AEACA1" w:rsidR="00925B5C" w:rsidRPr="00E47AA9" w:rsidRDefault="00925B5C" w:rsidP="00925B5C">
      <w:pPr>
        <w:spacing w:after="0" w:line="240" w:lineRule="auto"/>
        <w:ind w:firstLine="709"/>
        <w:jc w:val="both"/>
        <w:rPr>
          <w:rFonts w:ascii="Times New Roman" w:eastAsia="Times New Roman" w:hAnsi="Times New Roman" w:cs="Times New Roman"/>
          <w:bCs/>
          <w:sz w:val="28"/>
          <w:szCs w:val="28"/>
          <w:lang w:eastAsia="ru-RU"/>
        </w:rPr>
      </w:pPr>
      <w:r w:rsidRPr="00E47AA9">
        <w:rPr>
          <w:rFonts w:ascii="Times New Roman" w:eastAsia="Times New Roman" w:hAnsi="Times New Roman" w:cs="Times New Roman"/>
          <w:bCs/>
          <w:sz w:val="28"/>
          <w:szCs w:val="28"/>
          <w:lang w:eastAsia="ru-RU"/>
        </w:rPr>
        <w:t>на 51,12 %, или 0,40 млн рублей (план</w:t>
      </w:r>
      <w:r w:rsidR="00E02DD2" w:rsidRPr="00E47AA9">
        <w:rPr>
          <w:rFonts w:ascii="Times New Roman" w:eastAsia="Times New Roman" w:hAnsi="Times New Roman" w:cs="Times New Roman"/>
          <w:bCs/>
          <w:sz w:val="28"/>
          <w:szCs w:val="28"/>
          <w:lang w:eastAsia="ru-RU"/>
        </w:rPr>
        <w:t xml:space="preserve"> –</w:t>
      </w:r>
      <w:r w:rsidRPr="00E47AA9">
        <w:rPr>
          <w:rFonts w:ascii="Times New Roman" w:eastAsia="Times New Roman" w:hAnsi="Times New Roman" w:cs="Times New Roman"/>
          <w:bCs/>
          <w:sz w:val="28"/>
          <w:szCs w:val="28"/>
          <w:lang w:eastAsia="ru-RU"/>
        </w:rPr>
        <w:t xml:space="preserve"> 0,77 млн рублей)</w:t>
      </w:r>
      <w:r w:rsidR="00C1550A" w:rsidRPr="00E47AA9">
        <w:rPr>
          <w:rFonts w:ascii="Times New Roman" w:eastAsia="Times New Roman" w:hAnsi="Times New Roman" w:cs="Times New Roman"/>
          <w:bCs/>
          <w:sz w:val="28"/>
          <w:szCs w:val="28"/>
          <w:lang w:eastAsia="ru-RU"/>
        </w:rPr>
        <w:t>,</w:t>
      </w:r>
      <w:r w:rsidRPr="00E47AA9">
        <w:rPr>
          <w:rFonts w:ascii="Times New Roman" w:eastAsia="Times New Roman" w:hAnsi="Times New Roman" w:cs="Times New Roman"/>
          <w:bCs/>
          <w:sz w:val="28"/>
          <w:szCs w:val="28"/>
          <w:lang w:eastAsia="ru-RU"/>
        </w:rPr>
        <w:t xml:space="preserve"> – на обеспечение равных условий оплаты труда, установленных нормативными правовыми актами Приморского края, государственным гражданским служащим Приморского края, выполняющим функции по осуществлению переданных полномочий Российской Федерации, за счет средств краевого бюджета. </w:t>
      </w:r>
    </w:p>
    <w:p w14:paraId="431751FE" w14:textId="324D8DA6" w:rsidR="00925B5C" w:rsidRPr="00E47AA9" w:rsidRDefault="00925B5C" w:rsidP="00925B5C">
      <w:pPr>
        <w:spacing w:after="0" w:line="240" w:lineRule="auto"/>
        <w:ind w:firstLine="709"/>
        <w:jc w:val="both"/>
        <w:outlineLvl w:val="4"/>
        <w:rPr>
          <w:rFonts w:ascii="Times New Roman" w:eastAsia="Times New Roman" w:hAnsi="Times New Roman" w:cs="Times New Roman"/>
          <w:bCs/>
          <w:sz w:val="28"/>
          <w:szCs w:val="28"/>
          <w:lang w:eastAsia="ru-RU"/>
        </w:rPr>
      </w:pPr>
      <w:r w:rsidRPr="00E47AA9">
        <w:rPr>
          <w:rFonts w:ascii="Times New Roman" w:eastAsia="Calibri" w:hAnsi="Times New Roman" w:cs="Times New Roman"/>
          <w:sz w:val="28"/>
          <w:szCs w:val="28"/>
        </w:rPr>
        <w:t xml:space="preserve">Расходы по </w:t>
      </w:r>
      <w:r w:rsidRPr="00E47AA9">
        <w:rPr>
          <w:rFonts w:ascii="Times New Roman" w:eastAsia="Calibri" w:hAnsi="Times New Roman" w:cs="Times New Roman"/>
          <w:i/>
          <w:sz w:val="28"/>
          <w:szCs w:val="28"/>
        </w:rPr>
        <w:t>КПМ "Проведение мероприятий в сфере лесных отношений"</w:t>
      </w:r>
      <w:r w:rsidRPr="00E47AA9">
        <w:rPr>
          <w:rFonts w:ascii="Times New Roman" w:eastAsia="Calibri" w:hAnsi="Times New Roman" w:cs="Times New Roman"/>
          <w:sz w:val="28"/>
          <w:szCs w:val="28"/>
        </w:rPr>
        <w:t xml:space="preserve"> исполнены в полном объеме 4,56 млн рублей за счет средств федерального бюджета </w:t>
      </w:r>
      <w:r w:rsidRPr="00E47AA9">
        <w:rPr>
          <w:rFonts w:ascii="Times New Roman" w:eastAsia="Times New Roman" w:hAnsi="Times New Roman" w:cs="Times New Roman"/>
          <w:sz w:val="28"/>
          <w:szCs w:val="28"/>
          <w:lang w:eastAsia="ru-RU"/>
        </w:rPr>
        <w:t>на организацию работ по лесоустройству и лесопатологической оценке лесного фонда.</w:t>
      </w:r>
    </w:p>
    <w:p w14:paraId="70B14FFE" w14:textId="77777777" w:rsidR="000711E6" w:rsidRPr="00E47AA9" w:rsidRDefault="000711E6" w:rsidP="000711E6">
      <w:pPr>
        <w:spacing w:after="0" w:line="240" w:lineRule="auto"/>
        <w:ind w:firstLine="720"/>
        <w:jc w:val="center"/>
        <w:rPr>
          <w:rFonts w:ascii="Times New Roman" w:eastAsia="Calibri" w:hAnsi="Times New Roman" w:cs="Times New Roman"/>
          <w:sz w:val="28"/>
          <w:szCs w:val="28"/>
        </w:rPr>
      </w:pPr>
    </w:p>
    <w:p w14:paraId="5D56B17E" w14:textId="77777777" w:rsidR="000711E6" w:rsidRPr="00E47AA9" w:rsidRDefault="000711E6" w:rsidP="00515109">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noProof/>
          <w:sz w:val="20"/>
          <w:szCs w:val="20"/>
          <w:lang w:eastAsia="ru-RU"/>
        </w:rPr>
        <w:drawing>
          <wp:anchor distT="0" distB="0" distL="114300" distR="114300" simplePos="0" relativeHeight="251680768" behindDoc="0" locked="0" layoutInCell="1" allowOverlap="1" wp14:anchorId="7F7B29BF" wp14:editId="32FD8F4E">
            <wp:simplePos x="0" y="0"/>
            <wp:positionH relativeFrom="column">
              <wp:posOffset>-155575</wp:posOffset>
            </wp:positionH>
            <wp:positionV relativeFrom="paragraph">
              <wp:posOffset>12790</wp:posOffset>
            </wp:positionV>
            <wp:extent cx="1233805" cy="1038225"/>
            <wp:effectExtent l="0" t="0" r="4445" b="9525"/>
            <wp:wrapSquare wrapText="bothSides"/>
            <wp:docPr id="38" name="Рисунок 38" descr="C:\Users\zavzyataya_sv\Desktop\Картинки к исполнению\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zavzyataya_sv\Desktop\Картинки к исполнению\unnamed.jpg"/>
                    <pic:cNvPicPr>
                      <a:picLocks noChangeAspect="1" noChangeArrowheads="1"/>
                    </pic:cNvPicPr>
                  </pic:nvPicPr>
                  <pic:blipFill rotWithShape="1">
                    <a:blip r:embed="rId68">
                      <a:extLst>
                        <a:ext uri="{28A0092B-C50C-407E-A947-70E740481C1C}">
                          <a14:useLocalDpi xmlns:a14="http://schemas.microsoft.com/office/drawing/2010/main" val="0"/>
                        </a:ext>
                      </a:extLst>
                    </a:blip>
                    <a:srcRect b="61801"/>
                    <a:stretch/>
                  </pic:blipFill>
                  <pic:spPr bwMode="auto">
                    <a:xfrm>
                      <a:off x="0" y="0"/>
                      <a:ext cx="1233805" cy="1038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47AA9">
        <w:rPr>
          <w:rFonts w:ascii="Times New Roman" w:eastAsia="Times New Roman" w:hAnsi="Times New Roman" w:cs="Times New Roman"/>
          <w:b/>
          <w:sz w:val="28"/>
          <w:szCs w:val="28"/>
          <w:lang w:eastAsia="ru-RU"/>
        </w:rPr>
        <w:t xml:space="preserve">5.2.17. Государственная программа Приморского края "Экономическое развитие и инновационная экономика Приморского края" </w:t>
      </w:r>
    </w:p>
    <w:p w14:paraId="61E4101B" w14:textId="77777777" w:rsidR="00484F42" w:rsidRPr="00E47AA9" w:rsidRDefault="00484F42" w:rsidP="00484F42">
      <w:pPr>
        <w:spacing w:after="0" w:line="240" w:lineRule="auto"/>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Уточненные бюджетные назначения на 2024 год на реализацию ГП в сумме 15788,25 млн рублей исполнены на 99,78 %, что составило 15753,41 млн рублей, в том числе: за счет средств федерального бюджета – 572,16 млн рублей, краевого бюджета – 15181,25 млн рублей.</w:t>
      </w:r>
    </w:p>
    <w:p w14:paraId="054AB3C7" w14:textId="7E2AF5A0" w:rsidR="00484F42" w:rsidRPr="00E47AA9" w:rsidRDefault="00484F42" w:rsidP="00484F4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rPr>
        <w:t xml:space="preserve">Согласно паспорту ГП ответственный исполнитель </w:t>
      </w:r>
      <w:r w:rsidR="00C519F0"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lang w:eastAsia="ru-RU"/>
        </w:rPr>
        <w:t>министерство экономического развития Приморского края, соисполнители: министерство финансов Приморского края</w:t>
      </w:r>
      <w:r w:rsidR="00C519F0"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министерство имущественных и земельных отношений Приморского края</w:t>
      </w:r>
      <w:r w:rsidR="00C519F0"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министерство промышленности и торговли Приморского края</w:t>
      </w:r>
      <w:r w:rsidR="00C519F0"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министерство профессионального образования и занятости </w:t>
      </w:r>
      <w:r w:rsidRPr="00E47AA9">
        <w:rPr>
          <w:rFonts w:ascii="Times New Roman" w:eastAsia="Times New Roman" w:hAnsi="Times New Roman" w:cs="Times New Roman"/>
          <w:sz w:val="28"/>
          <w:szCs w:val="28"/>
          <w:lang w:eastAsia="ru-RU"/>
        </w:rPr>
        <w:lastRenderedPageBreak/>
        <w:t>населения Приморского края</w:t>
      </w:r>
      <w:r w:rsidR="00C519F0"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министерство строительства Приморского края</w:t>
      </w:r>
      <w:r w:rsidR="00C519F0"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агентство проектного управления Приморского края.</w:t>
      </w:r>
    </w:p>
    <w:p w14:paraId="1DDF9636" w14:textId="77777777" w:rsidR="00484F42" w:rsidRPr="00E47AA9" w:rsidRDefault="00484F42" w:rsidP="00484F42">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Исполнение ГП в 2024 году в разрезе главных распорядителей бюджетных средств приведено в таблице.</w:t>
      </w:r>
    </w:p>
    <w:tbl>
      <w:tblPr>
        <w:tblW w:w="9405" w:type="dxa"/>
        <w:jc w:val="center"/>
        <w:tblLayout w:type="fixed"/>
        <w:tblLook w:val="04A0" w:firstRow="1" w:lastRow="0" w:firstColumn="1" w:lastColumn="0" w:noHBand="0" w:noVBand="1"/>
      </w:tblPr>
      <w:tblGrid>
        <w:gridCol w:w="3119"/>
        <w:gridCol w:w="850"/>
        <w:gridCol w:w="1701"/>
        <w:gridCol w:w="1418"/>
        <w:gridCol w:w="850"/>
        <w:gridCol w:w="1467"/>
      </w:tblGrid>
      <w:tr w:rsidR="00E47AA9" w:rsidRPr="00E47AA9" w14:paraId="1FCDAB2D" w14:textId="77777777" w:rsidTr="006D736D">
        <w:trPr>
          <w:cantSplit/>
          <w:trHeight w:val="20"/>
          <w:tblHeader/>
          <w:jc w:val="center"/>
        </w:trPr>
        <w:tc>
          <w:tcPr>
            <w:tcW w:w="3119" w:type="dxa"/>
            <w:tcBorders>
              <w:bottom w:val="single" w:sz="4" w:space="0" w:color="auto"/>
            </w:tcBorders>
            <w:shd w:val="clear" w:color="auto" w:fill="auto"/>
            <w:vAlign w:val="center"/>
          </w:tcPr>
          <w:p w14:paraId="259262F2" w14:textId="77777777" w:rsidR="00C519F0" w:rsidRPr="00E47AA9" w:rsidRDefault="00C519F0" w:rsidP="00F77241">
            <w:pPr>
              <w:spacing w:after="0" w:line="240" w:lineRule="auto"/>
              <w:jc w:val="center"/>
              <w:rPr>
                <w:rFonts w:ascii="Times New Roman" w:eastAsia="Times New Roman" w:hAnsi="Times New Roman" w:cs="Times New Roman"/>
                <w:lang w:eastAsia="ru-RU"/>
              </w:rPr>
            </w:pPr>
          </w:p>
        </w:tc>
        <w:tc>
          <w:tcPr>
            <w:tcW w:w="850" w:type="dxa"/>
            <w:tcBorders>
              <w:bottom w:val="single" w:sz="4" w:space="0" w:color="auto"/>
            </w:tcBorders>
            <w:textDirection w:val="btLr"/>
          </w:tcPr>
          <w:p w14:paraId="7BEAA2C5" w14:textId="77777777" w:rsidR="00C519F0" w:rsidRPr="00E47AA9" w:rsidRDefault="00C519F0" w:rsidP="00F77241">
            <w:pPr>
              <w:spacing w:after="0" w:line="240" w:lineRule="auto"/>
              <w:ind w:left="113" w:right="113"/>
              <w:jc w:val="center"/>
              <w:rPr>
                <w:rFonts w:ascii="Times New Roman" w:eastAsia="Times New Roman" w:hAnsi="Times New Roman" w:cs="Times New Roman"/>
                <w:lang w:eastAsia="ru-RU"/>
              </w:rPr>
            </w:pPr>
          </w:p>
        </w:tc>
        <w:tc>
          <w:tcPr>
            <w:tcW w:w="1701" w:type="dxa"/>
            <w:tcBorders>
              <w:bottom w:val="single" w:sz="4" w:space="0" w:color="auto"/>
            </w:tcBorders>
            <w:shd w:val="clear" w:color="auto" w:fill="auto"/>
            <w:vAlign w:val="center"/>
          </w:tcPr>
          <w:p w14:paraId="73735CFE" w14:textId="77777777" w:rsidR="00C519F0" w:rsidRPr="00E47AA9" w:rsidRDefault="00C519F0" w:rsidP="00F77241">
            <w:pPr>
              <w:spacing w:after="0" w:line="240" w:lineRule="auto"/>
              <w:jc w:val="center"/>
              <w:rPr>
                <w:rFonts w:ascii="Times New Roman" w:eastAsia="Times New Roman" w:hAnsi="Times New Roman" w:cs="Times New Roman"/>
                <w:lang w:eastAsia="ru-RU"/>
              </w:rPr>
            </w:pPr>
          </w:p>
        </w:tc>
        <w:tc>
          <w:tcPr>
            <w:tcW w:w="1418" w:type="dxa"/>
            <w:tcBorders>
              <w:bottom w:val="single" w:sz="4" w:space="0" w:color="auto"/>
            </w:tcBorders>
            <w:shd w:val="clear" w:color="auto" w:fill="auto"/>
            <w:vAlign w:val="center"/>
          </w:tcPr>
          <w:p w14:paraId="2BC37F2D" w14:textId="77777777" w:rsidR="00C519F0" w:rsidRPr="00E47AA9" w:rsidRDefault="00C519F0" w:rsidP="00F77241">
            <w:pPr>
              <w:spacing w:after="0" w:line="240" w:lineRule="auto"/>
              <w:jc w:val="center"/>
              <w:rPr>
                <w:rFonts w:ascii="Times New Roman" w:eastAsia="Times New Roman" w:hAnsi="Times New Roman" w:cs="Times New Roman"/>
                <w:lang w:eastAsia="ru-RU"/>
              </w:rPr>
            </w:pPr>
          </w:p>
        </w:tc>
        <w:tc>
          <w:tcPr>
            <w:tcW w:w="2317" w:type="dxa"/>
            <w:gridSpan w:val="2"/>
            <w:tcBorders>
              <w:bottom w:val="single" w:sz="4" w:space="0" w:color="auto"/>
            </w:tcBorders>
            <w:shd w:val="clear" w:color="auto" w:fill="auto"/>
            <w:vAlign w:val="center"/>
          </w:tcPr>
          <w:p w14:paraId="48271E99" w14:textId="77777777" w:rsidR="00C519F0" w:rsidRPr="00E47AA9" w:rsidRDefault="00C519F0" w:rsidP="00C519F0">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sz w:val="24"/>
                <w:lang w:eastAsia="ru-RU"/>
              </w:rPr>
              <w:t>(млн рублей)</w:t>
            </w:r>
          </w:p>
        </w:tc>
      </w:tr>
      <w:tr w:rsidR="00E47AA9" w:rsidRPr="00E47AA9" w14:paraId="7C610768" w14:textId="77777777" w:rsidTr="00925B5C">
        <w:trPr>
          <w:cantSplit/>
          <w:trHeight w:val="20"/>
          <w:tblHeader/>
          <w:jc w:val="center"/>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2C9DCA" w14:textId="77777777" w:rsidR="00484F42" w:rsidRPr="00E47AA9" w:rsidRDefault="00484F42" w:rsidP="00F77241">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Наименование показателя</w:t>
            </w:r>
          </w:p>
        </w:tc>
        <w:tc>
          <w:tcPr>
            <w:tcW w:w="850" w:type="dxa"/>
            <w:tcBorders>
              <w:top w:val="single" w:sz="4" w:space="0" w:color="auto"/>
              <w:left w:val="single" w:sz="4" w:space="0" w:color="auto"/>
              <w:bottom w:val="single" w:sz="4" w:space="0" w:color="auto"/>
              <w:right w:val="single" w:sz="4" w:space="0" w:color="auto"/>
            </w:tcBorders>
            <w:textDirection w:val="btLr"/>
          </w:tcPr>
          <w:p w14:paraId="3AAE09F4" w14:textId="77777777" w:rsidR="00484F42" w:rsidRPr="00E47AA9" w:rsidRDefault="00484F42" w:rsidP="00F77241">
            <w:pPr>
              <w:spacing w:after="0" w:line="240" w:lineRule="auto"/>
              <w:ind w:left="113" w:right="113"/>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Код ведомства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C098A0" w14:textId="77777777" w:rsidR="00484F42" w:rsidRPr="00E47AA9" w:rsidRDefault="00484F42" w:rsidP="00F77241">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 xml:space="preserve">Уточненные бюджетные назначения </w:t>
            </w:r>
          </w:p>
          <w:p w14:paraId="14AC1ACE" w14:textId="77777777" w:rsidR="00484F42" w:rsidRPr="00E47AA9" w:rsidRDefault="00484F42" w:rsidP="00F77241">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на 2024 год</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8CFACC" w14:textId="77777777" w:rsidR="00484F42" w:rsidRPr="00E47AA9" w:rsidRDefault="00484F42" w:rsidP="00F77241">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Исполнено за 2024 год</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07E3329" w14:textId="77777777" w:rsidR="00484F42" w:rsidRPr="00E47AA9" w:rsidRDefault="00484F42" w:rsidP="00F77241">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 исп.</w:t>
            </w:r>
          </w:p>
        </w:tc>
        <w:tc>
          <w:tcPr>
            <w:tcW w:w="1467" w:type="dxa"/>
            <w:tcBorders>
              <w:top w:val="single" w:sz="4" w:space="0" w:color="auto"/>
              <w:left w:val="single" w:sz="4" w:space="0" w:color="auto"/>
              <w:bottom w:val="single" w:sz="4" w:space="0" w:color="auto"/>
              <w:right w:val="single" w:sz="4" w:space="0" w:color="auto"/>
            </w:tcBorders>
            <w:shd w:val="clear" w:color="auto" w:fill="auto"/>
            <w:vAlign w:val="center"/>
          </w:tcPr>
          <w:p w14:paraId="247D7793" w14:textId="77777777" w:rsidR="00484F42" w:rsidRPr="00E47AA9" w:rsidRDefault="00484F42" w:rsidP="00F77241">
            <w:pPr>
              <w:spacing w:after="0" w:line="240" w:lineRule="auto"/>
              <w:jc w:val="center"/>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Неисполненные назначения</w:t>
            </w:r>
          </w:p>
        </w:tc>
      </w:tr>
      <w:tr w:rsidR="00E47AA9" w:rsidRPr="00E47AA9" w14:paraId="7910C3EA" w14:textId="77777777" w:rsidTr="00925B5C">
        <w:trPr>
          <w:trHeight w:val="20"/>
          <w:jc w:val="center"/>
        </w:trPr>
        <w:tc>
          <w:tcPr>
            <w:tcW w:w="3119" w:type="dxa"/>
            <w:tcBorders>
              <w:top w:val="single" w:sz="4" w:space="0" w:color="auto"/>
              <w:left w:val="single" w:sz="4" w:space="0" w:color="auto"/>
              <w:bottom w:val="single" w:sz="4" w:space="0" w:color="auto"/>
              <w:right w:val="single" w:sz="4" w:space="0" w:color="auto"/>
            </w:tcBorders>
            <w:shd w:val="clear" w:color="auto" w:fill="auto"/>
            <w:hideMark/>
          </w:tcPr>
          <w:p w14:paraId="31662C26" w14:textId="77777777" w:rsidR="00484F42" w:rsidRPr="00E47AA9" w:rsidRDefault="00484F42" w:rsidP="00F77241">
            <w:pPr>
              <w:spacing w:after="0" w:line="240" w:lineRule="auto"/>
              <w:rPr>
                <w:rFonts w:ascii="Times New Roman" w:eastAsia="Times New Roman" w:hAnsi="Times New Roman" w:cs="Times New Roman"/>
                <w:bCs/>
                <w:lang w:eastAsia="ru-RU"/>
              </w:rPr>
            </w:pPr>
            <w:r w:rsidRPr="00E47AA9">
              <w:rPr>
                <w:rFonts w:ascii="Times New Roman" w:eastAsia="Times New Roman" w:hAnsi="Times New Roman" w:cs="Times New Roman"/>
                <w:b/>
                <w:bCs/>
                <w:lang w:eastAsia="ru-RU"/>
              </w:rPr>
              <w:t xml:space="preserve">Расходы по ГП всего, </w:t>
            </w:r>
          </w:p>
          <w:p w14:paraId="37B881F3" w14:textId="701410DE" w:rsidR="00484F42" w:rsidRPr="00E47AA9" w:rsidRDefault="00484F42" w:rsidP="00C519F0">
            <w:pPr>
              <w:spacing w:after="0" w:line="240" w:lineRule="auto"/>
              <w:rPr>
                <w:rFonts w:ascii="Times New Roman" w:eastAsia="Times New Roman" w:hAnsi="Times New Roman" w:cs="Times New Roman"/>
                <w:b/>
                <w:bCs/>
                <w:sz w:val="24"/>
                <w:szCs w:val="24"/>
                <w:lang w:eastAsia="ru-RU"/>
              </w:rPr>
            </w:pPr>
            <w:r w:rsidRPr="00E47AA9">
              <w:rPr>
                <w:rFonts w:ascii="Times New Roman" w:eastAsia="Times New Roman" w:hAnsi="Times New Roman" w:cs="Times New Roman"/>
                <w:bCs/>
                <w:lang w:eastAsia="ru-RU"/>
              </w:rPr>
              <w:t>в том числе по ведомствам</w:t>
            </w:r>
          </w:p>
        </w:tc>
        <w:tc>
          <w:tcPr>
            <w:tcW w:w="850" w:type="dxa"/>
            <w:tcBorders>
              <w:top w:val="single" w:sz="4" w:space="0" w:color="auto"/>
              <w:left w:val="single" w:sz="4" w:space="0" w:color="auto"/>
              <w:bottom w:val="single" w:sz="4" w:space="0" w:color="auto"/>
              <w:right w:val="single" w:sz="4" w:space="0" w:color="auto"/>
            </w:tcBorders>
            <w:vAlign w:val="center"/>
          </w:tcPr>
          <w:p w14:paraId="3C5E2071" w14:textId="77777777" w:rsidR="00484F42" w:rsidRPr="00E47AA9" w:rsidRDefault="00484F42" w:rsidP="00F77241">
            <w:pPr>
              <w:spacing w:after="0" w:line="240" w:lineRule="auto"/>
              <w:jc w:val="right"/>
              <w:rPr>
                <w:rFonts w:ascii="Times New Roman" w:hAnsi="Times New Roman" w:cs="Times New Roman"/>
                <w:b/>
                <w:bCs/>
              </w:rPr>
            </w:pPr>
          </w:p>
        </w:tc>
        <w:tc>
          <w:tcPr>
            <w:tcW w:w="1701" w:type="dxa"/>
            <w:tcBorders>
              <w:top w:val="nil"/>
              <w:left w:val="nil"/>
              <w:bottom w:val="single" w:sz="8" w:space="0" w:color="auto"/>
              <w:right w:val="single" w:sz="8" w:space="0" w:color="auto"/>
            </w:tcBorders>
            <w:shd w:val="clear" w:color="auto" w:fill="auto"/>
            <w:noWrap/>
            <w:vAlign w:val="bottom"/>
          </w:tcPr>
          <w:p w14:paraId="020F6EBD" w14:textId="77777777" w:rsidR="00484F42" w:rsidRPr="00E47AA9" w:rsidRDefault="00484F42" w:rsidP="00F77241">
            <w:pPr>
              <w:spacing w:after="0" w:line="240" w:lineRule="auto"/>
              <w:jc w:val="right"/>
              <w:rPr>
                <w:rFonts w:ascii="Times New Roman" w:hAnsi="Times New Roman" w:cs="Times New Roman"/>
                <w:b/>
                <w:bCs/>
              </w:rPr>
            </w:pPr>
            <w:r w:rsidRPr="00E47AA9">
              <w:rPr>
                <w:rFonts w:ascii="Times New Roman" w:hAnsi="Times New Roman" w:cs="Times New Roman"/>
                <w:b/>
                <w:bCs/>
              </w:rPr>
              <w:t>15 788,25</w:t>
            </w:r>
          </w:p>
        </w:tc>
        <w:tc>
          <w:tcPr>
            <w:tcW w:w="1418" w:type="dxa"/>
            <w:tcBorders>
              <w:top w:val="nil"/>
              <w:left w:val="nil"/>
              <w:bottom w:val="single" w:sz="8" w:space="0" w:color="auto"/>
              <w:right w:val="single" w:sz="8" w:space="0" w:color="auto"/>
            </w:tcBorders>
            <w:shd w:val="clear" w:color="auto" w:fill="auto"/>
            <w:noWrap/>
            <w:vAlign w:val="bottom"/>
          </w:tcPr>
          <w:p w14:paraId="2517FA6A" w14:textId="77777777" w:rsidR="00484F42" w:rsidRPr="00E47AA9" w:rsidRDefault="00484F42" w:rsidP="00F77241">
            <w:pPr>
              <w:spacing w:after="0" w:line="240" w:lineRule="auto"/>
              <w:jc w:val="right"/>
              <w:rPr>
                <w:rFonts w:ascii="Times New Roman" w:hAnsi="Times New Roman" w:cs="Times New Roman"/>
                <w:b/>
                <w:bCs/>
              </w:rPr>
            </w:pPr>
            <w:r w:rsidRPr="00E47AA9">
              <w:rPr>
                <w:rFonts w:ascii="Times New Roman" w:hAnsi="Times New Roman" w:cs="Times New Roman"/>
                <w:b/>
                <w:bCs/>
              </w:rPr>
              <w:t>15 753,41</w:t>
            </w:r>
          </w:p>
        </w:tc>
        <w:tc>
          <w:tcPr>
            <w:tcW w:w="850" w:type="dxa"/>
            <w:tcBorders>
              <w:top w:val="nil"/>
              <w:left w:val="nil"/>
              <w:bottom w:val="single" w:sz="8" w:space="0" w:color="auto"/>
              <w:right w:val="single" w:sz="8" w:space="0" w:color="auto"/>
            </w:tcBorders>
            <w:shd w:val="clear" w:color="auto" w:fill="auto"/>
            <w:noWrap/>
            <w:vAlign w:val="bottom"/>
          </w:tcPr>
          <w:p w14:paraId="23EE7F5E" w14:textId="77777777" w:rsidR="00484F42" w:rsidRPr="00E47AA9" w:rsidRDefault="00484F42" w:rsidP="00F77241">
            <w:pPr>
              <w:spacing w:after="0" w:line="240" w:lineRule="auto"/>
              <w:jc w:val="right"/>
              <w:rPr>
                <w:rFonts w:ascii="Times New Roman" w:hAnsi="Times New Roman" w:cs="Times New Roman"/>
                <w:b/>
                <w:bCs/>
              </w:rPr>
            </w:pPr>
            <w:r w:rsidRPr="00E47AA9">
              <w:rPr>
                <w:rFonts w:ascii="Times New Roman" w:hAnsi="Times New Roman" w:cs="Times New Roman"/>
                <w:b/>
                <w:bCs/>
              </w:rPr>
              <w:t>99,78</w:t>
            </w:r>
          </w:p>
        </w:tc>
        <w:tc>
          <w:tcPr>
            <w:tcW w:w="1467" w:type="dxa"/>
            <w:tcBorders>
              <w:top w:val="nil"/>
              <w:left w:val="nil"/>
              <w:bottom w:val="single" w:sz="8" w:space="0" w:color="auto"/>
              <w:right w:val="single" w:sz="8" w:space="0" w:color="auto"/>
            </w:tcBorders>
            <w:shd w:val="clear" w:color="auto" w:fill="auto"/>
            <w:vAlign w:val="bottom"/>
          </w:tcPr>
          <w:p w14:paraId="0F98EEE0" w14:textId="77777777" w:rsidR="00484F42" w:rsidRPr="00E47AA9" w:rsidRDefault="00484F42" w:rsidP="00F77241">
            <w:pPr>
              <w:spacing w:after="0" w:line="240" w:lineRule="auto"/>
              <w:jc w:val="right"/>
              <w:rPr>
                <w:rFonts w:ascii="Times New Roman" w:hAnsi="Times New Roman" w:cs="Times New Roman"/>
                <w:b/>
                <w:bCs/>
              </w:rPr>
            </w:pPr>
            <w:r w:rsidRPr="00E47AA9">
              <w:rPr>
                <w:rFonts w:ascii="Times New Roman" w:hAnsi="Times New Roman" w:cs="Times New Roman"/>
                <w:b/>
                <w:bCs/>
              </w:rPr>
              <w:t>34,84</w:t>
            </w:r>
          </w:p>
        </w:tc>
      </w:tr>
      <w:tr w:rsidR="00E47AA9" w:rsidRPr="00E47AA9" w14:paraId="0BC7C5E5" w14:textId="77777777" w:rsidTr="00925B5C">
        <w:trPr>
          <w:trHeight w:val="20"/>
          <w:jc w:val="center"/>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1338DF39" w14:textId="77777777" w:rsidR="00484F42" w:rsidRPr="00E47AA9" w:rsidRDefault="00484F42" w:rsidP="00F77241">
            <w:pPr>
              <w:spacing w:after="0" w:line="240" w:lineRule="auto"/>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министерство финансов Приморского края</w:t>
            </w:r>
          </w:p>
        </w:tc>
        <w:tc>
          <w:tcPr>
            <w:tcW w:w="850" w:type="dxa"/>
            <w:tcBorders>
              <w:top w:val="single" w:sz="4" w:space="0" w:color="auto"/>
              <w:left w:val="single" w:sz="4" w:space="0" w:color="auto"/>
              <w:bottom w:val="single" w:sz="4" w:space="0" w:color="auto"/>
              <w:right w:val="single" w:sz="4" w:space="0" w:color="auto"/>
            </w:tcBorders>
            <w:vAlign w:val="center"/>
          </w:tcPr>
          <w:p w14:paraId="07D840E3"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752</w:t>
            </w:r>
          </w:p>
        </w:tc>
        <w:tc>
          <w:tcPr>
            <w:tcW w:w="1701" w:type="dxa"/>
            <w:tcBorders>
              <w:top w:val="nil"/>
              <w:left w:val="nil"/>
              <w:bottom w:val="single" w:sz="8" w:space="0" w:color="auto"/>
              <w:right w:val="single" w:sz="8" w:space="0" w:color="auto"/>
            </w:tcBorders>
            <w:shd w:val="clear" w:color="auto" w:fill="auto"/>
            <w:vAlign w:val="bottom"/>
          </w:tcPr>
          <w:p w14:paraId="0E3DFA44"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9 151,49</w:t>
            </w:r>
          </w:p>
        </w:tc>
        <w:tc>
          <w:tcPr>
            <w:tcW w:w="1418" w:type="dxa"/>
            <w:tcBorders>
              <w:top w:val="nil"/>
              <w:left w:val="nil"/>
              <w:bottom w:val="single" w:sz="8" w:space="0" w:color="auto"/>
              <w:right w:val="single" w:sz="8" w:space="0" w:color="auto"/>
            </w:tcBorders>
            <w:shd w:val="clear" w:color="auto" w:fill="auto"/>
            <w:vAlign w:val="bottom"/>
          </w:tcPr>
          <w:p w14:paraId="7AB6C636"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9 131,53</w:t>
            </w:r>
          </w:p>
        </w:tc>
        <w:tc>
          <w:tcPr>
            <w:tcW w:w="850" w:type="dxa"/>
            <w:tcBorders>
              <w:top w:val="nil"/>
              <w:left w:val="nil"/>
              <w:bottom w:val="single" w:sz="8" w:space="0" w:color="auto"/>
              <w:right w:val="single" w:sz="8" w:space="0" w:color="auto"/>
            </w:tcBorders>
            <w:shd w:val="clear" w:color="auto" w:fill="auto"/>
            <w:vAlign w:val="bottom"/>
          </w:tcPr>
          <w:p w14:paraId="50DEF8B5"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99,78</w:t>
            </w:r>
          </w:p>
        </w:tc>
        <w:tc>
          <w:tcPr>
            <w:tcW w:w="1467" w:type="dxa"/>
            <w:tcBorders>
              <w:top w:val="nil"/>
              <w:left w:val="nil"/>
              <w:bottom w:val="single" w:sz="8" w:space="0" w:color="auto"/>
              <w:right w:val="single" w:sz="8" w:space="0" w:color="auto"/>
            </w:tcBorders>
            <w:shd w:val="clear" w:color="auto" w:fill="auto"/>
            <w:vAlign w:val="bottom"/>
          </w:tcPr>
          <w:p w14:paraId="14F81199"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19,96</w:t>
            </w:r>
          </w:p>
        </w:tc>
      </w:tr>
      <w:tr w:rsidR="00E47AA9" w:rsidRPr="00E47AA9" w14:paraId="72BE2084" w14:textId="77777777" w:rsidTr="00925B5C">
        <w:trPr>
          <w:trHeight w:val="20"/>
          <w:jc w:val="center"/>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09FF9539" w14:textId="77777777" w:rsidR="00484F42" w:rsidRPr="00E47AA9" w:rsidRDefault="00484F42" w:rsidP="00F77241">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министерство строительства Приморского края</w:t>
            </w:r>
          </w:p>
        </w:tc>
        <w:tc>
          <w:tcPr>
            <w:tcW w:w="850" w:type="dxa"/>
            <w:tcBorders>
              <w:top w:val="single" w:sz="4" w:space="0" w:color="auto"/>
              <w:left w:val="single" w:sz="4" w:space="0" w:color="auto"/>
              <w:bottom w:val="single" w:sz="4" w:space="0" w:color="auto"/>
              <w:right w:val="single" w:sz="4" w:space="0" w:color="auto"/>
            </w:tcBorders>
            <w:vAlign w:val="center"/>
          </w:tcPr>
          <w:p w14:paraId="2D0C5392"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775</w:t>
            </w:r>
          </w:p>
        </w:tc>
        <w:tc>
          <w:tcPr>
            <w:tcW w:w="1701" w:type="dxa"/>
            <w:tcBorders>
              <w:top w:val="nil"/>
              <w:left w:val="nil"/>
              <w:bottom w:val="single" w:sz="8" w:space="0" w:color="auto"/>
              <w:right w:val="single" w:sz="8" w:space="0" w:color="auto"/>
            </w:tcBorders>
            <w:shd w:val="clear" w:color="auto" w:fill="auto"/>
            <w:vAlign w:val="bottom"/>
          </w:tcPr>
          <w:p w14:paraId="4CEED3CB"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1 883,77</w:t>
            </w:r>
          </w:p>
        </w:tc>
        <w:tc>
          <w:tcPr>
            <w:tcW w:w="1418" w:type="dxa"/>
            <w:tcBorders>
              <w:top w:val="nil"/>
              <w:left w:val="nil"/>
              <w:bottom w:val="single" w:sz="8" w:space="0" w:color="auto"/>
              <w:right w:val="single" w:sz="8" w:space="0" w:color="auto"/>
            </w:tcBorders>
            <w:shd w:val="clear" w:color="auto" w:fill="auto"/>
            <w:vAlign w:val="bottom"/>
          </w:tcPr>
          <w:p w14:paraId="013FDEBA"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1 883,47</w:t>
            </w:r>
          </w:p>
        </w:tc>
        <w:tc>
          <w:tcPr>
            <w:tcW w:w="850" w:type="dxa"/>
            <w:tcBorders>
              <w:top w:val="nil"/>
              <w:left w:val="nil"/>
              <w:bottom w:val="single" w:sz="8" w:space="0" w:color="auto"/>
              <w:right w:val="single" w:sz="8" w:space="0" w:color="auto"/>
            </w:tcBorders>
            <w:shd w:val="clear" w:color="auto" w:fill="auto"/>
            <w:vAlign w:val="bottom"/>
          </w:tcPr>
          <w:p w14:paraId="0A504018"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99,98</w:t>
            </w:r>
          </w:p>
        </w:tc>
        <w:tc>
          <w:tcPr>
            <w:tcW w:w="1467" w:type="dxa"/>
            <w:tcBorders>
              <w:top w:val="nil"/>
              <w:left w:val="nil"/>
              <w:bottom w:val="single" w:sz="8" w:space="0" w:color="auto"/>
              <w:right w:val="single" w:sz="8" w:space="0" w:color="auto"/>
            </w:tcBorders>
            <w:shd w:val="clear" w:color="auto" w:fill="auto"/>
            <w:vAlign w:val="bottom"/>
          </w:tcPr>
          <w:p w14:paraId="43B786E0"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0,30</w:t>
            </w:r>
          </w:p>
        </w:tc>
      </w:tr>
      <w:tr w:rsidR="00E47AA9" w:rsidRPr="00E47AA9" w14:paraId="7123A835" w14:textId="77777777" w:rsidTr="00925B5C">
        <w:trPr>
          <w:trHeight w:val="20"/>
          <w:jc w:val="center"/>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02F26816" w14:textId="77777777" w:rsidR="00484F42" w:rsidRPr="00E47AA9" w:rsidRDefault="00484F42" w:rsidP="00F77241">
            <w:pPr>
              <w:spacing w:after="0" w:line="240" w:lineRule="auto"/>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министерство имущественных и земельных отношений Приморского края</w:t>
            </w:r>
          </w:p>
        </w:tc>
        <w:tc>
          <w:tcPr>
            <w:tcW w:w="850" w:type="dxa"/>
            <w:tcBorders>
              <w:top w:val="single" w:sz="4" w:space="0" w:color="auto"/>
              <w:left w:val="single" w:sz="4" w:space="0" w:color="auto"/>
              <w:bottom w:val="single" w:sz="4" w:space="0" w:color="auto"/>
              <w:right w:val="single" w:sz="4" w:space="0" w:color="auto"/>
            </w:tcBorders>
            <w:vAlign w:val="center"/>
          </w:tcPr>
          <w:p w14:paraId="288FB87C"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779</w:t>
            </w:r>
          </w:p>
        </w:tc>
        <w:tc>
          <w:tcPr>
            <w:tcW w:w="1701" w:type="dxa"/>
            <w:tcBorders>
              <w:top w:val="nil"/>
              <w:left w:val="nil"/>
              <w:bottom w:val="single" w:sz="8" w:space="0" w:color="auto"/>
              <w:right w:val="single" w:sz="8" w:space="0" w:color="auto"/>
            </w:tcBorders>
            <w:shd w:val="clear" w:color="auto" w:fill="auto"/>
            <w:vAlign w:val="bottom"/>
          </w:tcPr>
          <w:p w14:paraId="2CA53222"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2 003,24</w:t>
            </w:r>
          </w:p>
        </w:tc>
        <w:tc>
          <w:tcPr>
            <w:tcW w:w="1418" w:type="dxa"/>
            <w:tcBorders>
              <w:top w:val="nil"/>
              <w:left w:val="nil"/>
              <w:bottom w:val="single" w:sz="8" w:space="0" w:color="auto"/>
              <w:right w:val="single" w:sz="8" w:space="0" w:color="auto"/>
            </w:tcBorders>
            <w:shd w:val="clear" w:color="auto" w:fill="auto"/>
            <w:vAlign w:val="bottom"/>
          </w:tcPr>
          <w:p w14:paraId="58811EF6"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1 994,62</w:t>
            </w:r>
          </w:p>
        </w:tc>
        <w:tc>
          <w:tcPr>
            <w:tcW w:w="850" w:type="dxa"/>
            <w:tcBorders>
              <w:top w:val="nil"/>
              <w:left w:val="nil"/>
              <w:bottom w:val="single" w:sz="8" w:space="0" w:color="auto"/>
              <w:right w:val="single" w:sz="8" w:space="0" w:color="auto"/>
            </w:tcBorders>
            <w:shd w:val="clear" w:color="auto" w:fill="auto"/>
            <w:vAlign w:val="bottom"/>
          </w:tcPr>
          <w:p w14:paraId="6C8DB0AF"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99,57</w:t>
            </w:r>
          </w:p>
        </w:tc>
        <w:tc>
          <w:tcPr>
            <w:tcW w:w="1467" w:type="dxa"/>
            <w:tcBorders>
              <w:top w:val="nil"/>
              <w:left w:val="nil"/>
              <w:bottom w:val="single" w:sz="8" w:space="0" w:color="auto"/>
              <w:right w:val="single" w:sz="8" w:space="0" w:color="auto"/>
            </w:tcBorders>
            <w:shd w:val="clear" w:color="auto" w:fill="auto"/>
            <w:vAlign w:val="bottom"/>
          </w:tcPr>
          <w:p w14:paraId="12C02A4E"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8,62</w:t>
            </w:r>
          </w:p>
        </w:tc>
      </w:tr>
      <w:tr w:rsidR="00E47AA9" w:rsidRPr="00E47AA9" w14:paraId="536AF230" w14:textId="77777777" w:rsidTr="00925B5C">
        <w:trPr>
          <w:trHeight w:val="20"/>
          <w:jc w:val="center"/>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7FF8EA18" w14:textId="77777777" w:rsidR="00484F42" w:rsidRPr="00E47AA9" w:rsidRDefault="00484F42" w:rsidP="00F77241">
            <w:pPr>
              <w:spacing w:after="0" w:line="240" w:lineRule="auto"/>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министерство экономического развития Приморского края</w:t>
            </w:r>
          </w:p>
        </w:tc>
        <w:tc>
          <w:tcPr>
            <w:tcW w:w="850" w:type="dxa"/>
            <w:tcBorders>
              <w:top w:val="single" w:sz="4" w:space="0" w:color="auto"/>
              <w:left w:val="single" w:sz="4" w:space="0" w:color="auto"/>
              <w:bottom w:val="single" w:sz="4" w:space="0" w:color="auto"/>
              <w:right w:val="single" w:sz="4" w:space="0" w:color="auto"/>
            </w:tcBorders>
            <w:vAlign w:val="center"/>
          </w:tcPr>
          <w:p w14:paraId="0B3989D7"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784</w:t>
            </w:r>
          </w:p>
        </w:tc>
        <w:tc>
          <w:tcPr>
            <w:tcW w:w="1701" w:type="dxa"/>
            <w:tcBorders>
              <w:top w:val="nil"/>
              <w:left w:val="nil"/>
              <w:bottom w:val="single" w:sz="8" w:space="0" w:color="auto"/>
              <w:right w:val="single" w:sz="8" w:space="0" w:color="auto"/>
            </w:tcBorders>
            <w:shd w:val="clear" w:color="auto" w:fill="auto"/>
            <w:vAlign w:val="bottom"/>
          </w:tcPr>
          <w:p w14:paraId="3969BEF8"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1 482,80</w:t>
            </w:r>
          </w:p>
        </w:tc>
        <w:tc>
          <w:tcPr>
            <w:tcW w:w="1418" w:type="dxa"/>
            <w:tcBorders>
              <w:top w:val="nil"/>
              <w:left w:val="nil"/>
              <w:bottom w:val="single" w:sz="8" w:space="0" w:color="auto"/>
              <w:right w:val="single" w:sz="8" w:space="0" w:color="auto"/>
            </w:tcBorders>
            <w:shd w:val="clear" w:color="auto" w:fill="auto"/>
            <w:vAlign w:val="bottom"/>
          </w:tcPr>
          <w:p w14:paraId="28CFFCF9"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1 478,59</w:t>
            </w:r>
          </w:p>
        </w:tc>
        <w:tc>
          <w:tcPr>
            <w:tcW w:w="850" w:type="dxa"/>
            <w:tcBorders>
              <w:top w:val="nil"/>
              <w:left w:val="nil"/>
              <w:bottom w:val="single" w:sz="8" w:space="0" w:color="auto"/>
              <w:right w:val="single" w:sz="8" w:space="0" w:color="auto"/>
            </w:tcBorders>
            <w:shd w:val="clear" w:color="auto" w:fill="auto"/>
            <w:vAlign w:val="bottom"/>
          </w:tcPr>
          <w:p w14:paraId="4E289DDE"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99,72</w:t>
            </w:r>
          </w:p>
        </w:tc>
        <w:tc>
          <w:tcPr>
            <w:tcW w:w="1467" w:type="dxa"/>
            <w:tcBorders>
              <w:top w:val="nil"/>
              <w:left w:val="nil"/>
              <w:bottom w:val="single" w:sz="8" w:space="0" w:color="auto"/>
              <w:right w:val="single" w:sz="8" w:space="0" w:color="auto"/>
            </w:tcBorders>
            <w:shd w:val="clear" w:color="auto" w:fill="auto"/>
            <w:vAlign w:val="bottom"/>
          </w:tcPr>
          <w:p w14:paraId="073D3D72"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4,21</w:t>
            </w:r>
          </w:p>
        </w:tc>
      </w:tr>
      <w:tr w:rsidR="00E47AA9" w:rsidRPr="00E47AA9" w14:paraId="549FD48B" w14:textId="77777777" w:rsidTr="00925B5C">
        <w:trPr>
          <w:trHeight w:val="20"/>
          <w:jc w:val="center"/>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48DA08FC" w14:textId="77777777" w:rsidR="00484F42" w:rsidRPr="00E47AA9" w:rsidRDefault="00484F42" w:rsidP="00F77241">
            <w:pPr>
              <w:spacing w:after="0" w:line="240" w:lineRule="auto"/>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агентство проектного управления Приморского края</w:t>
            </w:r>
          </w:p>
        </w:tc>
        <w:tc>
          <w:tcPr>
            <w:tcW w:w="850" w:type="dxa"/>
            <w:tcBorders>
              <w:top w:val="single" w:sz="4" w:space="0" w:color="auto"/>
              <w:left w:val="single" w:sz="4" w:space="0" w:color="auto"/>
              <w:bottom w:val="single" w:sz="4" w:space="0" w:color="auto"/>
              <w:right w:val="single" w:sz="4" w:space="0" w:color="auto"/>
            </w:tcBorders>
            <w:vAlign w:val="center"/>
          </w:tcPr>
          <w:p w14:paraId="6F977473"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798</w:t>
            </w:r>
          </w:p>
        </w:tc>
        <w:tc>
          <w:tcPr>
            <w:tcW w:w="1701" w:type="dxa"/>
            <w:tcBorders>
              <w:top w:val="nil"/>
              <w:left w:val="nil"/>
              <w:bottom w:val="single" w:sz="8" w:space="0" w:color="auto"/>
              <w:right w:val="single" w:sz="8" w:space="0" w:color="auto"/>
            </w:tcBorders>
            <w:shd w:val="clear" w:color="auto" w:fill="auto"/>
            <w:vAlign w:val="bottom"/>
          </w:tcPr>
          <w:p w14:paraId="205B55DE"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200,52</w:t>
            </w:r>
          </w:p>
        </w:tc>
        <w:tc>
          <w:tcPr>
            <w:tcW w:w="1418" w:type="dxa"/>
            <w:tcBorders>
              <w:top w:val="nil"/>
              <w:left w:val="nil"/>
              <w:bottom w:val="single" w:sz="8" w:space="0" w:color="auto"/>
              <w:right w:val="single" w:sz="8" w:space="0" w:color="auto"/>
            </w:tcBorders>
            <w:shd w:val="clear" w:color="auto" w:fill="auto"/>
            <w:vAlign w:val="bottom"/>
          </w:tcPr>
          <w:p w14:paraId="6AF9E350"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198,98</w:t>
            </w:r>
          </w:p>
        </w:tc>
        <w:tc>
          <w:tcPr>
            <w:tcW w:w="850" w:type="dxa"/>
            <w:tcBorders>
              <w:top w:val="nil"/>
              <w:left w:val="nil"/>
              <w:bottom w:val="single" w:sz="8" w:space="0" w:color="auto"/>
              <w:right w:val="single" w:sz="8" w:space="0" w:color="auto"/>
            </w:tcBorders>
            <w:shd w:val="clear" w:color="auto" w:fill="auto"/>
            <w:vAlign w:val="bottom"/>
          </w:tcPr>
          <w:p w14:paraId="0F9260B6"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99,23</w:t>
            </w:r>
          </w:p>
        </w:tc>
        <w:tc>
          <w:tcPr>
            <w:tcW w:w="1467" w:type="dxa"/>
            <w:tcBorders>
              <w:top w:val="nil"/>
              <w:left w:val="nil"/>
              <w:bottom w:val="single" w:sz="8" w:space="0" w:color="auto"/>
              <w:right w:val="single" w:sz="8" w:space="0" w:color="auto"/>
            </w:tcBorders>
            <w:shd w:val="clear" w:color="auto" w:fill="auto"/>
            <w:vAlign w:val="bottom"/>
          </w:tcPr>
          <w:p w14:paraId="7D94E847"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1,54</w:t>
            </w:r>
          </w:p>
        </w:tc>
      </w:tr>
      <w:tr w:rsidR="00E47AA9" w:rsidRPr="00E47AA9" w14:paraId="2B614DB4" w14:textId="77777777" w:rsidTr="00925B5C">
        <w:trPr>
          <w:trHeight w:val="20"/>
          <w:jc w:val="center"/>
        </w:trPr>
        <w:tc>
          <w:tcPr>
            <w:tcW w:w="3119" w:type="dxa"/>
            <w:tcBorders>
              <w:top w:val="single" w:sz="4" w:space="0" w:color="auto"/>
              <w:left w:val="single" w:sz="4" w:space="0" w:color="auto"/>
              <w:bottom w:val="single" w:sz="4" w:space="0" w:color="auto"/>
              <w:right w:val="single" w:sz="4" w:space="0" w:color="auto"/>
            </w:tcBorders>
            <w:shd w:val="clear" w:color="auto" w:fill="auto"/>
            <w:vAlign w:val="bottom"/>
          </w:tcPr>
          <w:p w14:paraId="12A9AFF1" w14:textId="77777777" w:rsidR="00484F42" w:rsidRPr="00E47AA9" w:rsidRDefault="00484F42" w:rsidP="00F77241">
            <w:pPr>
              <w:spacing w:after="0" w:line="240" w:lineRule="auto"/>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министерство промышленности и торговли Приморского края</w:t>
            </w:r>
          </w:p>
        </w:tc>
        <w:tc>
          <w:tcPr>
            <w:tcW w:w="850" w:type="dxa"/>
            <w:tcBorders>
              <w:top w:val="single" w:sz="4" w:space="0" w:color="auto"/>
              <w:left w:val="single" w:sz="4" w:space="0" w:color="auto"/>
              <w:bottom w:val="single" w:sz="4" w:space="0" w:color="auto"/>
              <w:right w:val="single" w:sz="4" w:space="0" w:color="auto"/>
            </w:tcBorders>
            <w:vAlign w:val="center"/>
          </w:tcPr>
          <w:p w14:paraId="12CF630E"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808</w:t>
            </w:r>
          </w:p>
        </w:tc>
        <w:tc>
          <w:tcPr>
            <w:tcW w:w="1701" w:type="dxa"/>
            <w:tcBorders>
              <w:top w:val="nil"/>
              <w:left w:val="nil"/>
              <w:bottom w:val="single" w:sz="8" w:space="0" w:color="auto"/>
              <w:right w:val="single" w:sz="8" w:space="0" w:color="auto"/>
            </w:tcBorders>
            <w:shd w:val="clear" w:color="auto" w:fill="auto"/>
            <w:vAlign w:val="bottom"/>
          </w:tcPr>
          <w:p w14:paraId="3917D3E6"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1 065,33</w:t>
            </w:r>
          </w:p>
        </w:tc>
        <w:tc>
          <w:tcPr>
            <w:tcW w:w="1418" w:type="dxa"/>
            <w:tcBorders>
              <w:top w:val="nil"/>
              <w:left w:val="nil"/>
              <w:bottom w:val="single" w:sz="8" w:space="0" w:color="auto"/>
              <w:right w:val="single" w:sz="8" w:space="0" w:color="auto"/>
            </w:tcBorders>
            <w:shd w:val="clear" w:color="auto" w:fill="auto"/>
            <w:vAlign w:val="bottom"/>
          </w:tcPr>
          <w:p w14:paraId="6228E0CA"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1 065,19</w:t>
            </w:r>
          </w:p>
        </w:tc>
        <w:tc>
          <w:tcPr>
            <w:tcW w:w="850" w:type="dxa"/>
            <w:tcBorders>
              <w:top w:val="nil"/>
              <w:left w:val="nil"/>
              <w:bottom w:val="single" w:sz="8" w:space="0" w:color="auto"/>
              <w:right w:val="single" w:sz="8" w:space="0" w:color="auto"/>
            </w:tcBorders>
            <w:shd w:val="clear" w:color="auto" w:fill="auto"/>
            <w:vAlign w:val="bottom"/>
          </w:tcPr>
          <w:p w14:paraId="5544951A"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99,99</w:t>
            </w:r>
          </w:p>
        </w:tc>
        <w:tc>
          <w:tcPr>
            <w:tcW w:w="1467" w:type="dxa"/>
            <w:tcBorders>
              <w:top w:val="nil"/>
              <w:left w:val="nil"/>
              <w:bottom w:val="single" w:sz="8" w:space="0" w:color="auto"/>
              <w:right w:val="single" w:sz="8" w:space="0" w:color="auto"/>
            </w:tcBorders>
            <w:shd w:val="clear" w:color="auto" w:fill="auto"/>
            <w:vAlign w:val="bottom"/>
          </w:tcPr>
          <w:p w14:paraId="4318D99E"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0,14</w:t>
            </w:r>
          </w:p>
        </w:tc>
      </w:tr>
      <w:tr w:rsidR="00484F42" w:rsidRPr="00E47AA9" w14:paraId="76028653" w14:textId="77777777" w:rsidTr="00925B5C">
        <w:trPr>
          <w:trHeight w:val="20"/>
          <w:jc w:val="center"/>
        </w:trPr>
        <w:tc>
          <w:tcPr>
            <w:tcW w:w="3119" w:type="dxa"/>
            <w:tcBorders>
              <w:top w:val="single" w:sz="4" w:space="0" w:color="auto"/>
              <w:left w:val="single" w:sz="4" w:space="0" w:color="auto"/>
              <w:bottom w:val="single" w:sz="4" w:space="0" w:color="auto"/>
              <w:right w:val="single" w:sz="4" w:space="0" w:color="auto"/>
            </w:tcBorders>
            <w:shd w:val="clear" w:color="auto" w:fill="auto"/>
            <w:vAlign w:val="bottom"/>
          </w:tcPr>
          <w:p w14:paraId="4EEEBAEC" w14:textId="77777777" w:rsidR="00484F42" w:rsidRPr="00E47AA9" w:rsidRDefault="00484F42" w:rsidP="00F77241">
            <w:pPr>
              <w:spacing w:after="0" w:line="240" w:lineRule="auto"/>
              <w:rPr>
                <w:rFonts w:ascii="Times New Roman" w:eastAsia="Times New Roman" w:hAnsi="Times New Roman" w:cs="Times New Roman"/>
                <w:sz w:val="24"/>
                <w:szCs w:val="24"/>
                <w:lang w:eastAsia="ru-RU"/>
              </w:rPr>
            </w:pPr>
            <w:r w:rsidRPr="00E47AA9">
              <w:rPr>
                <w:rFonts w:ascii="Times New Roman" w:eastAsia="Times New Roman" w:hAnsi="Times New Roman" w:cs="Times New Roman"/>
                <w:lang w:eastAsia="ru-RU"/>
              </w:rPr>
              <w:t>министерство профессионального образования и занятости населения Приморского края</w:t>
            </w:r>
          </w:p>
        </w:tc>
        <w:tc>
          <w:tcPr>
            <w:tcW w:w="850" w:type="dxa"/>
            <w:tcBorders>
              <w:top w:val="single" w:sz="4" w:space="0" w:color="auto"/>
              <w:left w:val="single" w:sz="4" w:space="0" w:color="auto"/>
              <w:bottom w:val="single" w:sz="4" w:space="0" w:color="auto"/>
              <w:right w:val="single" w:sz="4" w:space="0" w:color="auto"/>
            </w:tcBorders>
            <w:vAlign w:val="center"/>
          </w:tcPr>
          <w:p w14:paraId="3785C2FB"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810</w:t>
            </w:r>
          </w:p>
        </w:tc>
        <w:tc>
          <w:tcPr>
            <w:tcW w:w="1701" w:type="dxa"/>
            <w:tcBorders>
              <w:top w:val="nil"/>
              <w:left w:val="nil"/>
              <w:bottom w:val="single" w:sz="8" w:space="0" w:color="auto"/>
              <w:right w:val="single" w:sz="8" w:space="0" w:color="auto"/>
            </w:tcBorders>
            <w:shd w:val="clear" w:color="auto" w:fill="auto"/>
            <w:vAlign w:val="bottom"/>
          </w:tcPr>
          <w:p w14:paraId="2195E975"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1,11</w:t>
            </w:r>
          </w:p>
        </w:tc>
        <w:tc>
          <w:tcPr>
            <w:tcW w:w="1418" w:type="dxa"/>
            <w:tcBorders>
              <w:top w:val="nil"/>
              <w:left w:val="nil"/>
              <w:bottom w:val="single" w:sz="8" w:space="0" w:color="auto"/>
              <w:right w:val="single" w:sz="8" w:space="0" w:color="auto"/>
            </w:tcBorders>
            <w:shd w:val="clear" w:color="auto" w:fill="auto"/>
            <w:vAlign w:val="bottom"/>
          </w:tcPr>
          <w:p w14:paraId="0F29F1EB"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1,03</w:t>
            </w:r>
          </w:p>
        </w:tc>
        <w:tc>
          <w:tcPr>
            <w:tcW w:w="850" w:type="dxa"/>
            <w:tcBorders>
              <w:top w:val="nil"/>
              <w:left w:val="nil"/>
              <w:bottom w:val="single" w:sz="8" w:space="0" w:color="auto"/>
              <w:right w:val="single" w:sz="8" w:space="0" w:color="auto"/>
            </w:tcBorders>
            <w:shd w:val="clear" w:color="auto" w:fill="auto"/>
            <w:vAlign w:val="bottom"/>
          </w:tcPr>
          <w:p w14:paraId="573271A0"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93,42</w:t>
            </w:r>
          </w:p>
        </w:tc>
        <w:tc>
          <w:tcPr>
            <w:tcW w:w="1467" w:type="dxa"/>
            <w:tcBorders>
              <w:top w:val="nil"/>
              <w:left w:val="nil"/>
              <w:bottom w:val="single" w:sz="8" w:space="0" w:color="auto"/>
              <w:right w:val="single" w:sz="8" w:space="0" w:color="auto"/>
            </w:tcBorders>
            <w:shd w:val="clear" w:color="auto" w:fill="auto"/>
            <w:vAlign w:val="bottom"/>
          </w:tcPr>
          <w:p w14:paraId="453DFC3D" w14:textId="77777777" w:rsidR="00484F42" w:rsidRPr="00E47AA9" w:rsidRDefault="00484F42" w:rsidP="00F77241">
            <w:pPr>
              <w:spacing w:after="0" w:line="240" w:lineRule="auto"/>
              <w:jc w:val="right"/>
              <w:rPr>
                <w:rFonts w:ascii="Times New Roman" w:hAnsi="Times New Roman" w:cs="Times New Roman"/>
              </w:rPr>
            </w:pPr>
            <w:r w:rsidRPr="00E47AA9">
              <w:rPr>
                <w:rFonts w:ascii="Times New Roman" w:hAnsi="Times New Roman" w:cs="Times New Roman"/>
              </w:rPr>
              <w:t>0,07</w:t>
            </w:r>
          </w:p>
        </w:tc>
      </w:tr>
    </w:tbl>
    <w:p w14:paraId="59E81A02" w14:textId="77777777" w:rsidR="00484F42" w:rsidRPr="00E47AA9" w:rsidRDefault="00484F42" w:rsidP="00484F42">
      <w:pPr>
        <w:spacing w:after="0" w:line="240" w:lineRule="auto"/>
        <w:ind w:firstLine="708"/>
        <w:jc w:val="both"/>
        <w:rPr>
          <w:rFonts w:ascii="Times New Roman" w:eastAsia="Times New Roman" w:hAnsi="Times New Roman" w:cs="Times New Roman"/>
          <w:sz w:val="28"/>
          <w:szCs w:val="28"/>
          <w:lang w:eastAsia="ru-RU"/>
        </w:rPr>
      </w:pPr>
    </w:p>
    <w:p w14:paraId="383AA24F" w14:textId="77777777" w:rsidR="00484F42" w:rsidRPr="00E47AA9" w:rsidRDefault="00484F42" w:rsidP="00484F42">
      <w:pPr>
        <w:spacing w:after="0" w:line="240" w:lineRule="auto"/>
        <w:ind w:firstLine="708"/>
        <w:jc w:val="both"/>
        <w:rPr>
          <w:rFonts w:ascii="Times New Roman" w:eastAsia="Times New Roman" w:hAnsi="Times New Roman" w:cs="Times New Roman"/>
          <w:sz w:val="24"/>
          <w:szCs w:val="24"/>
        </w:rPr>
      </w:pPr>
      <w:r w:rsidRPr="00E47AA9">
        <w:rPr>
          <w:rFonts w:ascii="Times New Roman" w:eastAsia="Times New Roman" w:hAnsi="Times New Roman" w:cs="Times New Roman"/>
          <w:sz w:val="28"/>
          <w:szCs w:val="28"/>
          <w:lang w:eastAsia="ru-RU"/>
        </w:rPr>
        <w:t>Исполнение ГП в 2024 году по структурным элементам представлено в таблице.</w:t>
      </w:r>
      <w:r w:rsidRPr="00E47AA9">
        <w:rPr>
          <w:rFonts w:ascii="Times New Roman" w:eastAsia="Times New Roman" w:hAnsi="Times New Roman" w:cs="Times New Roman"/>
          <w:sz w:val="24"/>
          <w:szCs w:val="24"/>
          <w:lang w:eastAsia="ru-RU"/>
        </w:rPr>
        <w:t xml:space="preserve"> </w:t>
      </w:r>
    </w:p>
    <w:tbl>
      <w:tblPr>
        <w:tblW w:w="9417" w:type="dxa"/>
        <w:tblInd w:w="93" w:type="dxa"/>
        <w:tblLayout w:type="fixed"/>
        <w:tblLook w:val="04A0" w:firstRow="1" w:lastRow="0" w:firstColumn="1" w:lastColumn="0" w:noHBand="0" w:noVBand="1"/>
      </w:tblPr>
      <w:tblGrid>
        <w:gridCol w:w="3701"/>
        <w:gridCol w:w="1559"/>
        <w:gridCol w:w="1462"/>
        <w:gridCol w:w="1798"/>
        <w:gridCol w:w="897"/>
      </w:tblGrid>
      <w:tr w:rsidR="00E47AA9" w:rsidRPr="00E47AA9" w14:paraId="3B21A928" w14:textId="77777777" w:rsidTr="00F77241">
        <w:trPr>
          <w:trHeight w:val="20"/>
          <w:tblHeader/>
        </w:trPr>
        <w:tc>
          <w:tcPr>
            <w:tcW w:w="3701" w:type="dxa"/>
            <w:tcBorders>
              <w:bottom w:val="single" w:sz="4" w:space="0" w:color="auto"/>
            </w:tcBorders>
            <w:shd w:val="clear" w:color="auto" w:fill="auto"/>
            <w:vAlign w:val="center"/>
          </w:tcPr>
          <w:p w14:paraId="3C717389" w14:textId="77777777" w:rsidR="00484F42" w:rsidRPr="00E47AA9" w:rsidRDefault="00484F42" w:rsidP="00F77241">
            <w:pPr>
              <w:spacing w:after="0" w:line="240" w:lineRule="auto"/>
              <w:jc w:val="center"/>
              <w:rPr>
                <w:rFonts w:ascii="Times New Roman" w:eastAsia="Times New Roman" w:hAnsi="Times New Roman" w:cs="Times New Roman"/>
                <w:sz w:val="20"/>
                <w:szCs w:val="20"/>
                <w:lang w:eastAsia="ru-RU"/>
              </w:rPr>
            </w:pPr>
          </w:p>
        </w:tc>
        <w:tc>
          <w:tcPr>
            <w:tcW w:w="1559" w:type="dxa"/>
            <w:tcBorders>
              <w:bottom w:val="single" w:sz="4" w:space="0" w:color="auto"/>
            </w:tcBorders>
            <w:shd w:val="clear" w:color="auto" w:fill="auto"/>
            <w:vAlign w:val="center"/>
          </w:tcPr>
          <w:p w14:paraId="676A2981" w14:textId="77777777" w:rsidR="00484F42" w:rsidRPr="00E47AA9" w:rsidRDefault="00484F42" w:rsidP="00F77241">
            <w:pPr>
              <w:spacing w:after="0" w:line="240" w:lineRule="auto"/>
              <w:jc w:val="center"/>
              <w:rPr>
                <w:rFonts w:ascii="Times New Roman" w:eastAsia="Times New Roman" w:hAnsi="Times New Roman" w:cs="Times New Roman"/>
                <w:sz w:val="20"/>
                <w:szCs w:val="20"/>
                <w:lang w:eastAsia="ru-RU"/>
              </w:rPr>
            </w:pPr>
          </w:p>
        </w:tc>
        <w:tc>
          <w:tcPr>
            <w:tcW w:w="1462" w:type="dxa"/>
            <w:tcBorders>
              <w:bottom w:val="single" w:sz="4" w:space="0" w:color="auto"/>
            </w:tcBorders>
            <w:shd w:val="clear" w:color="auto" w:fill="auto"/>
            <w:vAlign w:val="center"/>
          </w:tcPr>
          <w:p w14:paraId="6EC738CA" w14:textId="77777777" w:rsidR="00484F42" w:rsidRPr="00E47AA9" w:rsidRDefault="00484F42" w:rsidP="00F77241">
            <w:pPr>
              <w:spacing w:after="0" w:line="240" w:lineRule="auto"/>
              <w:jc w:val="center"/>
              <w:rPr>
                <w:rFonts w:ascii="Times New Roman" w:eastAsia="Times New Roman" w:hAnsi="Times New Roman" w:cs="Times New Roman"/>
                <w:sz w:val="20"/>
                <w:szCs w:val="20"/>
                <w:lang w:eastAsia="ru-RU"/>
              </w:rPr>
            </w:pPr>
          </w:p>
        </w:tc>
        <w:tc>
          <w:tcPr>
            <w:tcW w:w="2695" w:type="dxa"/>
            <w:gridSpan w:val="2"/>
            <w:tcBorders>
              <w:bottom w:val="single" w:sz="4" w:space="0" w:color="auto"/>
            </w:tcBorders>
            <w:shd w:val="clear" w:color="auto" w:fill="auto"/>
            <w:vAlign w:val="center"/>
          </w:tcPr>
          <w:p w14:paraId="6BDA920B" w14:textId="77777777" w:rsidR="00484F42" w:rsidRPr="00E47AA9" w:rsidRDefault="00484F42" w:rsidP="00F77241">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48E97FEB" w14:textId="77777777" w:rsidTr="00F77241">
        <w:trPr>
          <w:trHeight w:val="20"/>
          <w:tblHeader/>
        </w:trPr>
        <w:tc>
          <w:tcPr>
            <w:tcW w:w="3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63326F" w14:textId="77777777" w:rsidR="00484F42" w:rsidRPr="00E47AA9" w:rsidRDefault="00484F42"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показателя</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9928A11" w14:textId="77777777" w:rsidR="00484F42" w:rsidRPr="00E47AA9" w:rsidRDefault="00484F42"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Уточненные бюджетные назначения </w:t>
            </w:r>
          </w:p>
          <w:p w14:paraId="25C77B6E" w14:textId="77777777" w:rsidR="00484F42" w:rsidRPr="00E47AA9" w:rsidRDefault="00484F42"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 2024 год</w:t>
            </w:r>
          </w:p>
        </w:tc>
        <w:tc>
          <w:tcPr>
            <w:tcW w:w="1462" w:type="dxa"/>
            <w:tcBorders>
              <w:top w:val="single" w:sz="4" w:space="0" w:color="auto"/>
              <w:left w:val="nil"/>
              <w:bottom w:val="single" w:sz="4" w:space="0" w:color="auto"/>
              <w:right w:val="single" w:sz="4" w:space="0" w:color="auto"/>
            </w:tcBorders>
            <w:shd w:val="clear" w:color="auto" w:fill="auto"/>
            <w:vAlign w:val="center"/>
            <w:hideMark/>
          </w:tcPr>
          <w:p w14:paraId="70D6E8D9" w14:textId="77777777" w:rsidR="00484F42" w:rsidRPr="00E47AA9" w:rsidRDefault="00484F42"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798" w:type="dxa"/>
            <w:tcBorders>
              <w:top w:val="single" w:sz="4" w:space="0" w:color="auto"/>
              <w:left w:val="nil"/>
              <w:bottom w:val="single" w:sz="4" w:space="0" w:color="auto"/>
              <w:right w:val="single" w:sz="4" w:space="0" w:color="auto"/>
            </w:tcBorders>
            <w:shd w:val="clear" w:color="auto" w:fill="auto"/>
            <w:vAlign w:val="center"/>
            <w:hideMark/>
          </w:tcPr>
          <w:p w14:paraId="7FAFCE61" w14:textId="77777777" w:rsidR="00484F42" w:rsidRPr="00E47AA9" w:rsidRDefault="00484F42"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Неисполненные назначения</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68D61B1" w14:textId="77777777" w:rsidR="00484F42" w:rsidRPr="00E47AA9" w:rsidRDefault="00484F42"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w:t>
            </w:r>
          </w:p>
        </w:tc>
      </w:tr>
      <w:tr w:rsidR="00E47AA9" w:rsidRPr="00E47AA9" w14:paraId="2D58DA67" w14:textId="77777777" w:rsidTr="00F77241">
        <w:trPr>
          <w:trHeight w:val="20"/>
        </w:trPr>
        <w:tc>
          <w:tcPr>
            <w:tcW w:w="3701" w:type="dxa"/>
            <w:tcBorders>
              <w:top w:val="single" w:sz="4" w:space="0" w:color="auto"/>
              <w:left w:val="single" w:sz="4" w:space="0" w:color="auto"/>
              <w:bottom w:val="single" w:sz="4" w:space="0" w:color="auto"/>
              <w:right w:val="single" w:sz="4" w:space="0" w:color="auto"/>
            </w:tcBorders>
            <w:shd w:val="clear" w:color="auto" w:fill="auto"/>
          </w:tcPr>
          <w:p w14:paraId="40DD3230" w14:textId="77777777" w:rsidR="00484F42" w:rsidRPr="00E47AA9" w:rsidRDefault="00484F42" w:rsidP="00F77241">
            <w:pPr>
              <w:spacing w:after="0" w:line="240" w:lineRule="auto"/>
              <w:rPr>
                <w:rFonts w:ascii="Times New Roman" w:hAnsi="Times New Roman" w:cs="Times New Roman"/>
                <w:b/>
                <w:bCs/>
                <w:sz w:val="20"/>
                <w:szCs w:val="20"/>
              </w:rPr>
            </w:pPr>
            <w:r w:rsidRPr="00E47AA9">
              <w:rPr>
                <w:rFonts w:ascii="Times New Roman" w:hAnsi="Times New Roman" w:cs="Times New Roman"/>
                <w:b/>
                <w:bCs/>
                <w:sz w:val="20"/>
                <w:szCs w:val="20"/>
              </w:rPr>
              <w:t>Расходы по ГП всего,</w:t>
            </w:r>
          </w:p>
          <w:p w14:paraId="00DB30C9" w14:textId="4CD8062A" w:rsidR="00484F42" w:rsidRPr="00E47AA9" w:rsidRDefault="00484F42" w:rsidP="00C519F0">
            <w:pPr>
              <w:spacing w:after="0" w:line="240" w:lineRule="auto"/>
              <w:rPr>
                <w:rFonts w:ascii="Times New Roman" w:hAnsi="Times New Roman" w:cs="Times New Roman"/>
                <w:bCs/>
                <w:sz w:val="20"/>
                <w:szCs w:val="20"/>
              </w:rPr>
            </w:pPr>
            <w:r w:rsidRPr="00E47AA9">
              <w:rPr>
                <w:rFonts w:ascii="Times New Roman" w:hAnsi="Times New Roman" w:cs="Times New Roman"/>
                <w:bCs/>
                <w:sz w:val="20"/>
                <w:szCs w:val="20"/>
              </w:rPr>
              <w:t>в том числе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3EB3E39" w14:textId="77777777" w:rsidR="00484F42" w:rsidRPr="00E47AA9" w:rsidRDefault="00484F42" w:rsidP="00F77241">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15 788,25</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22BEFB2F" w14:textId="77777777" w:rsidR="00484F42" w:rsidRPr="00E47AA9" w:rsidRDefault="00484F42" w:rsidP="00F77241">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15 753,41</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14:paraId="13B6FD70" w14:textId="77777777" w:rsidR="00484F42" w:rsidRPr="00E47AA9" w:rsidRDefault="00484F42" w:rsidP="00F77241">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34,84</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E25707A" w14:textId="77777777" w:rsidR="00484F42" w:rsidRPr="00E47AA9" w:rsidRDefault="00484F42" w:rsidP="00F77241">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99,78</w:t>
            </w:r>
          </w:p>
        </w:tc>
      </w:tr>
      <w:tr w:rsidR="00E47AA9" w:rsidRPr="00E47AA9" w14:paraId="39251C30" w14:textId="77777777" w:rsidTr="00F77241">
        <w:trPr>
          <w:trHeight w:val="20"/>
        </w:trPr>
        <w:tc>
          <w:tcPr>
            <w:tcW w:w="3701" w:type="dxa"/>
            <w:tcBorders>
              <w:top w:val="single" w:sz="4" w:space="0" w:color="auto"/>
              <w:left w:val="single" w:sz="4" w:space="0" w:color="auto"/>
              <w:bottom w:val="single" w:sz="4" w:space="0" w:color="auto"/>
              <w:right w:val="single" w:sz="4" w:space="0" w:color="auto"/>
            </w:tcBorders>
            <w:shd w:val="clear" w:color="000000" w:fill="FFFFFF"/>
          </w:tcPr>
          <w:p w14:paraId="44BF726A" w14:textId="77777777" w:rsidR="00484F42" w:rsidRPr="00E47AA9" w:rsidRDefault="00484F42" w:rsidP="00F77241">
            <w:pPr>
              <w:spacing w:after="0" w:line="240" w:lineRule="auto"/>
              <w:rPr>
                <w:rFonts w:ascii="Times New Roman" w:hAnsi="Times New Roman" w:cs="Times New Roman"/>
                <w:b/>
                <w:bCs/>
                <w:sz w:val="20"/>
                <w:szCs w:val="20"/>
              </w:rPr>
            </w:pPr>
            <w:r w:rsidRPr="00E47AA9">
              <w:rPr>
                <w:rFonts w:ascii="Times New Roman" w:hAnsi="Times New Roman" w:cs="Times New Roman"/>
                <w:b/>
                <w:bCs/>
                <w:sz w:val="20"/>
                <w:szCs w:val="20"/>
              </w:rPr>
              <w:t>проектные мероприятия</w:t>
            </w:r>
          </w:p>
        </w:tc>
        <w:tc>
          <w:tcPr>
            <w:tcW w:w="1559" w:type="dxa"/>
            <w:tcBorders>
              <w:top w:val="single" w:sz="4" w:space="0" w:color="auto"/>
              <w:left w:val="nil"/>
              <w:bottom w:val="single" w:sz="4" w:space="0" w:color="auto"/>
              <w:right w:val="single" w:sz="4" w:space="0" w:color="auto"/>
            </w:tcBorders>
            <w:shd w:val="clear" w:color="auto" w:fill="auto"/>
            <w:vAlign w:val="center"/>
          </w:tcPr>
          <w:p w14:paraId="7F9533E8"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1 494,63</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19F53E99"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1 491,87</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14:paraId="706F3C09"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2,76</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65F17E8"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99,82</w:t>
            </w:r>
          </w:p>
        </w:tc>
      </w:tr>
      <w:tr w:rsidR="00E47AA9" w:rsidRPr="00E47AA9" w14:paraId="36491777" w14:textId="77777777" w:rsidTr="00F77241">
        <w:trPr>
          <w:trHeight w:val="20"/>
        </w:trPr>
        <w:tc>
          <w:tcPr>
            <w:tcW w:w="3701" w:type="dxa"/>
            <w:tcBorders>
              <w:top w:val="single" w:sz="4" w:space="0" w:color="auto"/>
              <w:left w:val="single" w:sz="4" w:space="0" w:color="auto"/>
              <w:bottom w:val="single" w:sz="4" w:space="0" w:color="auto"/>
              <w:right w:val="single" w:sz="4" w:space="0" w:color="auto"/>
            </w:tcBorders>
            <w:shd w:val="clear" w:color="000000" w:fill="FFFFFF"/>
          </w:tcPr>
          <w:p w14:paraId="5FB72F7B" w14:textId="77777777" w:rsidR="00484F42" w:rsidRPr="00E47AA9" w:rsidRDefault="00484F42" w:rsidP="00F77241">
            <w:pPr>
              <w:spacing w:after="0" w:line="240" w:lineRule="auto"/>
              <w:rPr>
                <w:rFonts w:ascii="Times New Roman" w:hAnsi="Times New Roman" w:cs="Times New Roman"/>
                <w:b/>
                <w:bCs/>
                <w:i/>
                <w:iCs/>
                <w:sz w:val="20"/>
                <w:szCs w:val="20"/>
              </w:rPr>
            </w:pPr>
            <w:r w:rsidRPr="00E47AA9">
              <w:rPr>
                <w:rFonts w:ascii="Times New Roman" w:hAnsi="Times New Roman" w:cs="Times New Roman"/>
                <w:b/>
                <w:bCs/>
                <w:i/>
                <w:iCs/>
                <w:sz w:val="20"/>
                <w:szCs w:val="20"/>
              </w:rPr>
              <w:t>РП, входящие в состав НП</w:t>
            </w:r>
          </w:p>
        </w:tc>
        <w:tc>
          <w:tcPr>
            <w:tcW w:w="1559" w:type="dxa"/>
            <w:tcBorders>
              <w:top w:val="single" w:sz="4" w:space="0" w:color="auto"/>
              <w:left w:val="nil"/>
              <w:bottom w:val="single" w:sz="4" w:space="0" w:color="auto"/>
              <w:right w:val="single" w:sz="4" w:space="0" w:color="auto"/>
            </w:tcBorders>
            <w:shd w:val="clear" w:color="auto" w:fill="auto"/>
            <w:vAlign w:val="center"/>
          </w:tcPr>
          <w:p w14:paraId="11A57DEB"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1 173,51</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14DC59FE"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1 172,51</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14:paraId="647532E6"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F2E8249"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99,91</w:t>
            </w:r>
          </w:p>
        </w:tc>
      </w:tr>
      <w:tr w:rsidR="00E47AA9" w:rsidRPr="00E47AA9" w14:paraId="0AC3226F" w14:textId="77777777" w:rsidTr="00F77241">
        <w:trPr>
          <w:trHeight w:val="20"/>
        </w:trPr>
        <w:tc>
          <w:tcPr>
            <w:tcW w:w="3701" w:type="dxa"/>
            <w:tcBorders>
              <w:top w:val="single" w:sz="4" w:space="0" w:color="auto"/>
              <w:left w:val="single" w:sz="4" w:space="0" w:color="auto"/>
              <w:bottom w:val="single" w:sz="4" w:space="0" w:color="auto"/>
              <w:right w:val="single" w:sz="4" w:space="0" w:color="auto"/>
            </w:tcBorders>
            <w:shd w:val="clear" w:color="000000" w:fill="FFFFFF"/>
          </w:tcPr>
          <w:p w14:paraId="2D160E44" w14:textId="77777777" w:rsidR="00484F42" w:rsidRPr="00E47AA9" w:rsidRDefault="00484F42" w:rsidP="00F77241">
            <w:pPr>
              <w:spacing w:after="0" w:line="240" w:lineRule="auto"/>
              <w:rPr>
                <w:rFonts w:ascii="Times New Roman" w:hAnsi="Times New Roman" w:cs="Times New Roman"/>
                <w:i/>
                <w:iCs/>
                <w:sz w:val="20"/>
                <w:szCs w:val="20"/>
              </w:rPr>
            </w:pPr>
            <w:r w:rsidRPr="00E47AA9">
              <w:rPr>
                <w:rFonts w:ascii="Times New Roman" w:hAnsi="Times New Roman" w:cs="Times New Roman"/>
                <w:i/>
                <w:iCs/>
                <w:sz w:val="20"/>
                <w:szCs w:val="20"/>
              </w:rPr>
              <w:t>НП "Малое и среднее предпринимательство и поддержка индивидуальной предпринимательской инициативы"</w:t>
            </w:r>
          </w:p>
        </w:tc>
        <w:tc>
          <w:tcPr>
            <w:tcW w:w="1559" w:type="dxa"/>
            <w:tcBorders>
              <w:top w:val="single" w:sz="4" w:space="0" w:color="auto"/>
              <w:left w:val="nil"/>
              <w:bottom w:val="single" w:sz="4" w:space="0" w:color="auto"/>
              <w:right w:val="single" w:sz="4" w:space="0" w:color="auto"/>
            </w:tcBorders>
            <w:shd w:val="clear" w:color="auto" w:fill="auto"/>
            <w:vAlign w:val="center"/>
          </w:tcPr>
          <w:p w14:paraId="422E1EF8"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1 111,82</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7E66E8E1"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1 110,82</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14:paraId="4D01094E"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3BCEE20F"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99,91</w:t>
            </w:r>
          </w:p>
        </w:tc>
      </w:tr>
      <w:tr w:rsidR="00E47AA9" w:rsidRPr="00E47AA9" w14:paraId="42C447B8" w14:textId="77777777" w:rsidTr="00F77241">
        <w:trPr>
          <w:trHeight w:val="20"/>
        </w:trPr>
        <w:tc>
          <w:tcPr>
            <w:tcW w:w="3701" w:type="dxa"/>
            <w:tcBorders>
              <w:top w:val="single" w:sz="4" w:space="0" w:color="auto"/>
              <w:left w:val="single" w:sz="4" w:space="0" w:color="auto"/>
              <w:bottom w:val="single" w:sz="4" w:space="0" w:color="auto"/>
              <w:right w:val="single" w:sz="4" w:space="0" w:color="auto"/>
            </w:tcBorders>
            <w:shd w:val="clear" w:color="auto" w:fill="auto"/>
            <w:vAlign w:val="center"/>
          </w:tcPr>
          <w:p w14:paraId="7B0CACA6" w14:textId="77777777" w:rsidR="00484F42" w:rsidRPr="00E47AA9" w:rsidRDefault="00484F42" w:rsidP="00F77241">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 xml:space="preserve">РП "Создание благоприятных условий для осуществления деятельности </w:t>
            </w:r>
            <w:proofErr w:type="spellStart"/>
            <w:r w:rsidRPr="00E47AA9">
              <w:rPr>
                <w:rFonts w:ascii="Times New Roman" w:hAnsi="Times New Roman" w:cs="Times New Roman"/>
                <w:sz w:val="20"/>
                <w:szCs w:val="20"/>
              </w:rPr>
              <w:t>самозанятыми</w:t>
            </w:r>
            <w:proofErr w:type="spellEnd"/>
            <w:r w:rsidRPr="00E47AA9">
              <w:rPr>
                <w:rFonts w:ascii="Times New Roman" w:hAnsi="Times New Roman" w:cs="Times New Roman"/>
                <w:sz w:val="20"/>
                <w:szCs w:val="20"/>
              </w:rPr>
              <w:t xml:space="preserve"> гражданами"</w:t>
            </w:r>
          </w:p>
        </w:tc>
        <w:tc>
          <w:tcPr>
            <w:tcW w:w="1559" w:type="dxa"/>
            <w:tcBorders>
              <w:top w:val="single" w:sz="4" w:space="0" w:color="auto"/>
              <w:left w:val="nil"/>
              <w:bottom w:val="single" w:sz="4" w:space="0" w:color="auto"/>
              <w:right w:val="single" w:sz="4" w:space="0" w:color="auto"/>
            </w:tcBorders>
            <w:shd w:val="clear" w:color="auto" w:fill="auto"/>
            <w:vAlign w:val="center"/>
          </w:tcPr>
          <w:p w14:paraId="30486294"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9,80</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63FA8E6C"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9,80</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14:paraId="1E36AA17"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3227FA90"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232E2BE1" w14:textId="77777777" w:rsidTr="00F77241">
        <w:trPr>
          <w:trHeight w:val="20"/>
        </w:trPr>
        <w:tc>
          <w:tcPr>
            <w:tcW w:w="3701" w:type="dxa"/>
            <w:tcBorders>
              <w:top w:val="single" w:sz="4" w:space="0" w:color="auto"/>
              <w:left w:val="single" w:sz="4" w:space="0" w:color="auto"/>
              <w:bottom w:val="single" w:sz="4" w:space="0" w:color="auto"/>
              <w:right w:val="single" w:sz="4" w:space="0" w:color="auto"/>
            </w:tcBorders>
            <w:shd w:val="clear" w:color="auto" w:fill="auto"/>
            <w:vAlign w:val="center"/>
          </w:tcPr>
          <w:p w14:paraId="7F003CC6" w14:textId="77777777" w:rsidR="00484F42" w:rsidRPr="00E47AA9" w:rsidRDefault="00484F42" w:rsidP="00F77241">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РП "Создание условий для легкого старта и комфортного ведения бизнеса"</w:t>
            </w:r>
          </w:p>
        </w:tc>
        <w:tc>
          <w:tcPr>
            <w:tcW w:w="1559" w:type="dxa"/>
            <w:tcBorders>
              <w:top w:val="single" w:sz="4" w:space="0" w:color="auto"/>
              <w:left w:val="nil"/>
              <w:bottom w:val="single" w:sz="4" w:space="0" w:color="auto"/>
              <w:right w:val="single" w:sz="4" w:space="0" w:color="auto"/>
            </w:tcBorders>
            <w:shd w:val="clear" w:color="auto" w:fill="auto"/>
            <w:vAlign w:val="center"/>
          </w:tcPr>
          <w:p w14:paraId="47287D74"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44,65</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776198FD"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44,65</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14:paraId="7637178B"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3A8F3698"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509E392B" w14:textId="77777777" w:rsidTr="00F77241">
        <w:trPr>
          <w:trHeight w:val="20"/>
        </w:trPr>
        <w:tc>
          <w:tcPr>
            <w:tcW w:w="3701" w:type="dxa"/>
            <w:tcBorders>
              <w:top w:val="single" w:sz="4" w:space="0" w:color="auto"/>
              <w:left w:val="single" w:sz="4" w:space="0" w:color="auto"/>
              <w:bottom w:val="single" w:sz="4" w:space="0" w:color="auto"/>
              <w:right w:val="single" w:sz="4" w:space="0" w:color="auto"/>
            </w:tcBorders>
            <w:shd w:val="clear" w:color="auto" w:fill="auto"/>
            <w:vAlign w:val="center"/>
          </w:tcPr>
          <w:p w14:paraId="3D56153B" w14:textId="77777777" w:rsidR="00484F42" w:rsidRPr="00E47AA9" w:rsidRDefault="00484F42" w:rsidP="00F77241">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РП "Акселерация субъектов малого и среднего предпринимательства"</w:t>
            </w:r>
          </w:p>
        </w:tc>
        <w:tc>
          <w:tcPr>
            <w:tcW w:w="1559" w:type="dxa"/>
            <w:tcBorders>
              <w:top w:val="single" w:sz="4" w:space="0" w:color="auto"/>
              <w:left w:val="nil"/>
              <w:bottom w:val="single" w:sz="4" w:space="0" w:color="auto"/>
              <w:right w:val="single" w:sz="4" w:space="0" w:color="auto"/>
            </w:tcBorders>
            <w:shd w:val="clear" w:color="auto" w:fill="auto"/>
            <w:vAlign w:val="center"/>
          </w:tcPr>
          <w:p w14:paraId="2A793EA5"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1 057,37</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0864FAFD"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1 056,37</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14:paraId="24FD747C"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A6A71D8"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99,91</w:t>
            </w:r>
          </w:p>
        </w:tc>
      </w:tr>
      <w:tr w:rsidR="00E47AA9" w:rsidRPr="00E47AA9" w14:paraId="130E37B9" w14:textId="77777777" w:rsidTr="00F77241">
        <w:trPr>
          <w:trHeight w:val="20"/>
        </w:trPr>
        <w:tc>
          <w:tcPr>
            <w:tcW w:w="3701" w:type="dxa"/>
            <w:tcBorders>
              <w:top w:val="single" w:sz="4" w:space="0" w:color="auto"/>
              <w:left w:val="single" w:sz="4" w:space="0" w:color="auto"/>
              <w:bottom w:val="single" w:sz="4" w:space="0" w:color="auto"/>
              <w:right w:val="single" w:sz="4" w:space="0" w:color="auto"/>
            </w:tcBorders>
            <w:shd w:val="clear" w:color="000000" w:fill="FFFFFF"/>
          </w:tcPr>
          <w:p w14:paraId="61040E52" w14:textId="77777777" w:rsidR="00484F42" w:rsidRPr="00E47AA9" w:rsidRDefault="00484F42" w:rsidP="00F77241">
            <w:pPr>
              <w:spacing w:after="0" w:line="240" w:lineRule="auto"/>
              <w:rPr>
                <w:rFonts w:ascii="Times New Roman" w:hAnsi="Times New Roman" w:cs="Times New Roman"/>
                <w:i/>
                <w:iCs/>
                <w:sz w:val="20"/>
                <w:szCs w:val="20"/>
              </w:rPr>
            </w:pPr>
            <w:r w:rsidRPr="00E47AA9">
              <w:rPr>
                <w:rFonts w:ascii="Times New Roman" w:hAnsi="Times New Roman" w:cs="Times New Roman"/>
                <w:i/>
                <w:iCs/>
                <w:sz w:val="20"/>
                <w:szCs w:val="20"/>
              </w:rPr>
              <w:t>НП Производительность труда"</w:t>
            </w:r>
          </w:p>
        </w:tc>
        <w:tc>
          <w:tcPr>
            <w:tcW w:w="1559" w:type="dxa"/>
            <w:tcBorders>
              <w:top w:val="single" w:sz="4" w:space="0" w:color="auto"/>
              <w:left w:val="nil"/>
              <w:bottom w:val="single" w:sz="4" w:space="0" w:color="auto"/>
              <w:right w:val="single" w:sz="4" w:space="0" w:color="auto"/>
            </w:tcBorders>
            <w:shd w:val="clear" w:color="auto" w:fill="auto"/>
            <w:vAlign w:val="center"/>
          </w:tcPr>
          <w:p w14:paraId="73A6489C" w14:textId="77777777" w:rsidR="00484F42" w:rsidRPr="00E47AA9" w:rsidRDefault="00484F42" w:rsidP="00F77241">
            <w:pPr>
              <w:spacing w:after="0" w:line="240" w:lineRule="auto"/>
              <w:jc w:val="right"/>
              <w:rPr>
                <w:rFonts w:ascii="Times New Roman" w:hAnsi="Times New Roman" w:cs="Times New Roman"/>
                <w:i/>
                <w:iCs/>
                <w:sz w:val="20"/>
                <w:szCs w:val="20"/>
              </w:rPr>
            </w:pPr>
            <w:r w:rsidRPr="00E47AA9">
              <w:rPr>
                <w:rFonts w:ascii="Times New Roman" w:hAnsi="Times New Roman" w:cs="Times New Roman"/>
                <w:i/>
                <w:iCs/>
                <w:sz w:val="20"/>
                <w:szCs w:val="20"/>
              </w:rPr>
              <w:t>61,69</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4D3C8D4B" w14:textId="77777777" w:rsidR="00484F42" w:rsidRPr="00E47AA9" w:rsidRDefault="00484F42" w:rsidP="00F77241">
            <w:pPr>
              <w:spacing w:after="0" w:line="240" w:lineRule="auto"/>
              <w:jc w:val="right"/>
              <w:rPr>
                <w:rFonts w:ascii="Times New Roman" w:hAnsi="Times New Roman" w:cs="Times New Roman"/>
                <w:i/>
                <w:iCs/>
                <w:sz w:val="20"/>
                <w:szCs w:val="20"/>
              </w:rPr>
            </w:pPr>
            <w:r w:rsidRPr="00E47AA9">
              <w:rPr>
                <w:rFonts w:ascii="Times New Roman" w:hAnsi="Times New Roman" w:cs="Times New Roman"/>
                <w:i/>
                <w:iCs/>
                <w:sz w:val="20"/>
                <w:szCs w:val="20"/>
              </w:rPr>
              <w:t>61,69</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14:paraId="27056391" w14:textId="77777777" w:rsidR="00484F42" w:rsidRPr="00E47AA9" w:rsidRDefault="00484F42" w:rsidP="00F77241">
            <w:pPr>
              <w:spacing w:after="0" w:line="240" w:lineRule="auto"/>
              <w:jc w:val="right"/>
              <w:rPr>
                <w:rFonts w:ascii="Times New Roman" w:hAnsi="Times New Roman" w:cs="Times New Roman"/>
                <w:i/>
                <w:iCs/>
                <w:sz w:val="20"/>
                <w:szCs w:val="20"/>
              </w:rPr>
            </w:pPr>
            <w:r w:rsidRPr="00E47AA9">
              <w:rPr>
                <w:rFonts w:ascii="Times New Roman" w:hAnsi="Times New Roman" w:cs="Times New Roman"/>
                <w:i/>
                <w:iCs/>
                <w:sz w:val="20"/>
                <w:szCs w:val="20"/>
              </w:rPr>
              <w:t>0,00</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14C98C0B" w14:textId="77777777" w:rsidR="00484F42" w:rsidRPr="00E47AA9" w:rsidRDefault="00484F42" w:rsidP="00F77241">
            <w:pPr>
              <w:spacing w:after="0" w:line="240" w:lineRule="auto"/>
              <w:jc w:val="right"/>
              <w:rPr>
                <w:rFonts w:ascii="Times New Roman" w:hAnsi="Times New Roman" w:cs="Times New Roman"/>
                <w:i/>
                <w:iCs/>
                <w:sz w:val="20"/>
                <w:szCs w:val="20"/>
              </w:rPr>
            </w:pPr>
            <w:r w:rsidRPr="00E47AA9">
              <w:rPr>
                <w:rFonts w:ascii="Times New Roman" w:hAnsi="Times New Roman" w:cs="Times New Roman"/>
                <w:i/>
                <w:iCs/>
                <w:sz w:val="20"/>
                <w:szCs w:val="20"/>
              </w:rPr>
              <w:t>100,00</w:t>
            </w:r>
          </w:p>
        </w:tc>
      </w:tr>
      <w:tr w:rsidR="00E47AA9" w:rsidRPr="00E47AA9" w14:paraId="1083C96D" w14:textId="77777777" w:rsidTr="00F77241">
        <w:trPr>
          <w:trHeight w:val="20"/>
        </w:trPr>
        <w:tc>
          <w:tcPr>
            <w:tcW w:w="3701" w:type="dxa"/>
            <w:tcBorders>
              <w:top w:val="single" w:sz="4" w:space="0" w:color="auto"/>
              <w:left w:val="single" w:sz="4" w:space="0" w:color="auto"/>
              <w:bottom w:val="single" w:sz="4" w:space="0" w:color="auto"/>
              <w:right w:val="single" w:sz="4" w:space="0" w:color="auto"/>
            </w:tcBorders>
            <w:shd w:val="clear" w:color="000000" w:fill="FFFFFF"/>
          </w:tcPr>
          <w:p w14:paraId="237C70C0" w14:textId="77777777" w:rsidR="00484F42" w:rsidRPr="00E47AA9" w:rsidRDefault="00484F42" w:rsidP="00F77241">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lastRenderedPageBreak/>
              <w:t>РП "Адресная поддержка повышения производительности труда на предприятиях"</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14:paraId="77FE4698"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61,69</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bottom"/>
          </w:tcPr>
          <w:p w14:paraId="70E7350B"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61,69</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14:paraId="70EAE2B3"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E07E908"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799F7CF7" w14:textId="77777777" w:rsidTr="00F77241">
        <w:trPr>
          <w:trHeight w:val="20"/>
        </w:trPr>
        <w:tc>
          <w:tcPr>
            <w:tcW w:w="3701" w:type="dxa"/>
            <w:tcBorders>
              <w:top w:val="single" w:sz="4" w:space="0" w:color="auto"/>
              <w:left w:val="single" w:sz="4" w:space="0" w:color="auto"/>
              <w:bottom w:val="single" w:sz="4" w:space="0" w:color="auto"/>
              <w:right w:val="single" w:sz="4" w:space="0" w:color="auto"/>
            </w:tcBorders>
            <w:shd w:val="clear" w:color="000000" w:fill="FFFFFF"/>
          </w:tcPr>
          <w:p w14:paraId="2AD31545" w14:textId="77777777" w:rsidR="00484F42" w:rsidRPr="00E47AA9" w:rsidRDefault="00484F42" w:rsidP="00F77241">
            <w:pPr>
              <w:spacing w:after="0" w:line="240" w:lineRule="auto"/>
              <w:rPr>
                <w:rFonts w:ascii="Times New Roman" w:hAnsi="Times New Roman" w:cs="Times New Roman"/>
                <w:i/>
                <w:iCs/>
              </w:rPr>
            </w:pPr>
            <w:r w:rsidRPr="00E47AA9">
              <w:rPr>
                <w:rFonts w:ascii="Times New Roman" w:hAnsi="Times New Roman" w:cs="Times New Roman"/>
                <w:i/>
                <w:iCs/>
              </w:rPr>
              <w:t>Ведомственные проекты</w:t>
            </w:r>
          </w:p>
        </w:tc>
        <w:tc>
          <w:tcPr>
            <w:tcW w:w="1559" w:type="dxa"/>
            <w:tcBorders>
              <w:top w:val="single" w:sz="4" w:space="0" w:color="auto"/>
              <w:left w:val="nil"/>
              <w:bottom w:val="single" w:sz="4" w:space="0" w:color="auto"/>
              <w:right w:val="single" w:sz="4" w:space="0" w:color="auto"/>
            </w:tcBorders>
            <w:shd w:val="clear" w:color="auto" w:fill="auto"/>
            <w:vAlign w:val="bottom"/>
          </w:tcPr>
          <w:p w14:paraId="7EE3B428" w14:textId="77777777" w:rsidR="00484F42" w:rsidRPr="00E47AA9" w:rsidRDefault="00484F42" w:rsidP="00F77241">
            <w:pPr>
              <w:spacing w:after="0" w:line="240" w:lineRule="auto"/>
              <w:jc w:val="right"/>
              <w:rPr>
                <w:rFonts w:ascii="Times New Roman" w:hAnsi="Times New Roman" w:cs="Times New Roman"/>
                <w:i/>
                <w:iCs/>
                <w:sz w:val="20"/>
                <w:szCs w:val="20"/>
              </w:rPr>
            </w:pPr>
            <w:r w:rsidRPr="00E47AA9">
              <w:rPr>
                <w:rFonts w:ascii="Times New Roman" w:hAnsi="Times New Roman" w:cs="Times New Roman"/>
                <w:i/>
                <w:iCs/>
                <w:sz w:val="20"/>
                <w:szCs w:val="20"/>
              </w:rPr>
              <w:t>321,12</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bottom"/>
          </w:tcPr>
          <w:p w14:paraId="0083564D" w14:textId="77777777" w:rsidR="00484F42" w:rsidRPr="00E47AA9" w:rsidRDefault="00484F42" w:rsidP="00F77241">
            <w:pPr>
              <w:spacing w:after="0" w:line="240" w:lineRule="auto"/>
              <w:jc w:val="right"/>
              <w:rPr>
                <w:rFonts w:ascii="Times New Roman" w:hAnsi="Times New Roman" w:cs="Times New Roman"/>
                <w:i/>
                <w:iCs/>
                <w:sz w:val="20"/>
                <w:szCs w:val="20"/>
              </w:rPr>
            </w:pPr>
            <w:r w:rsidRPr="00E47AA9">
              <w:rPr>
                <w:rFonts w:ascii="Times New Roman" w:hAnsi="Times New Roman" w:cs="Times New Roman"/>
                <w:i/>
                <w:iCs/>
                <w:sz w:val="20"/>
                <w:szCs w:val="20"/>
              </w:rPr>
              <w:t>319,36</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14:paraId="49926D83" w14:textId="77777777" w:rsidR="00484F42" w:rsidRPr="00E47AA9" w:rsidRDefault="00484F42" w:rsidP="00F77241">
            <w:pPr>
              <w:spacing w:after="0" w:line="240" w:lineRule="auto"/>
              <w:jc w:val="right"/>
              <w:rPr>
                <w:rFonts w:ascii="Times New Roman" w:hAnsi="Times New Roman" w:cs="Times New Roman"/>
                <w:i/>
                <w:iCs/>
                <w:sz w:val="20"/>
                <w:szCs w:val="20"/>
              </w:rPr>
            </w:pPr>
            <w:r w:rsidRPr="00E47AA9">
              <w:rPr>
                <w:rFonts w:ascii="Times New Roman" w:hAnsi="Times New Roman" w:cs="Times New Roman"/>
                <w:i/>
                <w:iCs/>
                <w:sz w:val="20"/>
                <w:szCs w:val="20"/>
              </w:rPr>
              <w:t>1,76</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11801482" w14:textId="77777777" w:rsidR="00484F42" w:rsidRPr="00E47AA9" w:rsidRDefault="00484F42" w:rsidP="00F77241">
            <w:pPr>
              <w:spacing w:after="0" w:line="240" w:lineRule="auto"/>
              <w:jc w:val="right"/>
              <w:rPr>
                <w:rFonts w:ascii="Times New Roman" w:hAnsi="Times New Roman" w:cs="Times New Roman"/>
                <w:i/>
                <w:iCs/>
                <w:sz w:val="20"/>
                <w:szCs w:val="20"/>
              </w:rPr>
            </w:pPr>
            <w:r w:rsidRPr="00E47AA9">
              <w:rPr>
                <w:rFonts w:ascii="Times New Roman" w:hAnsi="Times New Roman" w:cs="Times New Roman"/>
                <w:i/>
                <w:iCs/>
                <w:sz w:val="20"/>
                <w:szCs w:val="20"/>
              </w:rPr>
              <w:t>99,45</w:t>
            </w:r>
          </w:p>
        </w:tc>
      </w:tr>
      <w:tr w:rsidR="00E47AA9" w:rsidRPr="00E47AA9" w14:paraId="0923788F" w14:textId="77777777" w:rsidTr="00F77241">
        <w:trPr>
          <w:trHeight w:val="20"/>
        </w:trPr>
        <w:tc>
          <w:tcPr>
            <w:tcW w:w="3701" w:type="dxa"/>
            <w:tcBorders>
              <w:top w:val="nil"/>
              <w:left w:val="single" w:sz="4" w:space="0" w:color="auto"/>
              <w:bottom w:val="single" w:sz="4" w:space="0" w:color="auto"/>
              <w:right w:val="single" w:sz="4" w:space="0" w:color="auto"/>
            </w:tcBorders>
            <w:shd w:val="clear" w:color="000000" w:fill="FFFFFF"/>
          </w:tcPr>
          <w:p w14:paraId="768A0358" w14:textId="77777777" w:rsidR="00484F42" w:rsidRPr="00E47AA9" w:rsidRDefault="00484F42" w:rsidP="00F77241">
            <w:pPr>
              <w:spacing w:after="0" w:line="240" w:lineRule="auto"/>
              <w:rPr>
                <w:rFonts w:ascii="Times New Roman" w:hAnsi="Times New Roman" w:cs="Times New Roman"/>
              </w:rPr>
            </w:pPr>
            <w:r w:rsidRPr="00E47AA9">
              <w:rPr>
                <w:rFonts w:ascii="Times New Roman" w:hAnsi="Times New Roman" w:cs="Times New Roman"/>
              </w:rPr>
              <w:t>Ведомственный проект "Инициативное бюджетирование Приморья"</w:t>
            </w:r>
          </w:p>
        </w:tc>
        <w:tc>
          <w:tcPr>
            <w:tcW w:w="1559" w:type="dxa"/>
            <w:tcBorders>
              <w:top w:val="single" w:sz="4" w:space="0" w:color="auto"/>
              <w:left w:val="nil"/>
              <w:bottom w:val="single" w:sz="4" w:space="0" w:color="auto"/>
              <w:right w:val="single" w:sz="4" w:space="0" w:color="auto"/>
            </w:tcBorders>
            <w:shd w:val="clear" w:color="auto" w:fill="auto"/>
            <w:vAlign w:val="bottom"/>
          </w:tcPr>
          <w:p w14:paraId="27AF2B4D"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321,12</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bottom"/>
          </w:tcPr>
          <w:p w14:paraId="061CE4D8"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319,36</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14:paraId="1D83EAF8"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1,76</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8D9DDEB" w14:textId="77777777" w:rsidR="00484F42" w:rsidRPr="00E47AA9" w:rsidRDefault="00484F42"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99,45</w:t>
            </w:r>
          </w:p>
        </w:tc>
      </w:tr>
      <w:tr w:rsidR="00E47AA9" w:rsidRPr="00E47AA9" w14:paraId="55BB1FF7" w14:textId="77777777" w:rsidTr="00F77241">
        <w:trPr>
          <w:trHeight w:val="20"/>
        </w:trPr>
        <w:tc>
          <w:tcPr>
            <w:tcW w:w="3701" w:type="dxa"/>
            <w:tcBorders>
              <w:top w:val="single" w:sz="4" w:space="0" w:color="auto"/>
              <w:left w:val="single" w:sz="4" w:space="0" w:color="auto"/>
              <w:bottom w:val="single" w:sz="4" w:space="0" w:color="auto"/>
              <w:right w:val="single" w:sz="4" w:space="0" w:color="auto"/>
            </w:tcBorders>
            <w:shd w:val="clear" w:color="000000" w:fill="FFFFFF"/>
          </w:tcPr>
          <w:p w14:paraId="30D4C6EA" w14:textId="77777777" w:rsidR="00484F42" w:rsidRPr="00E47AA9" w:rsidRDefault="00484F42" w:rsidP="00F77241">
            <w:pPr>
              <w:spacing w:after="0" w:line="240" w:lineRule="auto"/>
              <w:rPr>
                <w:rFonts w:ascii="Times New Roman" w:hAnsi="Times New Roman" w:cs="Times New Roman"/>
                <w:b/>
                <w:bCs/>
                <w:sz w:val="20"/>
                <w:szCs w:val="20"/>
              </w:rPr>
            </w:pPr>
            <w:r w:rsidRPr="00E47AA9">
              <w:rPr>
                <w:rFonts w:ascii="Times New Roman" w:hAnsi="Times New Roman" w:cs="Times New Roman"/>
                <w:b/>
                <w:bCs/>
                <w:sz w:val="20"/>
                <w:szCs w:val="20"/>
              </w:rPr>
              <w:t>комплексы процессных мероприятий</w:t>
            </w:r>
          </w:p>
        </w:tc>
        <w:tc>
          <w:tcPr>
            <w:tcW w:w="1559" w:type="dxa"/>
            <w:tcBorders>
              <w:top w:val="single" w:sz="4" w:space="0" w:color="auto"/>
              <w:left w:val="nil"/>
              <w:bottom w:val="single" w:sz="4" w:space="0" w:color="auto"/>
              <w:right w:val="single" w:sz="4" w:space="0" w:color="auto"/>
            </w:tcBorders>
            <w:shd w:val="clear" w:color="auto" w:fill="auto"/>
            <w:vAlign w:val="center"/>
          </w:tcPr>
          <w:p w14:paraId="6DDFC4FD" w14:textId="77777777" w:rsidR="00484F42" w:rsidRPr="00E47AA9" w:rsidRDefault="00484F42" w:rsidP="00F77241">
            <w:pPr>
              <w:spacing w:after="0" w:line="240" w:lineRule="auto"/>
              <w:jc w:val="right"/>
              <w:rPr>
                <w:rFonts w:ascii="Times New Roman" w:hAnsi="Times New Roman" w:cs="Times New Roman"/>
                <w:b/>
                <w:sz w:val="20"/>
                <w:szCs w:val="20"/>
              </w:rPr>
            </w:pPr>
            <w:r w:rsidRPr="00E47AA9">
              <w:rPr>
                <w:rFonts w:ascii="Times New Roman" w:hAnsi="Times New Roman" w:cs="Times New Roman"/>
                <w:b/>
                <w:sz w:val="20"/>
                <w:szCs w:val="20"/>
              </w:rPr>
              <w:t>14 293,62</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3C9510C7" w14:textId="77777777" w:rsidR="00484F42" w:rsidRPr="00E47AA9" w:rsidRDefault="00484F42" w:rsidP="00F77241">
            <w:pPr>
              <w:spacing w:after="0" w:line="240" w:lineRule="auto"/>
              <w:jc w:val="right"/>
              <w:rPr>
                <w:rFonts w:ascii="Times New Roman" w:hAnsi="Times New Roman" w:cs="Times New Roman"/>
                <w:b/>
                <w:sz w:val="20"/>
                <w:szCs w:val="20"/>
              </w:rPr>
            </w:pPr>
            <w:r w:rsidRPr="00E47AA9">
              <w:rPr>
                <w:rFonts w:ascii="Times New Roman" w:hAnsi="Times New Roman" w:cs="Times New Roman"/>
                <w:b/>
                <w:sz w:val="20"/>
                <w:szCs w:val="20"/>
              </w:rPr>
              <w:t>14 261,54</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14:paraId="3DB1674D" w14:textId="77777777" w:rsidR="00484F42" w:rsidRPr="00E47AA9" w:rsidRDefault="00484F42" w:rsidP="00F77241">
            <w:pPr>
              <w:spacing w:after="0" w:line="240" w:lineRule="auto"/>
              <w:jc w:val="right"/>
              <w:rPr>
                <w:rFonts w:ascii="Times New Roman" w:hAnsi="Times New Roman" w:cs="Times New Roman"/>
                <w:b/>
                <w:sz w:val="20"/>
                <w:szCs w:val="20"/>
              </w:rPr>
            </w:pPr>
            <w:r w:rsidRPr="00E47AA9">
              <w:rPr>
                <w:rFonts w:ascii="Times New Roman" w:hAnsi="Times New Roman" w:cs="Times New Roman"/>
                <w:b/>
                <w:sz w:val="20"/>
                <w:szCs w:val="20"/>
              </w:rPr>
              <w:t>32,08</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59D4D9FA" w14:textId="77777777" w:rsidR="00484F42" w:rsidRPr="00E47AA9" w:rsidRDefault="00484F42" w:rsidP="00F77241">
            <w:pPr>
              <w:spacing w:after="0" w:line="240" w:lineRule="auto"/>
              <w:jc w:val="right"/>
              <w:rPr>
                <w:rFonts w:ascii="Times New Roman" w:hAnsi="Times New Roman" w:cs="Times New Roman"/>
                <w:b/>
                <w:sz w:val="20"/>
                <w:szCs w:val="20"/>
              </w:rPr>
            </w:pPr>
            <w:r w:rsidRPr="00E47AA9">
              <w:rPr>
                <w:rFonts w:ascii="Times New Roman" w:hAnsi="Times New Roman" w:cs="Times New Roman"/>
                <w:b/>
                <w:sz w:val="20"/>
                <w:szCs w:val="20"/>
              </w:rPr>
              <w:t>99,78</w:t>
            </w:r>
          </w:p>
        </w:tc>
      </w:tr>
    </w:tbl>
    <w:p w14:paraId="06C61FE6" w14:textId="77777777" w:rsidR="00484F42" w:rsidRPr="00E47AA9" w:rsidRDefault="00484F42" w:rsidP="00484F42">
      <w:pPr>
        <w:spacing w:after="0" w:line="240" w:lineRule="auto"/>
        <w:ind w:firstLine="709"/>
        <w:jc w:val="both"/>
        <w:rPr>
          <w:rFonts w:ascii="Times New Roman" w:eastAsia="Times New Roman" w:hAnsi="Times New Roman" w:cs="Times New Roman"/>
          <w:b/>
          <w:sz w:val="28"/>
          <w:szCs w:val="28"/>
          <w:lang w:eastAsia="ru-RU"/>
        </w:rPr>
      </w:pPr>
    </w:p>
    <w:p w14:paraId="29C2433A" w14:textId="12D93263" w:rsidR="00E33632" w:rsidRPr="00E47AA9" w:rsidRDefault="00E33632" w:rsidP="00484F4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Согласно Сводно</w:t>
      </w:r>
      <w:r w:rsidR="00460DD3" w:rsidRPr="00E47AA9">
        <w:rPr>
          <w:rFonts w:ascii="Times New Roman" w:eastAsia="Times New Roman" w:hAnsi="Times New Roman" w:cs="Times New Roman"/>
          <w:sz w:val="28"/>
          <w:szCs w:val="28"/>
          <w:lang w:eastAsia="ru-RU"/>
        </w:rPr>
        <w:t>му годовому</w:t>
      </w:r>
      <w:r w:rsidRPr="00E47AA9">
        <w:rPr>
          <w:rFonts w:ascii="Times New Roman" w:eastAsia="Times New Roman" w:hAnsi="Times New Roman" w:cs="Times New Roman"/>
          <w:sz w:val="28"/>
          <w:szCs w:val="28"/>
          <w:lang w:eastAsia="ru-RU"/>
        </w:rPr>
        <w:t xml:space="preserve"> доклад</w:t>
      </w:r>
      <w:r w:rsidR="00460DD3" w:rsidRPr="00E47AA9">
        <w:rPr>
          <w:rFonts w:ascii="Times New Roman" w:eastAsia="Times New Roman" w:hAnsi="Times New Roman" w:cs="Times New Roman"/>
          <w:sz w:val="28"/>
          <w:szCs w:val="28"/>
          <w:lang w:eastAsia="ru-RU"/>
        </w:rPr>
        <w:t>у</w:t>
      </w:r>
      <w:r w:rsidRPr="00E47AA9">
        <w:rPr>
          <w:rFonts w:ascii="Times New Roman" w:eastAsia="Times New Roman" w:hAnsi="Times New Roman" w:cs="Times New Roman"/>
          <w:sz w:val="28"/>
          <w:szCs w:val="28"/>
          <w:lang w:eastAsia="ru-RU"/>
        </w:rPr>
        <w:t>:</w:t>
      </w:r>
    </w:p>
    <w:p w14:paraId="413504D4" w14:textId="316ECE57" w:rsidR="00E33632" w:rsidRPr="00E47AA9" w:rsidRDefault="00E33632" w:rsidP="00E3363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из 55 мероприятий государственной программы, запланированных в 2024 году, выполнено в полном объеме 41 мероприятие, 10 мероприятий выполнены не в полном объеме, 1 мероприятие не выполнено, 3 мероприятия исключены из плана реализации;</w:t>
      </w:r>
    </w:p>
    <w:p w14:paraId="593D8FCB" w14:textId="50B6FB4C" w:rsidR="00E33632" w:rsidRPr="00E47AA9" w:rsidRDefault="00E33632" w:rsidP="00484F4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из 41 показателя государственной программы 37 достигли планового значения, 4 показателя достигнуты не в полном объеме;</w:t>
      </w:r>
    </w:p>
    <w:p w14:paraId="16D38541" w14:textId="47571117" w:rsidR="00E33632" w:rsidRPr="00E47AA9" w:rsidRDefault="00E33632" w:rsidP="00484F4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эффективность реализации государственной программы составила 97,1</w:t>
      </w:r>
      <w:r w:rsidR="00FD1970"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(высокая).</w:t>
      </w:r>
    </w:p>
    <w:p w14:paraId="79C273DF" w14:textId="77777777" w:rsidR="00484F42" w:rsidRPr="00E47AA9" w:rsidRDefault="00484F42" w:rsidP="00484F42">
      <w:pPr>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Подпрограмма "Улучшение инвестиционного климата в Приморском крае"</w:t>
      </w:r>
    </w:p>
    <w:p w14:paraId="33E4307E" w14:textId="77777777" w:rsidR="00484F42" w:rsidRPr="00E47AA9" w:rsidRDefault="00484F42" w:rsidP="00484F4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u w:val="single"/>
          <w:lang w:eastAsia="ru-RU"/>
        </w:rPr>
        <w:t>Министерством экономического развития Приморского края</w:t>
      </w:r>
      <w:r w:rsidRPr="00E47AA9">
        <w:rPr>
          <w:rFonts w:ascii="Times New Roman" w:eastAsia="Times New Roman" w:hAnsi="Times New Roman" w:cs="Times New Roman"/>
          <w:sz w:val="28"/>
          <w:szCs w:val="28"/>
          <w:lang w:eastAsia="ru-RU"/>
        </w:rPr>
        <w:t xml:space="preserve"> исполнен </w:t>
      </w:r>
      <w:r w:rsidRPr="00E47AA9">
        <w:rPr>
          <w:rFonts w:ascii="Times New Roman" w:eastAsia="Times New Roman" w:hAnsi="Times New Roman" w:cs="Times New Roman"/>
          <w:i/>
          <w:sz w:val="28"/>
          <w:szCs w:val="28"/>
          <w:lang w:eastAsia="ru-RU"/>
        </w:rPr>
        <w:t>РП "Адресная поддержка повышения производительности труда на предприятиях"</w:t>
      </w:r>
      <w:r w:rsidRPr="00E47AA9">
        <w:rPr>
          <w:rFonts w:ascii="Times New Roman" w:eastAsia="Times New Roman" w:hAnsi="Times New Roman" w:cs="Times New Roman"/>
          <w:sz w:val="28"/>
          <w:szCs w:val="28"/>
          <w:lang w:eastAsia="ru-RU"/>
        </w:rPr>
        <w:t xml:space="preserve"> в </w:t>
      </w:r>
      <w:r w:rsidRPr="00E47AA9">
        <w:rPr>
          <w:rFonts w:ascii="Times New Roman" w:eastAsia="Times New Roman" w:hAnsi="Times New Roman" w:cs="Times New Roman"/>
          <w:i/>
          <w:sz w:val="28"/>
          <w:szCs w:val="28"/>
          <w:lang w:eastAsia="ru-RU"/>
        </w:rPr>
        <w:t>НП Производительность труда"</w:t>
      </w:r>
      <w:r w:rsidRPr="00E47AA9">
        <w:rPr>
          <w:rFonts w:ascii="Times New Roman" w:eastAsia="Times New Roman" w:hAnsi="Times New Roman" w:cs="Times New Roman"/>
          <w:sz w:val="28"/>
          <w:szCs w:val="28"/>
          <w:lang w:eastAsia="ru-RU"/>
        </w:rPr>
        <w:t xml:space="preserve"> в полном объеме плановых бюджетных назначений (61,69 млн рублей). Подробная информация по исполнению РП представлена в приложении 3 к Заключению.</w:t>
      </w:r>
    </w:p>
    <w:p w14:paraId="54251CA0" w14:textId="0F6C57F3" w:rsidR="00484F42" w:rsidRPr="00E47AA9" w:rsidRDefault="00F35FEF" w:rsidP="00484F4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w:t>
      </w:r>
      <w:r w:rsidR="00484F42" w:rsidRPr="00E47AA9">
        <w:rPr>
          <w:rFonts w:ascii="Times New Roman" w:eastAsia="Times New Roman" w:hAnsi="Times New Roman" w:cs="Times New Roman"/>
          <w:i/>
          <w:sz w:val="28"/>
          <w:szCs w:val="28"/>
          <w:lang w:eastAsia="ru-RU"/>
        </w:rPr>
        <w:t xml:space="preserve"> "Создание условий для привлечения инвестиций в экономику Приморского края"</w:t>
      </w:r>
      <w:r w:rsidR="00484F42" w:rsidRPr="00E47AA9">
        <w:rPr>
          <w:rFonts w:ascii="Times New Roman" w:eastAsia="Times New Roman" w:hAnsi="Times New Roman" w:cs="Times New Roman"/>
          <w:sz w:val="28"/>
          <w:szCs w:val="28"/>
          <w:lang w:eastAsia="ru-RU"/>
        </w:rPr>
        <w:t xml:space="preserve"> исполнен </w:t>
      </w:r>
      <w:r w:rsidR="00484F42" w:rsidRPr="00E47AA9">
        <w:rPr>
          <w:rFonts w:ascii="Times New Roman" w:eastAsia="Times New Roman" w:hAnsi="Times New Roman" w:cs="Times New Roman"/>
          <w:sz w:val="28"/>
          <w:szCs w:val="28"/>
          <w:u w:val="single"/>
          <w:lang w:eastAsia="ru-RU"/>
        </w:rPr>
        <w:t>министерством экономического развития Приморского края</w:t>
      </w:r>
      <w:r w:rsidR="00484F42" w:rsidRPr="00E47AA9">
        <w:rPr>
          <w:rFonts w:ascii="Times New Roman" w:eastAsia="Times New Roman" w:hAnsi="Times New Roman" w:cs="Times New Roman"/>
          <w:sz w:val="28"/>
          <w:szCs w:val="28"/>
          <w:lang w:eastAsia="ru-RU"/>
        </w:rPr>
        <w:t xml:space="preserve"> в сумме 140,67 млн рублей, или 99,69 % от плана (141,12 млн рублей), в том числе: </w:t>
      </w:r>
    </w:p>
    <w:p w14:paraId="2EC81193" w14:textId="77777777" w:rsidR="00484F42" w:rsidRPr="00E47AA9" w:rsidRDefault="00484F42" w:rsidP="00484F4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субсидии на осуществление уставной деятельности автономной некоммерческой организации "Инвестиционное Агентство Приморского края" – 130,67 млн рублей, или 99,66 % (план – 131,12 млн рублей);</w:t>
      </w:r>
    </w:p>
    <w:p w14:paraId="4C56FA03" w14:textId="77777777" w:rsidR="00484F42" w:rsidRPr="00E47AA9" w:rsidRDefault="00484F42" w:rsidP="00484F4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поощрение внедрения Стандарта деятельности органов местного самоуправления Приморского края по обеспечению благоприятного инвестиционного климата в Приморском крае в муниципальных образованиях – 10,00 млн рублей (в полном объеме плановых назначений).</w:t>
      </w:r>
      <w:r w:rsidRPr="00E47AA9">
        <w:t xml:space="preserve"> </w:t>
      </w:r>
      <w:r w:rsidRPr="00E47AA9">
        <w:rPr>
          <w:rFonts w:ascii="Times New Roman" w:eastAsia="Times New Roman" w:hAnsi="Times New Roman" w:cs="Times New Roman"/>
          <w:sz w:val="28"/>
          <w:szCs w:val="28"/>
          <w:lang w:eastAsia="ru-RU"/>
        </w:rPr>
        <w:t xml:space="preserve">По итогам 2024 года муниципальный инвестиционный стандарт (МИС) внедрен во всех 34 органах местного самоуправления Приморского края. Наилучших показателей по внедрению МИС достигли Артемовский городской округ, </w:t>
      </w:r>
      <w:proofErr w:type="spellStart"/>
      <w:r w:rsidRPr="00E47AA9">
        <w:rPr>
          <w:rFonts w:ascii="Times New Roman" w:eastAsia="Times New Roman" w:hAnsi="Times New Roman" w:cs="Times New Roman"/>
          <w:sz w:val="28"/>
          <w:szCs w:val="28"/>
          <w:lang w:eastAsia="ru-RU"/>
        </w:rPr>
        <w:t>Хасанский</w:t>
      </w:r>
      <w:proofErr w:type="spellEnd"/>
      <w:r w:rsidRPr="00E47AA9">
        <w:rPr>
          <w:rFonts w:ascii="Times New Roman" w:eastAsia="Times New Roman" w:hAnsi="Times New Roman" w:cs="Times New Roman"/>
          <w:sz w:val="28"/>
          <w:szCs w:val="28"/>
          <w:lang w:eastAsia="ru-RU"/>
        </w:rPr>
        <w:t xml:space="preserve">, </w:t>
      </w:r>
      <w:proofErr w:type="spellStart"/>
      <w:r w:rsidRPr="00E47AA9">
        <w:rPr>
          <w:rFonts w:ascii="Times New Roman" w:eastAsia="Times New Roman" w:hAnsi="Times New Roman" w:cs="Times New Roman"/>
          <w:sz w:val="28"/>
          <w:szCs w:val="28"/>
          <w:lang w:eastAsia="ru-RU"/>
        </w:rPr>
        <w:t>Хорольский</w:t>
      </w:r>
      <w:proofErr w:type="spellEnd"/>
      <w:r w:rsidRPr="00E47AA9">
        <w:rPr>
          <w:rFonts w:ascii="Times New Roman" w:eastAsia="Times New Roman" w:hAnsi="Times New Roman" w:cs="Times New Roman"/>
          <w:sz w:val="28"/>
          <w:szCs w:val="28"/>
          <w:lang w:eastAsia="ru-RU"/>
        </w:rPr>
        <w:t xml:space="preserve">, Черниговский, </w:t>
      </w:r>
      <w:proofErr w:type="spellStart"/>
      <w:r w:rsidRPr="00E47AA9">
        <w:rPr>
          <w:rFonts w:ascii="Times New Roman" w:eastAsia="Times New Roman" w:hAnsi="Times New Roman" w:cs="Times New Roman"/>
          <w:sz w:val="28"/>
          <w:szCs w:val="28"/>
          <w:lang w:eastAsia="ru-RU"/>
        </w:rPr>
        <w:t>Дальнереченский</w:t>
      </w:r>
      <w:proofErr w:type="spellEnd"/>
      <w:r w:rsidRPr="00E47AA9">
        <w:rPr>
          <w:rFonts w:ascii="Times New Roman" w:eastAsia="Times New Roman" w:hAnsi="Times New Roman" w:cs="Times New Roman"/>
          <w:sz w:val="28"/>
          <w:szCs w:val="28"/>
          <w:lang w:eastAsia="ru-RU"/>
        </w:rPr>
        <w:t>, Яковлевский муниципальные округа.</w:t>
      </w:r>
    </w:p>
    <w:p w14:paraId="3FC2151D" w14:textId="77777777" w:rsidR="00484F42" w:rsidRPr="00E47AA9" w:rsidRDefault="00484F42" w:rsidP="00484F42">
      <w:pPr>
        <w:spacing w:after="0" w:line="240" w:lineRule="auto"/>
        <w:ind w:firstLine="709"/>
        <w:jc w:val="both"/>
        <w:rPr>
          <w:rFonts w:ascii="Times New Roman" w:eastAsia="Calibri" w:hAnsi="Times New Roman" w:cs="Times New Roman"/>
          <w:b/>
          <w:sz w:val="28"/>
          <w:szCs w:val="28"/>
        </w:rPr>
      </w:pPr>
      <w:r w:rsidRPr="00E47AA9">
        <w:rPr>
          <w:rFonts w:ascii="Times New Roman" w:eastAsia="Calibri" w:hAnsi="Times New Roman" w:cs="Times New Roman"/>
          <w:b/>
          <w:sz w:val="28"/>
          <w:szCs w:val="28"/>
        </w:rPr>
        <w:lastRenderedPageBreak/>
        <w:t>Подпрограмма "Развитие малого и среднего предпринимательства в Приморском крае"</w:t>
      </w:r>
    </w:p>
    <w:p w14:paraId="13B0D314" w14:textId="77777777" w:rsidR="00484F42" w:rsidRPr="00E47AA9" w:rsidRDefault="00484F42" w:rsidP="00484F4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Практически в полном объеме плановых назначений в общей сумме 1110,82 млн рублей предоставлены средства для реализации </w:t>
      </w:r>
      <w:r w:rsidRPr="00E47AA9">
        <w:rPr>
          <w:rFonts w:ascii="Times New Roman" w:eastAsia="Times New Roman" w:hAnsi="Times New Roman" w:cs="Times New Roman"/>
          <w:i/>
          <w:sz w:val="28"/>
          <w:szCs w:val="28"/>
          <w:lang w:eastAsia="ru-RU"/>
        </w:rPr>
        <w:t xml:space="preserve">НП "Малое и среднее предпринимательство и поддержка индивидуальной предпринимательской инициативы" </w:t>
      </w:r>
      <w:r w:rsidRPr="00E47AA9">
        <w:rPr>
          <w:rFonts w:ascii="Times New Roman" w:eastAsia="Times New Roman" w:hAnsi="Times New Roman" w:cs="Times New Roman"/>
          <w:sz w:val="28"/>
          <w:szCs w:val="28"/>
          <w:lang w:eastAsia="ru-RU"/>
        </w:rPr>
        <w:t xml:space="preserve">через </w:t>
      </w:r>
      <w:r w:rsidRPr="00E47AA9">
        <w:rPr>
          <w:rFonts w:ascii="Times New Roman" w:eastAsia="Times New Roman" w:hAnsi="Times New Roman" w:cs="Times New Roman"/>
          <w:i/>
          <w:sz w:val="28"/>
          <w:szCs w:val="28"/>
          <w:lang w:eastAsia="ru-RU"/>
        </w:rPr>
        <w:t xml:space="preserve">РП "Создание благоприятных условий для осуществления деятельности </w:t>
      </w:r>
      <w:proofErr w:type="spellStart"/>
      <w:r w:rsidRPr="00E47AA9">
        <w:rPr>
          <w:rFonts w:ascii="Times New Roman" w:eastAsia="Times New Roman" w:hAnsi="Times New Roman" w:cs="Times New Roman"/>
          <w:i/>
          <w:sz w:val="28"/>
          <w:szCs w:val="28"/>
          <w:lang w:eastAsia="ru-RU"/>
        </w:rPr>
        <w:t>самозанятыми</w:t>
      </w:r>
      <w:proofErr w:type="spellEnd"/>
      <w:r w:rsidRPr="00E47AA9">
        <w:rPr>
          <w:rFonts w:ascii="Times New Roman" w:eastAsia="Times New Roman" w:hAnsi="Times New Roman" w:cs="Times New Roman"/>
          <w:i/>
          <w:sz w:val="28"/>
          <w:szCs w:val="28"/>
          <w:lang w:eastAsia="ru-RU"/>
        </w:rPr>
        <w:t xml:space="preserve"> гражданами"</w:t>
      </w:r>
      <w:r w:rsidRPr="00E47AA9">
        <w:rPr>
          <w:rFonts w:ascii="Times New Roman" w:eastAsia="Times New Roman" w:hAnsi="Times New Roman" w:cs="Times New Roman"/>
          <w:sz w:val="28"/>
          <w:szCs w:val="28"/>
          <w:lang w:eastAsia="ru-RU"/>
        </w:rPr>
        <w:t xml:space="preserve"> (9,80 млн рублей), </w:t>
      </w:r>
      <w:r w:rsidRPr="00E47AA9">
        <w:rPr>
          <w:rFonts w:ascii="Times New Roman" w:eastAsia="Times New Roman" w:hAnsi="Times New Roman" w:cs="Times New Roman"/>
          <w:i/>
          <w:sz w:val="28"/>
          <w:szCs w:val="28"/>
          <w:lang w:eastAsia="ru-RU"/>
        </w:rPr>
        <w:t>"Акселерация субъектов малого и среднего предпринимательства"</w:t>
      </w:r>
      <w:r w:rsidRPr="00E47AA9">
        <w:rPr>
          <w:rFonts w:ascii="Times New Roman" w:eastAsia="Times New Roman" w:hAnsi="Times New Roman" w:cs="Times New Roman"/>
          <w:sz w:val="28"/>
          <w:szCs w:val="28"/>
          <w:lang w:eastAsia="ru-RU"/>
        </w:rPr>
        <w:t xml:space="preserve"> (1056,37 млн рублей), </w:t>
      </w:r>
      <w:r w:rsidRPr="00E47AA9">
        <w:rPr>
          <w:rFonts w:ascii="Times New Roman" w:eastAsia="Times New Roman" w:hAnsi="Times New Roman" w:cs="Times New Roman"/>
          <w:i/>
          <w:sz w:val="28"/>
          <w:szCs w:val="28"/>
          <w:lang w:eastAsia="ru-RU"/>
        </w:rPr>
        <w:t xml:space="preserve">"Создание условий для легкого старта и комфортного ведения бизнеса" </w:t>
      </w:r>
      <w:r w:rsidRPr="00E47AA9">
        <w:rPr>
          <w:rFonts w:ascii="Times New Roman" w:eastAsia="Times New Roman" w:hAnsi="Times New Roman" w:cs="Times New Roman"/>
          <w:sz w:val="28"/>
          <w:szCs w:val="28"/>
          <w:lang w:eastAsia="ru-RU"/>
        </w:rPr>
        <w:t>(44,65 млн рублей). Подробная информация представлена в приложении 3 к Заключению.</w:t>
      </w:r>
    </w:p>
    <w:p w14:paraId="019E5C11" w14:textId="77777777" w:rsidR="00484F42" w:rsidRPr="00E47AA9" w:rsidRDefault="00484F42" w:rsidP="00484F42">
      <w:pPr>
        <w:widowControl w:val="0"/>
        <w:tabs>
          <w:tab w:val="left" w:pos="851"/>
          <w:tab w:val="left" w:pos="993"/>
        </w:tabs>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b/>
          <w:sz w:val="28"/>
          <w:szCs w:val="28"/>
        </w:rPr>
        <w:t>Подпрограмма "Долгосрочное финансовое планирование и организация бюджетного процесса, совершенствование межбюджетных отношений в Приморском крае"</w:t>
      </w:r>
      <w:r w:rsidRPr="00E47AA9">
        <w:rPr>
          <w:rFonts w:ascii="Times New Roman" w:eastAsia="Calibri" w:hAnsi="Times New Roman" w:cs="Times New Roman"/>
          <w:sz w:val="28"/>
          <w:szCs w:val="28"/>
        </w:rPr>
        <w:t xml:space="preserve"> </w:t>
      </w:r>
    </w:p>
    <w:p w14:paraId="333EBBB0" w14:textId="77777777" w:rsidR="00484F42" w:rsidRPr="00E47AA9" w:rsidRDefault="00484F42" w:rsidP="00484F42">
      <w:pPr>
        <w:widowControl w:val="0"/>
        <w:suppressAutoHyphens/>
        <w:autoSpaceDN w:val="0"/>
        <w:spacing w:after="0" w:line="240" w:lineRule="auto"/>
        <w:ind w:firstLine="709"/>
        <w:jc w:val="both"/>
        <w:textAlignment w:val="baseline"/>
        <w:rPr>
          <w:rFonts w:ascii="Times New Roman" w:eastAsia="SimSun" w:hAnsi="Times New Roman" w:cs="Times New Roman"/>
          <w:bCs/>
          <w:spacing w:val="-6"/>
          <w:sz w:val="28"/>
          <w:szCs w:val="28"/>
          <w:shd w:val="clear" w:color="auto" w:fill="FFFFFF"/>
          <w:lang w:eastAsia="ru-RU"/>
        </w:rPr>
      </w:pPr>
      <w:r w:rsidRPr="00E47AA9">
        <w:rPr>
          <w:rFonts w:ascii="Times New Roman" w:eastAsia="Calibri" w:hAnsi="Times New Roman" w:cs="Times New Roman"/>
          <w:sz w:val="28"/>
          <w:szCs w:val="28"/>
          <w:lang w:eastAsia="zh-CN"/>
        </w:rPr>
        <w:t>Исполнение</w:t>
      </w:r>
      <w:r w:rsidRPr="00E47AA9">
        <w:rPr>
          <w:rFonts w:ascii="Times New Roman" w:eastAsia="Times New Roman" w:hAnsi="Times New Roman" w:cs="Times New Roman"/>
          <w:sz w:val="28"/>
          <w:szCs w:val="28"/>
          <w:lang w:eastAsia="zh-CN"/>
        </w:rPr>
        <w:t xml:space="preserve"> </w:t>
      </w:r>
      <w:r w:rsidRPr="00E47AA9">
        <w:rPr>
          <w:rFonts w:ascii="Times New Roman" w:eastAsia="Times New Roman" w:hAnsi="Times New Roman" w:cs="Times New Roman"/>
          <w:sz w:val="28"/>
          <w:szCs w:val="28"/>
          <w:u w:val="single"/>
          <w:lang w:eastAsia="zh-CN"/>
        </w:rPr>
        <w:t xml:space="preserve">министерством финансов Приморского </w:t>
      </w:r>
      <w:r w:rsidRPr="00E47AA9">
        <w:rPr>
          <w:rFonts w:ascii="Times New Roman" w:eastAsia="Times New Roman" w:hAnsi="Times New Roman" w:cs="Times New Roman"/>
          <w:sz w:val="28"/>
          <w:szCs w:val="28"/>
          <w:lang w:eastAsia="zh-CN"/>
        </w:rPr>
        <w:t xml:space="preserve">края </w:t>
      </w:r>
      <w:r w:rsidRPr="00E47AA9">
        <w:rPr>
          <w:rFonts w:ascii="Times New Roman" w:eastAsia="SimSun" w:hAnsi="Times New Roman" w:cs="Times New Roman"/>
          <w:bCs/>
          <w:i/>
          <w:spacing w:val="-6"/>
          <w:sz w:val="28"/>
          <w:szCs w:val="28"/>
          <w:shd w:val="clear" w:color="auto" w:fill="FFFFFF"/>
          <w:lang w:eastAsia="ru-RU"/>
        </w:rPr>
        <w:t xml:space="preserve">ведомственного проекта "Инициативное бюджетирование в Приморье" </w:t>
      </w:r>
      <w:r w:rsidRPr="00E47AA9">
        <w:rPr>
          <w:rFonts w:ascii="Times New Roman" w:eastAsia="SimSun" w:hAnsi="Times New Roman" w:cs="Times New Roman"/>
          <w:bCs/>
          <w:spacing w:val="-6"/>
          <w:sz w:val="28"/>
          <w:szCs w:val="28"/>
          <w:shd w:val="clear" w:color="auto" w:fill="FFFFFF"/>
          <w:lang w:eastAsia="ru-RU"/>
        </w:rPr>
        <w:t>составило 319,36 млн рублей, или 99,45 % от плана 321,13 млн рублей, в том числе:</w:t>
      </w:r>
    </w:p>
    <w:p w14:paraId="08B31BAB" w14:textId="77777777" w:rsidR="00484F42" w:rsidRPr="00E47AA9" w:rsidRDefault="00484F42" w:rsidP="00484F42">
      <w:pPr>
        <w:widowControl w:val="0"/>
        <w:suppressAutoHyphens/>
        <w:autoSpaceDN w:val="0"/>
        <w:spacing w:after="0" w:line="240" w:lineRule="auto"/>
        <w:ind w:firstLine="709"/>
        <w:jc w:val="both"/>
        <w:textAlignment w:val="baseline"/>
        <w:rPr>
          <w:rFonts w:ascii="Times New Roman" w:eastAsia="SimSun" w:hAnsi="Times New Roman" w:cs="Times New Roman"/>
          <w:spacing w:val="-6"/>
          <w:sz w:val="28"/>
          <w:szCs w:val="28"/>
          <w:shd w:val="clear" w:color="auto" w:fill="FFFFFF"/>
          <w:lang w:eastAsia="ru-RU"/>
        </w:rPr>
      </w:pPr>
      <w:r w:rsidRPr="00E47AA9">
        <w:rPr>
          <w:rFonts w:ascii="Times New Roman" w:eastAsia="SimSun" w:hAnsi="Times New Roman" w:cs="Times New Roman"/>
          <w:bCs/>
          <w:iCs/>
          <w:spacing w:val="-6"/>
          <w:sz w:val="28"/>
          <w:szCs w:val="28"/>
          <w:shd w:val="clear" w:color="auto" w:fill="FFFFFF"/>
          <w:lang w:eastAsia="ru-RU"/>
        </w:rPr>
        <w:t xml:space="preserve">по направлению "Твой проект" – 213,82 млн рублей (99,89 % от плана </w:t>
      </w:r>
      <w:r w:rsidRPr="00E47AA9">
        <w:rPr>
          <w:rFonts w:ascii="Times New Roman" w:eastAsia="SimSun" w:hAnsi="Times New Roman" w:cs="Times New Roman"/>
          <w:spacing w:val="-6"/>
          <w:sz w:val="28"/>
          <w:szCs w:val="28"/>
          <w:shd w:val="clear" w:color="auto" w:fill="FFFFFF"/>
          <w:lang w:eastAsia="ru-RU"/>
        </w:rPr>
        <w:t>214,05 млн рублей). Реализовано 84 проекта-победителя;</w:t>
      </w:r>
    </w:p>
    <w:p w14:paraId="5A392E19" w14:textId="15A1AB57" w:rsidR="00484F42" w:rsidRPr="00E47AA9" w:rsidRDefault="00484F42" w:rsidP="00484F42">
      <w:pPr>
        <w:widowControl w:val="0"/>
        <w:suppressAutoHyphens/>
        <w:autoSpaceDN w:val="0"/>
        <w:spacing w:after="0" w:line="240" w:lineRule="auto"/>
        <w:ind w:firstLine="709"/>
        <w:jc w:val="both"/>
        <w:textAlignment w:val="baseline"/>
        <w:rPr>
          <w:rFonts w:ascii="Calibri" w:eastAsia="Calibri" w:hAnsi="Calibri" w:cs="Times New Roman"/>
          <w:lang w:eastAsia="zh-CN"/>
        </w:rPr>
      </w:pPr>
      <w:r w:rsidRPr="00E47AA9">
        <w:rPr>
          <w:rFonts w:ascii="Times New Roman" w:eastAsia="SimSun" w:hAnsi="Times New Roman" w:cs="Times New Roman"/>
          <w:bCs/>
          <w:iCs/>
          <w:spacing w:val="-6"/>
          <w:sz w:val="28"/>
          <w:szCs w:val="28"/>
          <w:shd w:val="clear" w:color="auto" w:fill="FFFFFF"/>
          <w:lang w:eastAsia="ru-RU"/>
        </w:rPr>
        <w:t xml:space="preserve">по направлению "Молодежный бюджет" – 105,54 млн рублей, или 98,57 % от плана 107,07 млн рублей. Реализовано 79 проектов-победителей. В неисполненном остатке 1,53 млн рублей </w:t>
      </w:r>
      <w:r w:rsidR="00C519F0" w:rsidRPr="00E47AA9">
        <w:rPr>
          <w:rFonts w:ascii="Times New Roman" w:eastAsia="SimSun" w:hAnsi="Times New Roman" w:cs="Times New Roman"/>
          <w:bCs/>
          <w:iCs/>
          <w:spacing w:val="-6"/>
          <w:sz w:val="28"/>
          <w:szCs w:val="28"/>
          <w:shd w:val="clear" w:color="auto" w:fill="FFFFFF"/>
          <w:lang w:eastAsia="ru-RU"/>
        </w:rPr>
        <w:t>–</w:t>
      </w:r>
      <w:r w:rsidRPr="00E47AA9">
        <w:rPr>
          <w:rFonts w:ascii="Times New Roman" w:eastAsia="SimSun" w:hAnsi="Times New Roman" w:cs="Times New Roman"/>
          <w:bCs/>
          <w:iCs/>
          <w:spacing w:val="-6"/>
          <w:sz w:val="28"/>
          <w:szCs w:val="28"/>
          <w:shd w:val="clear" w:color="auto" w:fill="FFFFFF"/>
          <w:lang w:eastAsia="ru-RU"/>
        </w:rPr>
        <w:t xml:space="preserve"> </w:t>
      </w:r>
      <w:r w:rsidRPr="00E47AA9">
        <w:rPr>
          <w:rFonts w:ascii="Times New Roman" w:eastAsia="SimSun" w:hAnsi="Times New Roman" w:cs="Times New Roman"/>
          <w:spacing w:val="-6"/>
          <w:sz w:val="28"/>
          <w:szCs w:val="28"/>
          <w:shd w:val="clear" w:color="auto" w:fill="FFFFFF"/>
          <w:lang w:eastAsia="ru-RU"/>
        </w:rPr>
        <w:t>по результатам выполненных работ в рамках реализации проектов по причине невозможности реализации проекта в представленном варианте в Лазовском муниципальном округе.</w:t>
      </w:r>
    </w:p>
    <w:p w14:paraId="5EAA5567" w14:textId="77777777" w:rsidR="00484F42" w:rsidRPr="00E47AA9" w:rsidRDefault="00484F42" w:rsidP="00484F42">
      <w:pPr>
        <w:widowControl w:val="0"/>
        <w:tabs>
          <w:tab w:val="left" w:pos="851"/>
          <w:tab w:val="left" w:pos="993"/>
        </w:tabs>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Исполнен в полном объеме плановых назначений 8148,41 млн рублей</w:t>
      </w:r>
      <w:r w:rsidRPr="00E47AA9">
        <w:rPr>
          <w:rFonts w:ascii="Times New Roman" w:eastAsia="Calibri" w:hAnsi="Times New Roman" w:cs="Times New Roman"/>
          <w:i/>
          <w:sz w:val="28"/>
          <w:szCs w:val="28"/>
        </w:rPr>
        <w:t xml:space="preserve"> КПМ "Совершенствование межбюджетных отношений в Приморском крае", </w:t>
      </w:r>
      <w:r w:rsidRPr="00E47AA9">
        <w:rPr>
          <w:rFonts w:ascii="Times New Roman" w:eastAsia="Calibri" w:hAnsi="Times New Roman" w:cs="Times New Roman"/>
          <w:sz w:val="28"/>
          <w:szCs w:val="28"/>
        </w:rPr>
        <w:t>из них направлены в муниципальные бюджеты:</w:t>
      </w:r>
    </w:p>
    <w:p w14:paraId="479B2A2F" w14:textId="77777777" w:rsidR="00484F42" w:rsidRPr="00E47AA9" w:rsidRDefault="00484F42" w:rsidP="00484F42">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дотации на выравнивание бюджетной обеспеченности муниципальных районов (муниципальных округов, городских округов) – 3083,88 млн рублей; </w:t>
      </w:r>
    </w:p>
    <w:p w14:paraId="26AE17C8" w14:textId="77777777" w:rsidR="00484F42" w:rsidRPr="00E47AA9" w:rsidRDefault="00484F42" w:rsidP="00484F42">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дотации на поддержку мер по обеспечению сбалансированности бюджетов – 2586,66 млн рублей;</w:t>
      </w:r>
    </w:p>
    <w:p w14:paraId="7FD30ACD" w14:textId="77777777" w:rsidR="00484F42" w:rsidRPr="00E47AA9" w:rsidRDefault="00484F42" w:rsidP="00484F42">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финансовое обеспечение осуществления городом Владивостоком функций административного центра Приморского края – 1039,51 млн рублей.</w:t>
      </w:r>
    </w:p>
    <w:p w14:paraId="5E524EAF" w14:textId="77777777" w:rsidR="00484F42" w:rsidRPr="00E47AA9" w:rsidRDefault="00484F42" w:rsidP="00484F42">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иные дотации на дополнительную финансовую поддержку муниципальных образований Приморского края, для которых распоряжением Правительства Российской Федерации утвержден план комплексного социально-экономического развития муниципального образования Приморского края – 500,00 млн рублей.</w:t>
      </w:r>
    </w:p>
    <w:p w14:paraId="16A1854A" w14:textId="77777777" w:rsidR="00484F42" w:rsidRPr="00E47AA9" w:rsidRDefault="00484F42" w:rsidP="00484F42">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Также из краевого бюджета предоставлены бюджетные средства в целях поощрения муниципальных образований края:</w:t>
      </w:r>
    </w:p>
    <w:p w14:paraId="4D832912" w14:textId="77777777" w:rsidR="00484F42" w:rsidRPr="00E47AA9" w:rsidRDefault="00484F42" w:rsidP="00484F42">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прошедшим процедуру преобразования в муниципальные округа (357,29 млн рублей);</w:t>
      </w:r>
    </w:p>
    <w:p w14:paraId="3BCB726D" w14:textId="77777777" w:rsidR="00484F42" w:rsidRPr="00E47AA9" w:rsidRDefault="00484F42" w:rsidP="00484F42">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за достигнутые результаты в работе по повышению качества управления бюджетным процессом (10,00 млн рублей).</w:t>
      </w:r>
    </w:p>
    <w:p w14:paraId="06F1A61A" w14:textId="77777777" w:rsidR="00484F42" w:rsidRPr="00E47AA9" w:rsidRDefault="00484F42" w:rsidP="00484F42">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u w:val="single"/>
        </w:rPr>
        <w:lastRenderedPageBreak/>
        <w:t>Агентством проектного управления Приморского края</w:t>
      </w:r>
      <w:r w:rsidRPr="00E47AA9">
        <w:rPr>
          <w:rFonts w:ascii="Times New Roman" w:eastAsia="Calibri" w:hAnsi="Times New Roman" w:cs="Times New Roman"/>
          <w:sz w:val="28"/>
          <w:szCs w:val="28"/>
        </w:rPr>
        <w:t xml:space="preserve"> в рамках данного КПМ в полном объеме направлены средства на поощрение достижения наилучших показателей социально-экономического развития (150,00 млн рублей). По результатам проведения комплексной оценки деятельности муниципальных образований Приморского края по достижению в отчетном году наилучших показателей социально-экономического развития награждены шесть муниципальных образований. </w:t>
      </w:r>
    </w:p>
    <w:p w14:paraId="7F7DF980" w14:textId="77777777" w:rsidR="00484F42" w:rsidRPr="00E47AA9" w:rsidRDefault="00484F42" w:rsidP="00484F42">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Исполнение</w:t>
      </w:r>
      <w:r w:rsidRPr="00E47AA9">
        <w:rPr>
          <w:rFonts w:ascii="Times New Roman" w:eastAsia="Calibri" w:hAnsi="Times New Roman" w:cs="Times New Roman"/>
          <w:b/>
          <w:i/>
          <w:sz w:val="28"/>
          <w:szCs w:val="28"/>
        </w:rPr>
        <w:t xml:space="preserve"> </w:t>
      </w:r>
      <w:r w:rsidRPr="00E47AA9">
        <w:rPr>
          <w:rFonts w:ascii="Times New Roman" w:eastAsia="Calibri" w:hAnsi="Times New Roman" w:cs="Times New Roman"/>
          <w:i/>
          <w:sz w:val="28"/>
          <w:szCs w:val="28"/>
        </w:rPr>
        <w:t xml:space="preserve">КПМ "Совершенствование управления государственным долгом Приморского края" </w:t>
      </w:r>
      <w:r w:rsidRPr="00E47AA9">
        <w:rPr>
          <w:rFonts w:ascii="Times New Roman" w:eastAsia="Calibri" w:hAnsi="Times New Roman" w:cs="Times New Roman"/>
          <w:sz w:val="28"/>
          <w:szCs w:val="28"/>
        </w:rPr>
        <w:t>осуществлено</w:t>
      </w:r>
      <w:r w:rsidRPr="00E47AA9">
        <w:rPr>
          <w:rFonts w:ascii="Times New Roman" w:eastAsia="Calibri" w:hAnsi="Times New Roman" w:cs="Times New Roman"/>
          <w:i/>
          <w:sz w:val="28"/>
          <w:szCs w:val="28"/>
        </w:rPr>
        <w:t xml:space="preserve"> </w:t>
      </w:r>
      <w:r w:rsidRPr="00E47AA9">
        <w:rPr>
          <w:rFonts w:ascii="Times New Roman" w:eastAsia="Calibri" w:hAnsi="Times New Roman" w:cs="Times New Roman"/>
          <w:sz w:val="28"/>
          <w:szCs w:val="28"/>
        </w:rPr>
        <w:t>в сумме 518,93 млн рублей, или 96,61 % от плана 537,13 млн рублей. Средства направлены на процентные платежи по государственному долгу.</w:t>
      </w:r>
    </w:p>
    <w:p w14:paraId="1ED99D56" w14:textId="3588768E" w:rsidR="00484F42" w:rsidRPr="00E47AA9" w:rsidRDefault="00484F42" w:rsidP="00484F42">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В полном объеме бюджетных назначений</w:t>
      </w:r>
      <w:r w:rsidR="00C519F0"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12,41 млн рублей</w:t>
      </w:r>
      <w:r w:rsidR="00C519F0"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исполнен </w:t>
      </w:r>
      <w:r w:rsidRPr="00E47AA9">
        <w:rPr>
          <w:rFonts w:ascii="Times New Roman" w:eastAsia="Calibri" w:hAnsi="Times New Roman" w:cs="Times New Roman"/>
          <w:i/>
          <w:sz w:val="28"/>
          <w:szCs w:val="28"/>
        </w:rPr>
        <w:t xml:space="preserve">КПМ "Развитие инициативного бюджетирования" </w:t>
      </w:r>
      <w:r w:rsidRPr="00E47AA9">
        <w:rPr>
          <w:rFonts w:ascii="Times New Roman" w:eastAsia="Calibri" w:hAnsi="Times New Roman" w:cs="Times New Roman"/>
          <w:sz w:val="28"/>
          <w:szCs w:val="28"/>
        </w:rPr>
        <w:t>на мероприятия по информированию населения о практиках инициативного бюджетирования, реализуемых в Приморском крае, и по повышению финансовой грамотности населения Приморского края. Расходы осуществляются в соответствии с условиями принятых долговых обязательств, исходя из объемов полученных кредитов, процентных ставок и сроков пользования кредитами.</w:t>
      </w:r>
    </w:p>
    <w:p w14:paraId="1D75AD35" w14:textId="77777777" w:rsidR="00484F42" w:rsidRPr="00E47AA9" w:rsidRDefault="00484F42" w:rsidP="00484F42">
      <w:pPr>
        <w:spacing w:after="0" w:line="240" w:lineRule="auto"/>
        <w:ind w:firstLine="709"/>
        <w:jc w:val="both"/>
        <w:rPr>
          <w:rFonts w:ascii="Times New Roman" w:eastAsia="Calibri" w:hAnsi="Times New Roman" w:cs="Times New Roman"/>
          <w:b/>
          <w:sz w:val="28"/>
          <w:szCs w:val="28"/>
        </w:rPr>
      </w:pPr>
      <w:r w:rsidRPr="00E47AA9">
        <w:rPr>
          <w:rFonts w:ascii="Times New Roman" w:eastAsia="Calibri" w:hAnsi="Times New Roman" w:cs="Times New Roman"/>
          <w:b/>
          <w:sz w:val="28"/>
          <w:szCs w:val="28"/>
        </w:rPr>
        <w:t xml:space="preserve">Подпрограмма "Управление имуществом, находящимся в собственности и ведении Приморского края" </w:t>
      </w:r>
    </w:p>
    <w:p w14:paraId="4682903D" w14:textId="77777777" w:rsidR="00484F42" w:rsidRPr="00E47AA9" w:rsidRDefault="00484F42" w:rsidP="00484F42">
      <w:pPr>
        <w:spacing w:after="0" w:line="240" w:lineRule="auto"/>
        <w:ind w:firstLine="709"/>
        <w:jc w:val="both"/>
        <w:rPr>
          <w:rFonts w:ascii="Times New Roman" w:eastAsia="Calibri" w:hAnsi="Times New Roman" w:cs="Times New Roman"/>
          <w:sz w:val="28"/>
          <w:szCs w:val="28"/>
        </w:rPr>
      </w:pPr>
      <w:r w:rsidRPr="00E47AA9">
        <w:rPr>
          <w:rFonts w:ascii="Times New Roman" w:eastAsia="Times New Roman" w:hAnsi="Times New Roman" w:cs="Times New Roman"/>
          <w:sz w:val="28"/>
          <w:szCs w:val="28"/>
          <w:u w:val="single"/>
        </w:rPr>
        <w:t xml:space="preserve">Министерством имущественных и земельных отношений Приморского края </w:t>
      </w:r>
      <w:r w:rsidRPr="00E47AA9">
        <w:rPr>
          <w:rFonts w:ascii="Times New Roman" w:eastAsia="Times New Roman" w:hAnsi="Times New Roman" w:cs="Times New Roman"/>
          <w:sz w:val="28"/>
          <w:szCs w:val="28"/>
        </w:rPr>
        <w:t>в рамках подпрограммы исполнены следующие комплексы процессных мероприятий:</w:t>
      </w:r>
    </w:p>
    <w:p w14:paraId="19E440AA" w14:textId="50B2D6F7" w:rsidR="00484F42" w:rsidRPr="00E47AA9" w:rsidRDefault="00484F42" w:rsidP="00484F42">
      <w:pPr>
        <w:widowControl w:val="0"/>
        <w:tabs>
          <w:tab w:val="left" w:pos="0"/>
          <w:tab w:val="left" w:pos="851"/>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КПМ "Управление и распоряжение имуществом, находящимся в собственности и в ведении Приморского края"</w:t>
      </w:r>
      <w:r w:rsidR="00C519F0" w:rsidRPr="00E47AA9">
        <w:rPr>
          <w:rFonts w:ascii="Times New Roman" w:eastAsia="Times New Roman" w:hAnsi="Times New Roman" w:cs="Times New Roman"/>
          <w:i/>
          <w:sz w:val="28"/>
          <w:szCs w:val="28"/>
          <w:lang w:eastAsia="ru-RU"/>
        </w:rPr>
        <w:t>,</w:t>
      </w:r>
      <w:r w:rsidRPr="00E47AA9">
        <w:rPr>
          <w:rFonts w:ascii="Times New Roman" w:eastAsia="Times New Roman" w:hAnsi="Times New Roman" w:cs="Times New Roman"/>
          <w:i/>
          <w:sz w:val="28"/>
          <w:szCs w:val="28"/>
          <w:lang w:eastAsia="ru-RU"/>
        </w:rPr>
        <w:t xml:space="preserve"> </w:t>
      </w:r>
      <w:r w:rsidRPr="00E47AA9">
        <w:rPr>
          <w:rFonts w:ascii="Times New Roman" w:eastAsia="Times New Roman" w:hAnsi="Times New Roman" w:cs="Times New Roman"/>
          <w:sz w:val="28"/>
          <w:szCs w:val="28"/>
          <w:lang w:eastAsia="ru-RU"/>
        </w:rPr>
        <w:t>– 622,89 млн рублей (план</w:t>
      </w:r>
      <w:r w:rsidR="00E02DD2"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xml:space="preserve"> 626,54 млн рублей), из них на </w:t>
      </w:r>
      <w:r w:rsidRPr="00E47AA9">
        <w:rPr>
          <w:rFonts w:ascii="Times New Roman" w:eastAsia="Calibri" w:hAnsi="Times New Roman" w:cs="Times New Roman"/>
          <w:sz w:val="28"/>
          <w:szCs w:val="28"/>
        </w:rPr>
        <w:t xml:space="preserve">содержание </w:t>
      </w:r>
      <w:r w:rsidRPr="00E47AA9">
        <w:rPr>
          <w:rFonts w:ascii="Times New Roman" w:eastAsia="Times New Roman" w:hAnsi="Times New Roman" w:cs="Times New Roman"/>
          <w:sz w:val="28"/>
          <w:szCs w:val="28"/>
          <w:lang w:eastAsia="ru-RU"/>
        </w:rPr>
        <w:t xml:space="preserve">и обеспечение деятельности </w:t>
      </w:r>
      <w:r w:rsidRPr="00E47AA9">
        <w:rPr>
          <w:rFonts w:ascii="Times New Roman" w:eastAsia="Calibri" w:hAnsi="Times New Roman" w:cs="Times New Roman"/>
          <w:sz w:val="28"/>
          <w:szCs w:val="28"/>
        </w:rPr>
        <w:t xml:space="preserve">министерства имущественных и земельных отношений Приморского края и его подведомственных учреждений КГКУ "Управление землями и имуществом на территории Приморского края", КГБУ "Центр кадастровой оценки Приморского края" </w:t>
      </w:r>
      <w:r w:rsidRPr="00E47AA9">
        <w:rPr>
          <w:rFonts w:ascii="Times New Roman" w:eastAsia="Times New Roman" w:hAnsi="Times New Roman" w:cs="Times New Roman"/>
          <w:sz w:val="28"/>
          <w:szCs w:val="28"/>
          <w:lang w:eastAsia="ru-RU"/>
        </w:rPr>
        <w:t>– 612,59 млн рублей (план</w:t>
      </w:r>
      <w:r w:rsidR="00E02DD2"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 614,46 млн рублей);</w:t>
      </w:r>
    </w:p>
    <w:p w14:paraId="64917EB1" w14:textId="241901CE" w:rsidR="00484F42" w:rsidRPr="00E47AA9" w:rsidRDefault="00484F42" w:rsidP="00484F42">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i/>
          <w:sz w:val="28"/>
          <w:szCs w:val="28"/>
        </w:rPr>
        <w:t>КПМ "Материально-техническое обеспечение органов государственной власти Приморского края и представление интересов Правительства Приморского края в федеральных органах государственной власти"</w:t>
      </w:r>
      <w:r w:rsidRPr="00E47AA9">
        <w:rPr>
          <w:rFonts w:ascii="Times New Roman" w:eastAsia="Calibri" w:hAnsi="Times New Roman" w:cs="Times New Roman"/>
          <w:sz w:val="28"/>
          <w:szCs w:val="28"/>
        </w:rPr>
        <w:t xml:space="preserve"> – 1362,67 млн рублей (план </w:t>
      </w:r>
      <w:r w:rsidR="00E02DD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1367,94 млн рублей), из них на </w:t>
      </w:r>
      <w:r w:rsidRPr="00E47AA9">
        <w:rPr>
          <w:rFonts w:ascii="Times New Roman" w:eastAsia="Times New Roman" w:hAnsi="Times New Roman" w:cs="Times New Roman"/>
          <w:sz w:val="28"/>
          <w:szCs w:val="28"/>
          <w:lang w:eastAsia="ru-RU"/>
        </w:rPr>
        <w:t xml:space="preserve">обеспечение деятельности подведомственных учреждений (КГБУ "Хозяйственное управление Правительства Приморского края" и ГКУ "Представительство Правительства Приморского края при Правительстве Российской Федерации", КГБУ "Агентство по использованию и сохранению имущества Приморского края") – 1247,18 млн рублей (план </w:t>
      </w:r>
      <w:r w:rsidR="00E02DD2"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1249,17 млн рублей). </w:t>
      </w:r>
    </w:p>
    <w:p w14:paraId="3CB62A56" w14:textId="77777777" w:rsidR="00484F42" w:rsidRPr="00E47AA9" w:rsidRDefault="00484F42" w:rsidP="00484F42">
      <w:pPr>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b/>
          <w:sz w:val="28"/>
          <w:szCs w:val="28"/>
        </w:rPr>
        <w:t>Подпрограмма "Развитие промышленного комплекса в Приморском крае"</w:t>
      </w:r>
      <w:r w:rsidRPr="00E47AA9">
        <w:rPr>
          <w:rFonts w:ascii="Times New Roman" w:hAnsi="Times New Roman" w:cs="Times New Roman"/>
          <w:sz w:val="28"/>
          <w:szCs w:val="28"/>
        </w:rPr>
        <w:t xml:space="preserve"> </w:t>
      </w:r>
    </w:p>
    <w:p w14:paraId="3382FD82" w14:textId="53AD364B" w:rsidR="00484F42" w:rsidRPr="00E47AA9" w:rsidRDefault="00484F42" w:rsidP="00484F42">
      <w:pPr>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u w:val="single"/>
        </w:rPr>
        <w:t>Министерством промышленности и торговли Приморского края</w:t>
      </w:r>
      <w:r w:rsidRPr="00E47AA9">
        <w:rPr>
          <w:rFonts w:ascii="Times New Roman" w:hAnsi="Times New Roman" w:cs="Times New Roman"/>
          <w:sz w:val="28"/>
          <w:szCs w:val="28"/>
        </w:rPr>
        <w:t xml:space="preserve"> расходы в рамках </w:t>
      </w:r>
      <w:proofErr w:type="gramStart"/>
      <w:r w:rsidR="00FD1970" w:rsidRPr="00E47AA9">
        <w:rPr>
          <w:rFonts w:ascii="Times New Roman" w:hAnsi="Times New Roman" w:cs="Times New Roman"/>
          <w:i/>
          <w:sz w:val="28"/>
          <w:szCs w:val="28"/>
        </w:rPr>
        <w:t xml:space="preserve">КПМ </w:t>
      </w:r>
      <w:r w:rsidRPr="00E47AA9">
        <w:rPr>
          <w:rFonts w:ascii="Times New Roman" w:hAnsi="Times New Roman" w:cs="Times New Roman"/>
          <w:i/>
          <w:sz w:val="28"/>
          <w:szCs w:val="28"/>
        </w:rPr>
        <w:t> "</w:t>
      </w:r>
      <w:proofErr w:type="gramEnd"/>
      <w:r w:rsidRPr="00E47AA9">
        <w:rPr>
          <w:rFonts w:ascii="Times New Roman" w:hAnsi="Times New Roman" w:cs="Times New Roman"/>
          <w:i/>
          <w:sz w:val="28"/>
          <w:szCs w:val="28"/>
        </w:rPr>
        <w:t xml:space="preserve">Создание инфраструктуры Промышленного парка "Большой Камень" </w:t>
      </w:r>
      <w:r w:rsidRPr="00E47AA9">
        <w:rPr>
          <w:rFonts w:ascii="Times New Roman" w:hAnsi="Times New Roman" w:cs="Times New Roman"/>
          <w:sz w:val="28"/>
          <w:szCs w:val="28"/>
        </w:rPr>
        <w:t xml:space="preserve">АО "Корпорация развития Приморского края" </w:t>
      </w:r>
      <w:r w:rsidRPr="00E47AA9">
        <w:rPr>
          <w:rFonts w:ascii="Times New Roman" w:hAnsi="Times New Roman" w:cs="Times New Roman"/>
          <w:sz w:val="28"/>
          <w:szCs w:val="28"/>
        </w:rPr>
        <w:lastRenderedPageBreak/>
        <w:t>предоставлены в полном объеме плановых назначений в сумме 1883,45 млн рублей</w:t>
      </w:r>
      <w:r w:rsidR="009D660F" w:rsidRPr="00E47AA9">
        <w:rPr>
          <w:rFonts w:ascii="Times New Roman" w:hAnsi="Times New Roman" w:cs="Times New Roman"/>
          <w:sz w:val="28"/>
          <w:szCs w:val="28"/>
        </w:rPr>
        <w:t>. Б</w:t>
      </w:r>
      <w:r w:rsidRPr="00E47AA9">
        <w:rPr>
          <w:rFonts w:ascii="Times New Roman" w:hAnsi="Times New Roman" w:cs="Times New Roman"/>
          <w:sz w:val="28"/>
          <w:szCs w:val="28"/>
        </w:rPr>
        <w:t>юджетные инвестиции</w:t>
      </w:r>
      <w:r w:rsidR="009D660F" w:rsidRPr="00E47AA9">
        <w:rPr>
          <w:rFonts w:ascii="Times New Roman" w:hAnsi="Times New Roman" w:cs="Times New Roman"/>
          <w:sz w:val="28"/>
          <w:szCs w:val="28"/>
        </w:rPr>
        <w:t xml:space="preserve"> направлены </w:t>
      </w:r>
      <w:r w:rsidRPr="00E47AA9">
        <w:rPr>
          <w:rFonts w:ascii="Times New Roman" w:hAnsi="Times New Roman" w:cs="Times New Roman"/>
          <w:sz w:val="28"/>
          <w:szCs w:val="28"/>
        </w:rPr>
        <w:t xml:space="preserve">на осуществление взноса в уставный капитал его дочернего общества ООО "Управляющая компания Промышленного парка "Большой Камень" </w:t>
      </w:r>
      <w:r w:rsidR="009D660F" w:rsidRPr="00E47AA9">
        <w:rPr>
          <w:rFonts w:ascii="Times New Roman" w:hAnsi="Times New Roman" w:cs="Times New Roman"/>
          <w:sz w:val="28"/>
          <w:szCs w:val="28"/>
        </w:rPr>
        <w:t>(</w:t>
      </w:r>
      <w:r w:rsidRPr="00E47AA9">
        <w:rPr>
          <w:rFonts w:ascii="Times New Roman" w:hAnsi="Times New Roman" w:cs="Times New Roman"/>
          <w:sz w:val="28"/>
          <w:szCs w:val="28"/>
        </w:rPr>
        <w:t>на осуществление капитальных вложений в целях создания инфраструктуры промышленного парка</w:t>
      </w:r>
      <w:r w:rsidR="009D660F" w:rsidRPr="00E47AA9">
        <w:rPr>
          <w:rFonts w:ascii="Times New Roman" w:hAnsi="Times New Roman" w:cs="Times New Roman"/>
          <w:sz w:val="28"/>
          <w:szCs w:val="28"/>
        </w:rPr>
        <w:t>)</w:t>
      </w:r>
      <w:r w:rsidRPr="00E47AA9">
        <w:rPr>
          <w:rFonts w:ascii="Times New Roman" w:hAnsi="Times New Roman" w:cs="Times New Roman"/>
          <w:sz w:val="28"/>
          <w:szCs w:val="28"/>
        </w:rPr>
        <w:t>.</w:t>
      </w:r>
    </w:p>
    <w:p w14:paraId="43443D04" w14:textId="77777777" w:rsidR="00484F42" w:rsidRPr="00E47AA9" w:rsidRDefault="00484F42" w:rsidP="00484F42">
      <w:pPr>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 xml:space="preserve">Расходы в рамках </w:t>
      </w:r>
      <w:r w:rsidRPr="00E47AA9">
        <w:rPr>
          <w:rFonts w:ascii="Times New Roman" w:hAnsi="Times New Roman" w:cs="Times New Roman"/>
          <w:i/>
          <w:sz w:val="28"/>
          <w:szCs w:val="28"/>
        </w:rPr>
        <w:t>КПМ "Создание условий для привлечения инвестиций в промышленный сектор экономики Приморского края"</w:t>
      </w:r>
      <w:r w:rsidRPr="00E47AA9">
        <w:rPr>
          <w:rFonts w:ascii="Times New Roman" w:hAnsi="Times New Roman" w:cs="Times New Roman"/>
          <w:b/>
          <w:i/>
          <w:sz w:val="28"/>
          <w:szCs w:val="28"/>
        </w:rPr>
        <w:t xml:space="preserve"> </w:t>
      </w:r>
      <w:r w:rsidRPr="00E47AA9">
        <w:rPr>
          <w:rFonts w:ascii="Times New Roman" w:hAnsi="Times New Roman" w:cs="Times New Roman"/>
          <w:sz w:val="28"/>
          <w:szCs w:val="28"/>
        </w:rPr>
        <w:t>исполнены практически в полном объеме плановых назначений 1065,19 млн рублей, из них предоставлены в полном объеме средства:</w:t>
      </w:r>
    </w:p>
    <w:p w14:paraId="2BE5A5A9" w14:textId="56CCD1ED" w:rsidR="00484F42" w:rsidRPr="00E47AA9" w:rsidRDefault="00484F42" w:rsidP="00484F42">
      <w:pPr>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на финансовое обеспечение деятельности (</w:t>
      </w:r>
      <w:proofErr w:type="spellStart"/>
      <w:r w:rsidRPr="00E47AA9">
        <w:rPr>
          <w:rFonts w:ascii="Times New Roman" w:hAnsi="Times New Roman" w:cs="Times New Roman"/>
          <w:sz w:val="28"/>
          <w:szCs w:val="28"/>
        </w:rPr>
        <w:t>докапитализации</w:t>
      </w:r>
      <w:proofErr w:type="spellEnd"/>
      <w:r w:rsidRPr="00E47AA9">
        <w:rPr>
          <w:rFonts w:ascii="Times New Roman" w:hAnsi="Times New Roman" w:cs="Times New Roman"/>
          <w:sz w:val="28"/>
          <w:szCs w:val="28"/>
        </w:rPr>
        <w:t xml:space="preserve">) Фонда </w:t>
      </w:r>
      <w:r w:rsidR="00D1367A" w:rsidRPr="00E47AA9">
        <w:rPr>
          <w:rFonts w:ascii="Times New Roman" w:hAnsi="Times New Roman" w:cs="Times New Roman"/>
          <w:sz w:val="28"/>
          <w:szCs w:val="28"/>
        </w:rPr>
        <w:t>–</w:t>
      </w:r>
      <w:r w:rsidRPr="00E47AA9">
        <w:rPr>
          <w:rFonts w:ascii="Times New Roman" w:hAnsi="Times New Roman" w:cs="Times New Roman"/>
          <w:sz w:val="28"/>
          <w:szCs w:val="28"/>
        </w:rPr>
        <w:t xml:space="preserve"> 146,44 млн рублей. В августе 2024 года средства в данной сумме предоставлены ООО "Уссурийская картонная фабрика" в виде займа на приобретение линии для производства 5-слойного </w:t>
      </w:r>
      <w:proofErr w:type="spellStart"/>
      <w:r w:rsidRPr="00E47AA9">
        <w:rPr>
          <w:rFonts w:ascii="Times New Roman" w:hAnsi="Times New Roman" w:cs="Times New Roman"/>
          <w:sz w:val="28"/>
          <w:szCs w:val="28"/>
        </w:rPr>
        <w:t>гофрокартона</w:t>
      </w:r>
      <w:proofErr w:type="spellEnd"/>
      <w:r w:rsidRPr="00E47AA9">
        <w:rPr>
          <w:rFonts w:ascii="Times New Roman" w:hAnsi="Times New Roman" w:cs="Times New Roman"/>
          <w:sz w:val="28"/>
          <w:szCs w:val="28"/>
        </w:rPr>
        <w:t xml:space="preserve">; </w:t>
      </w:r>
    </w:p>
    <w:p w14:paraId="24110AC1" w14:textId="05320323" w:rsidR="00484F42" w:rsidRPr="00E47AA9" w:rsidRDefault="00484F42" w:rsidP="00484F42">
      <w:pPr>
        <w:spacing w:after="0" w:line="240" w:lineRule="auto"/>
        <w:ind w:firstLine="708"/>
        <w:jc w:val="both"/>
        <w:rPr>
          <w:rFonts w:ascii="Times New Roman" w:hAnsi="Times New Roman" w:cs="Times New Roman"/>
          <w:sz w:val="28"/>
          <w:szCs w:val="28"/>
        </w:rPr>
      </w:pPr>
      <w:proofErr w:type="spellStart"/>
      <w:r w:rsidRPr="00E47AA9">
        <w:rPr>
          <w:rFonts w:ascii="Times New Roman" w:hAnsi="Times New Roman" w:cs="Times New Roman"/>
          <w:sz w:val="28"/>
          <w:szCs w:val="28"/>
        </w:rPr>
        <w:t>Микрокредитной</w:t>
      </w:r>
      <w:proofErr w:type="spellEnd"/>
      <w:r w:rsidRPr="00E47AA9">
        <w:rPr>
          <w:rFonts w:ascii="Times New Roman" w:hAnsi="Times New Roman" w:cs="Times New Roman"/>
          <w:sz w:val="28"/>
          <w:szCs w:val="28"/>
        </w:rPr>
        <w:t xml:space="preserve"> компании "Фонд развития предпринимательства и промышленности Приморского края" (далее – Фонд) для оказания финансовой поддержки в виде займов промышленным предприятиям Приморского края </w:t>
      </w:r>
      <w:r w:rsidR="00ED114E" w:rsidRPr="00E47AA9">
        <w:rPr>
          <w:rFonts w:ascii="Times New Roman" w:hAnsi="Times New Roman" w:cs="Times New Roman"/>
          <w:sz w:val="28"/>
          <w:szCs w:val="28"/>
        </w:rPr>
        <w:t xml:space="preserve">(далее </w:t>
      </w:r>
      <w:r w:rsidR="00F63EC5" w:rsidRPr="00E47AA9">
        <w:rPr>
          <w:rFonts w:ascii="Times New Roman" w:hAnsi="Times New Roman" w:cs="Times New Roman"/>
          <w:sz w:val="28"/>
          <w:szCs w:val="28"/>
        </w:rPr>
        <w:t xml:space="preserve">– субсидия) </w:t>
      </w:r>
      <w:r w:rsidRPr="00E47AA9">
        <w:rPr>
          <w:rFonts w:ascii="Times New Roman" w:hAnsi="Times New Roman" w:cs="Times New Roman"/>
          <w:sz w:val="28"/>
          <w:szCs w:val="28"/>
        </w:rPr>
        <w:t xml:space="preserve">– 700,00 млн рублей. </w:t>
      </w:r>
    </w:p>
    <w:p w14:paraId="3CD65718" w14:textId="754ECF20" w:rsidR="00484F42" w:rsidRPr="00E47AA9" w:rsidRDefault="00484F42" w:rsidP="00484F42">
      <w:pPr>
        <w:spacing w:after="0" w:line="240" w:lineRule="auto"/>
        <w:ind w:firstLine="708"/>
        <w:jc w:val="both"/>
        <w:rPr>
          <w:rFonts w:ascii="Times New Roman" w:hAnsi="Times New Roman" w:cs="Times New Roman"/>
          <w:i/>
          <w:sz w:val="28"/>
          <w:szCs w:val="28"/>
        </w:rPr>
      </w:pPr>
      <w:r w:rsidRPr="00E47AA9">
        <w:rPr>
          <w:rFonts w:ascii="Times New Roman" w:hAnsi="Times New Roman" w:cs="Times New Roman"/>
          <w:i/>
          <w:sz w:val="28"/>
          <w:szCs w:val="28"/>
        </w:rPr>
        <w:t>Контрольно-счетной палатой установлено, что 700,00 млн рублей предоставлены Фонду министерством промышленности и торговли Приморского края в конце декабря 2024 года</w:t>
      </w:r>
      <w:r w:rsidR="00D1367A" w:rsidRPr="00E47AA9">
        <w:rPr>
          <w:rFonts w:ascii="Times New Roman" w:hAnsi="Times New Roman" w:cs="Times New Roman"/>
          <w:i/>
          <w:sz w:val="28"/>
          <w:szCs w:val="28"/>
        </w:rPr>
        <w:t>,</w:t>
      </w:r>
      <w:r w:rsidRPr="00E47AA9">
        <w:rPr>
          <w:rFonts w:ascii="Times New Roman" w:hAnsi="Times New Roman" w:cs="Times New Roman"/>
          <w:i/>
          <w:sz w:val="28"/>
          <w:szCs w:val="28"/>
        </w:rPr>
        <w:t xml:space="preserve"> и </w:t>
      </w:r>
      <w:r w:rsidR="00ED114E" w:rsidRPr="00E47AA9">
        <w:rPr>
          <w:rFonts w:ascii="Times New Roman" w:hAnsi="Times New Roman" w:cs="Times New Roman"/>
          <w:i/>
          <w:sz w:val="28"/>
          <w:szCs w:val="28"/>
        </w:rPr>
        <w:t xml:space="preserve">которые </w:t>
      </w:r>
      <w:r w:rsidRPr="00E47AA9">
        <w:rPr>
          <w:rFonts w:ascii="Times New Roman" w:hAnsi="Times New Roman" w:cs="Times New Roman"/>
          <w:i/>
          <w:sz w:val="28"/>
          <w:szCs w:val="28"/>
        </w:rPr>
        <w:t>не освоены им по состоянию на 17.03.2025 (момент проведения контрольного мероприятия</w:t>
      </w:r>
      <w:r w:rsidR="00867FCB" w:rsidRPr="00E47AA9">
        <w:rPr>
          <w:rStyle w:val="a8"/>
          <w:rFonts w:ascii="Times New Roman" w:hAnsi="Times New Roman"/>
          <w:i/>
          <w:sz w:val="28"/>
          <w:szCs w:val="28"/>
        </w:rPr>
        <w:footnoteReference w:id="84"/>
      </w:r>
      <w:r w:rsidRPr="00E47AA9">
        <w:rPr>
          <w:rFonts w:ascii="Times New Roman" w:hAnsi="Times New Roman" w:cs="Times New Roman"/>
          <w:i/>
          <w:sz w:val="28"/>
          <w:szCs w:val="28"/>
        </w:rPr>
        <w:t xml:space="preserve">). </w:t>
      </w:r>
    </w:p>
    <w:p w14:paraId="05D80A6A" w14:textId="6B6CECEB" w:rsidR="00484F42" w:rsidRPr="00E47AA9" w:rsidRDefault="00484F42" w:rsidP="00484F42">
      <w:pPr>
        <w:spacing w:after="0" w:line="240" w:lineRule="auto"/>
        <w:ind w:firstLine="708"/>
        <w:jc w:val="both"/>
        <w:rPr>
          <w:rFonts w:ascii="Times New Roman" w:hAnsi="Times New Roman" w:cs="Times New Roman"/>
          <w:i/>
          <w:sz w:val="28"/>
          <w:szCs w:val="28"/>
        </w:rPr>
      </w:pPr>
      <w:r w:rsidRPr="00E47AA9">
        <w:rPr>
          <w:rFonts w:ascii="Times New Roman" w:hAnsi="Times New Roman" w:cs="Times New Roman"/>
          <w:i/>
          <w:sz w:val="28"/>
          <w:szCs w:val="28"/>
        </w:rPr>
        <w:t xml:space="preserve">При этом отмечено, что займы промышленным предприятиям носят заявительный характер, соответственно, </w:t>
      </w:r>
      <w:proofErr w:type="spellStart"/>
      <w:r w:rsidRPr="00E47AA9">
        <w:rPr>
          <w:rFonts w:ascii="Times New Roman" w:hAnsi="Times New Roman" w:cs="Times New Roman"/>
          <w:i/>
          <w:sz w:val="28"/>
          <w:szCs w:val="28"/>
        </w:rPr>
        <w:t>единоразовое</w:t>
      </w:r>
      <w:proofErr w:type="spellEnd"/>
      <w:r w:rsidRPr="00E47AA9">
        <w:rPr>
          <w:rFonts w:ascii="Times New Roman" w:hAnsi="Times New Roman" w:cs="Times New Roman"/>
          <w:i/>
          <w:sz w:val="28"/>
          <w:szCs w:val="28"/>
        </w:rPr>
        <w:t xml:space="preserve"> перечисление всего объема субсидии, запланированного на соответствующий финансовый год (первоначального и (или) дополнительного) Фонду из краевого бюджета, способствует отвлечению бюджетных средств в связи с длительным их неосвоением и нахождением на счете Фонда остатков субсидии (целевых средств).</w:t>
      </w:r>
    </w:p>
    <w:p w14:paraId="4C143E0D" w14:textId="77777777" w:rsidR="00484F42" w:rsidRPr="00E47AA9" w:rsidRDefault="00484F42" w:rsidP="00484F42">
      <w:pPr>
        <w:spacing w:after="0" w:line="240" w:lineRule="auto"/>
        <w:ind w:firstLine="708"/>
        <w:jc w:val="both"/>
        <w:rPr>
          <w:rFonts w:ascii="Times New Roman" w:hAnsi="Times New Roman" w:cs="Times New Roman"/>
          <w:i/>
          <w:sz w:val="28"/>
          <w:szCs w:val="28"/>
        </w:rPr>
      </w:pPr>
      <w:r w:rsidRPr="00E47AA9">
        <w:rPr>
          <w:rFonts w:ascii="Times New Roman" w:hAnsi="Times New Roman" w:cs="Times New Roman"/>
          <w:i/>
          <w:sz w:val="28"/>
          <w:szCs w:val="28"/>
        </w:rPr>
        <w:t>Кроме того, предусмотренный в ГП "Экономическое развитие и инновационная экономика Приморского края" показатель "Количество выданных займов", который в свою очередь закрепляется в соглашениях на предоставление субсидий, заключаемых между министерством и Фондом, не позволяет очевидным образом оценивать прогресс в достижении целей указанной государственной программы, поскольку его характеристика в большей степени относится к результатам мероприятия и не отражает специфику развития социально-экономического развития в сфере промышленности, связываемую с показателем (например, влияние на занятость, развитие новых рабочих мест, рост производительности и конкурентоспособности промышленных предприятий, получивших займы).</w:t>
      </w:r>
    </w:p>
    <w:p w14:paraId="3F9D65BE" w14:textId="77777777" w:rsidR="000711E6" w:rsidRPr="00E47AA9" w:rsidRDefault="000711E6" w:rsidP="000711E6">
      <w:pPr>
        <w:spacing w:after="0" w:line="240" w:lineRule="auto"/>
        <w:jc w:val="both"/>
        <w:rPr>
          <w:rFonts w:ascii="Times New Roman" w:eastAsia="Times New Roman" w:hAnsi="Times New Roman" w:cs="Times New Roman"/>
          <w:sz w:val="28"/>
          <w:szCs w:val="28"/>
          <w:lang w:eastAsia="ru-RU"/>
        </w:rPr>
      </w:pPr>
    </w:p>
    <w:p w14:paraId="14550EE1" w14:textId="77777777" w:rsidR="000711E6" w:rsidRPr="00E47AA9" w:rsidRDefault="000711E6" w:rsidP="00515109">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noProof/>
          <w:sz w:val="20"/>
          <w:szCs w:val="20"/>
          <w:lang w:eastAsia="ru-RU"/>
        </w:rPr>
        <w:lastRenderedPageBreak/>
        <w:drawing>
          <wp:anchor distT="0" distB="0" distL="114300" distR="114300" simplePos="0" relativeHeight="251681792" behindDoc="0" locked="0" layoutInCell="1" allowOverlap="1" wp14:anchorId="446F742F" wp14:editId="02C9088B">
            <wp:simplePos x="0" y="0"/>
            <wp:positionH relativeFrom="column">
              <wp:posOffset>-66675</wp:posOffset>
            </wp:positionH>
            <wp:positionV relativeFrom="paragraph">
              <wp:posOffset>88900</wp:posOffset>
            </wp:positionV>
            <wp:extent cx="1255395" cy="890270"/>
            <wp:effectExtent l="0" t="0" r="1905" b="5080"/>
            <wp:wrapSquare wrapText="bothSides"/>
            <wp:docPr id="53" name="Рисунок 53" descr="C:\Users\zavzyataya_sv\Desktop\Картинки к исполнению\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zavzyataya_sv\Desktop\Картинки к исполнению\Без названия.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55395" cy="890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AA9">
        <w:rPr>
          <w:rFonts w:ascii="Times New Roman" w:eastAsia="Times New Roman" w:hAnsi="Times New Roman" w:cs="Times New Roman"/>
          <w:b/>
          <w:sz w:val="28"/>
          <w:szCs w:val="28"/>
          <w:lang w:eastAsia="ru-RU"/>
        </w:rPr>
        <w:t xml:space="preserve">5.2.18. Государственная программа Приморского края "Безопасный край" </w:t>
      </w:r>
    </w:p>
    <w:p w14:paraId="1E2893F3" w14:textId="77777777" w:rsidR="0012451A" w:rsidRPr="00E47AA9" w:rsidRDefault="0012451A" w:rsidP="0012451A">
      <w:pPr>
        <w:spacing w:after="0" w:line="240" w:lineRule="auto"/>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lang w:eastAsia="ru-RU"/>
        </w:rPr>
        <w:t>Уточненные бюджетные назначения на реализацию мероприятий ГП в 2024 году составили 1371,77 млн рублей. И</w:t>
      </w:r>
      <w:r w:rsidRPr="00E47AA9">
        <w:rPr>
          <w:rFonts w:ascii="Times New Roman" w:eastAsia="Times New Roman" w:hAnsi="Times New Roman" w:cs="Times New Roman"/>
          <w:sz w:val="28"/>
          <w:szCs w:val="28"/>
        </w:rPr>
        <w:t xml:space="preserve">сполнено 1363,57 млн рублей, или 99,40 %, в том числе: за счет средств федерального бюджета – 44,32 млн рублей, краевого бюджета – 1319,25 млн рублей. </w:t>
      </w:r>
    </w:p>
    <w:p w14:paraId="15C08C53" w14:textId="05361D2C" w:rsidR="0012451A" w:rsidRPr="00E47AA9" w:rsidRDefault="0012451A" w:rsidP="0012451A">
      <w:pPr>
        <w:spacing w:after="0" w:line="240" w:lineRule="auto"/>
        <w:jc w:val="both"/>
        <w:rPr>
          <w:rFonts w:ascii="Times New Roman" w:hAnsi="Times New Roman" w:cs="Times New Roman"/>
          <w:sz w:val="28"/>
          <w:szCs w:val="28"/>
        </w:rPr>
      </w:pPr>
      <w:r w:rsidRPr="00E47AA9">
        <w:rPr>
          <w:rFonts w:ascii="Times New Roman" w:eastAsia="Times New Roman" w:hAnsi="Times New Roman" w:cs="Times New Roman"/>
          <w:sz w:val="28"/>
          <w:szCs w:val="28"/>
        </w:rPr>
        <w:tab/>
        <w:t>Согласно паспорту ГП реализуют мероприятия о</w:t>
      </w:r>
      <w:r w:rsidRPr="00E47AA9">
        <w:rPr>
          <w:rFonts w:ascii="Times New Roman" w:eastAsia="Times New Roman" w:hAnsi="Times New Roman" w:cs="Times New Roman"/>
          <w:sz w:val="28"/>
          <w:szCs w:val="28"/>
          <w:lang w:eastAsia="ru-RU"/>
        </w:rPr>
        <w:t xml:space="preserve">тветственный исполнитель </w:t>
      </w:r>
      <w:r w:rsidR="00D1367A"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0"/>
          <w:lang w:eastAsia="ru-RU"/>
        </w:rPr>
        <w:t xml:space="preserve">департамент по координации правоохранительной деятельности, исполнения административного законодательства и </w:t>
      </w:r>
      <w:r w:rsidRPr="00E47AA9">
        <w:rPr>
          <w:rFonts w:ascii="Times New Roman" w:eastAsia="Times New Roman" w:hAnsi="Times New Roman" w:cs="Times New Roman"/>
          <w:sz w:val="28"/>
          <w:szCs w:val="28"/>
          <w:lang w:eastAsia="ru-RU"/>
        </w:rPr>
        <w:t>обеспечения деятельности мировых судей Приморского края (далее – департамент по координации правоохранительной деятельности Приморского края)</w:t>
      </w:r>
      <w:r w:rsidRPr="00E47AA9">
        <w:rPr>
          <w:rFonts w:ascii="Times New Roman" w:hAnsi="Times New Roman" w:cs="Times New Roman"/>
          <w:sz w:val="28"/>
          <w:szCs w:val="28"/>
        </w:rPr>
        <w:t xml:space="preserve"> и 9 соисполнителей – органов исполнительной власти Приморского края</w:t>
      </w:r>
      <w:r w:rsidRPr="00E47AA9">
        <w:rPr>
          <w:rStyle w:val="a8"/>
          <w:rFonts w:ascii="Times New Roman" w:hAnsi="Times New Roman"/>
          <w:sz w:val="28"/>
          <w:szCs w:val="28"/>
        </w:rPr>
        <w:footnoteReference w:id="85"/>
      </w:r>
      <w:r w:rsidRPr="00E47AA9">
        <w:rPr>
          <w:rFonts w:ascii="Times New Roman" w:hAnsi="Times New Roman" w:cs="Times New Roman"/>
          <w:sz w:val="28"/>
          <w:szCs w:val="28"/>
        </w:rPr>
        <w:t>.</w:t>
      </w:r>
    </w:p>
    <w:p w14:paraId="16D404BA" w14:textId="77777777" w:rsidR="0012451A" w:rsidRPr="00E47AA9" w:rsidRDefault="0012451A" w:rsidP="0012451A">
      <w:pPr>
        <w:widowControl w:val="0"/>
        <w:autoSpaceDE w:val="0"/>
        <w:autoSpaceDN w:val="0"/>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Исполнение ГП в разрезе главных распорядителей средств краевого бюджета приведено в таблице.</w:t>
      </w:r>
    </w:p>
    <w:tbl>
      <w:tblPr>
        <w:tblW w:w="9693" w:type="dxa"/>
        <w:tblInd w:w="-34" w:type="dxa"/>
        <w:tblLayout w:type="fixed"/>
        <w:tblLook w:val="04A0" w:firstRow="1" w:lastRow="0" w:firstColumn="1" w:lastColumn="0" w:noHBand="0" w:noVBand="1"/>
      </w:tblPr>
      <w:tblGrid>
        <w:gridCol w:w="2234"/>
        <w:gridCol w:w="1202"/>
        <w:gridCol w:w="709"/>
        <w:gridCol w:w="1559"/>
        <w:gridCol w:w="1277"/>
        <w:gridCol w:w="1700"/>
        <w:gridCol w:w="993"/>
        <w:gridCol w:w="19"/>
      </w:tblGrid>
      <w:tr w:rsidR="00E47AA9" w:rsidRPr="00E47AA9" w14:paraId="05FF4F89" w14:textId="77777777" w:rsidTr="003620C7">
        <w:trPr>
          <w:trHeight w:val="20"/>
          <w:tblHeader/>
        </w:trPr>
        <w:tc>
          <w:tcPr>
            <w:tcW w:w="2234" w:type="dxa"/>
            <w:tcBorders>
              <w:bottom w:val="single" w:sz="4" w:space="0" w:color="auto"/>
            </w:tcBorders>
            <w:shd w:val="clear" w:color="000000" w:fill="FFFFFF"/>
          </w:tcPr>
          <w:p w14:paraId="5EC60C5D" w14:textId="77777777" w:rsidR="0012451A" w:rsidRPr="00E47AA9" w:rsidRDefault="0012451A" w:rsidP="003620C7">
            <w:pPr>
              <w:spacing w:after="0" w:line="240" w:lineRule="auto"/>
              <w:jc w:val="right"/>
              <w:rPr>
                <w:rFonts w:ascii="Times New Roman" w:eastAsia="Times New Roman" w:hAnsi="Times New Roman" w:cs="Times New Roman"/>
                <w:sz w:val="20"/>
                <w:szCs w:val="20"/>
                <w:lang w:eastAsia="ru-RU"/>
              </w:rPr>
            </w:pPr>
          </w:p>
        </w:tc>
        <w:tc>
          <w:tcPr>
            <w:tcW w:w="7459" w:type="dxa"/>
            <w:gridSpan w:val="7"/>
            <w:tcBorders>
              <w:bottom w:val="single" w:sz="4" w:space="0" w:color="auto"/>
            </w:tcBorders>
            <w:shd w:val="clear" w:color="000000" w:fill="FFFFFF"/>
            <w:vAlign w:val="center"/>
          </w:tcPr>
          <w:p w14:paraId="6ED53FD9" w14:textId="77777777" w:rsidR="0012451A" w:rsidRPr="00E47AA9" w:rsidRDefault="0012451A" w:rsidP="003620C7">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50871D64" w14:textId="77777777" w:rsidTr="003620C7">
        <w:trPr>
          <w:gridAfter w:val="1"/>
          <w:wAfter w:w="19" w:type="dxa"/>
          <w:cantSplit/>
          <w:trHeight w:val="20"/>
          <w:tblHeader/>
        </w:trPr>
        <w:tc>
          <w:tcPr>
            <w:tcW w:w="3436"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2E9AFD3B"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показателя</w:t>
            </w:r>
          </w:p>
        </w:tc>
        <w:tc>
          <w:tcPr>
            <w:tcW w:w="709"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tcPr>
          <w:p w14:paraId="0AF19EB2" w14:textId="77777777" w:rsidR="0012451A" w:rsidRPr="00E47AA9" w:rsidRDefault="0012451A" w:rsidP="003620C7">
            <w:pPr>
              <w:spacing w:after="0" w:line="240" w:lineRule="auto"/>
              <w:ind w:left="113" w:right="113"/>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Ведомство</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tcPr>
          <w:p w14:paraId="7261D978"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Уточненные бюджетные назначения </w:t>
            </w:r>
          </w:p>
          <w:p w14:paraId="2EE0C363"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 2024 год</w:t>
            </w:r>
          </w:p>
        </w:tc>
        <w:tc>
          <w:tcPr>
            <w:tcW w:w="1277" w:type="dxa"/>
            <w:tcBorders>
              <w:top w:val="single" w:sz="4" w:space="0" w:color="auto"/>
              <w:left w:val="single" w:sz="4" w:space="0" w:color="auto"/>
              <w:bottom w:val="single" w:sz="4" w:space="0" w:color="auto"/>
              <w:right w:val="single" w:sz="4" w:space="0" w:color="auto"/>
            </w:tcBorders>
            <w:shd w:val="clear" w:color="000000" w:fill="FFFFFF"/>
            <w:vAlign w:val="center"/>
          </w:tcPr>
          <w:p w14:paraId="7FB46AED"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Исполнено </w:t>
            </w:r>
          </w:p>
          <w:p w14:paraId="47770E9E"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за 2024 год</w:t>
            </w:r>
          </w:p>
        </w:tc>
        <w:tc>
          <w:tcPr>
            <w:tcW w:w="1700" w:type="dxa"/>
            <w:tcBorders>
              <w:top w:val="single" w:sz="4" w:space="0" w:color="auto"/>
              <w:left w:val="single" w:sz="4" w:space="0" w:color="auto"/>
              <w:bottom w:val="single" w:sz="4" w:space="0" w:color="auto"/>
              <w:right w:val="single" w:sz="4" w:space="0" w:color="auto"/>
            </w:tcBorders>
            <w:shd w:val="clear" w:color="000000" w:fill="FFFFFF"/>
            <w:vAlign w:val="center"/>
          </w:tcPr>
          <w:p w14:paraId="3D789B71"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Неисполненные бюджетные назначения</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56F001EF"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 </w:t>
            </w:r>
            <w:proofErr w:type="spellStart"/>
            <w:proofErr w:type="gramStart"/>
            <w:r w:rsidRPr="00E47AA9">
              <w:rPr>
                <w:rFonts w:ascii="Times New Roman" w:eastAsia="Times New Roman" w:hAnsi="Times New Roman" w:cs="Times New Roman"/>
                <w:sz w:val="20"/>
                <w:szCs w:val="20"/>
                <w:lang w:eastAsia="ru-RU"/>
              </w:rPr>
              <w:t>испол</w:t>
            </w:r>
            <w:proofErr w:type="spellEnd"/>
            <w:r w:rsidRPr="00E47AA9">
              <w:rPr>
                <w:rFonts w:ascii="Times New Roman" w:eastAsia="Times New Roman" w:hAnsi="Times New Roman" w:cs="Times New Roman"/>
                <w:sz w:val="20"/>
                <w:szCs w:val="20"/>
                <w:lang w:eastAsia="ru-RU"/>
              </w:rPr>
              <w:t>-нения</w:t>
            </w:r>
            <w:proofErr w:type="gramEnd"/>
          </w:p>
        </w:tc>
      </w:tr>
      <w:tr w:rsidR="00E47AA9" w:rsidRPr="00E47AA9" w14:paraId="4C59F1AC" w14:textId="77777777" w:rsidTr="003620C7">
        <w:trPr>
          <w:gridAfter w:val="1"/>
          <w:wAfter w:w="19" w:type="dxa"/>
          <w:trHeight w:val="20"/>
        </w:trPr>
        <w:tc>
          <w:tcPr>
            <w:tcW w:w="3436" w:type="dxa"/>
            <w:gridSpan w:val="2"/>
            <w:tcBorders>
              <w:top w:val="single" w:sz="4" w:space="0" w:color="auto"/>
              <w:left w:val="single" w:sz="4" w:space="0" w:color="auto"/>
              <w:bottom w:val="single" w:sz="4" w:space="0" w:color="auto"/>
              <w:right w:val="single" w:sz="4" w:space="0" w:color="auto"/>
            </w:tcBorders>
            <w:shd w:val="clear" w:color="000000" w:fill="FFFFFF"/>
          </w:tcPr>
          <w:p w14:paraId="6A7F70EC" w14:textId="77777777" w:rsidR="0012451A" w:rsidRPr="00E47AA9" w:rsidRDefault="0012451A" w:rsidP="003620C7">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 xml:space="preserve">Расходы по ГП всего, </w:t>
            </w:r>
          </w:p>
          <w:p w14:paraId="361C07A5" w14:textId="77777777" w:rsidR="0012451A" w:rsidRPr="00E47AA9" w:rsidRDefault="0012451A" w:rsidP="003620C7">
            <w:pPr>
              <w:spacing w:after="0" w:line="240" w:lineRule="auto"/>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в том числе по ведомствам</w:t>
            </w:r>
          </w:p>
        </w:tc>
        <w:tc>
          <w:tcPr>
            <w:tcW w:w="709" w:type="dxa"/>
            <w:tcBorders>
              <w:top w:val="single" w:sz="4" w:space="0" w:color="auto"/>
              <w:left w:val="single" w:sz="4" w:space="0" w:color="auto"/>
              <w:bottom w:val="single" w:sz="4" w:space="0" w:color="auto"/>
              <w:right w:val="single" w:sz="4" w:space="0" w:color="auto"/>
            </w:tcBorders>
            <w:vAlign w:val="bottom"/>
          </w:tcPr>
          <w:p w14:paraId="6C5E0CB8" w14:textId="77777777" w:rsidR="0012451A" w:rsidRPr="00E47AA9" w:rsidRDefault="0012451A" w:rsidP="003620C7">
            <w:pPr>
              <w:spacing w:after="0" w:line="240" w:lineRule="auto"/>
              <w:jc w:val="right"/>
              <w:rPr>
                <w:rFonts w:ascii="Times New Roman" w:hAnsi="Times New Roman" w:cs="Times New Roman"/>
                <w:b/>
                <w:bCs/>
                <w:sz w:val="20"/>
                <w:szCs w:val="20"/>
              </w:rPr>
            </w:pPr>
          </w:p>
        </w:tc>
        <w:tc>
          <w:tcPr>
            <w:tcW w:w="1559" w:type="dxa"/>
            <w:tcBorders>
              <w:top w:val="nil"/>
              <w:left w:val="nil"/>
              <w:bottom w:val="single" w:sz="8" w:space="0" w:color="auto"/>
              <w:right w:val="single" w:sz="8" w:space="0" w:color="auto"/>
            </w:tcBorders>
            <w:shd w:val="clear" w:color="auto" w:fill="auto"/>
            <w:vAlign w:val="bottom"/>
          </w:tcPr>
          <w:p w14:paraId="6F1AEF7E" w14:textId="77777777" w:rsidR="0012451A" w:rsidRPr="00E47AA9" w:rsidRDefault="0012451A" w:rsidP="003620C7">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1 371,77</w:t>
            </w:r>
          </w:p>
        </w:tc>
        <w:tc>
          <w:tcPr>
            <w:tcW w:w="1277" w:type="dxa"/>
            <w:tcBorders>
              <w:top w:val="nil"/>
              <w:left w:val="nil"/>
              <w:bottom w:val="single" w:sz="8" w:space="0" w:color="auto"/>
              <w:right w:val="single" w:sz="8" w:space="0" w:color="auto"/>
            </w:tcBorders>
            <w:shd w:val="clear" w:color="auto" w:fill="auto"/>
            <w:vAlign w:val="bottom"/>
          </w:tcPr>
          <w:p w14:paraId="7762B054" w14:textId="77777777" w:rsidR="0012451A" w:rsidRPr="00E47AA9" w:rsidRDefault="0012451A" w:rsidP="003620C7">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1 363,57</w:t>
            </w:r>
          </w:p>
        </w:tc>
        <w:tc>
          <w:tcPr>
            <w:tcW w:w="1700" w:type="dxa"/>
            <w:tcBorders>
              <w:top w:val="nil"/>
              <w:left w:val="nil"/>
              <w:bottom w:val="single" w:sz="8" w:space="0" w:color="auto"/>
              <w:right w:val="single" w:sz="8" w:space="0" w:color="auto"/>
            </w:tcBorders>
            <w:shd w:val="clear" w:color="auto" w:fill="auto"/>
            <w:vAlign w:val="bottom"/>
          </w:tcPr>
          <w:p w14:paraId="20137496" w14:textId="77777777" w:rsidR="0012451A" w:rsidRPr="00E47AA9" w:rsidRDefault="0012451A" w:rsidP="003620C7">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8,20</w:t>
            </w:r>
          </w:p>
        </w:tc>
        <w:tc>
          <w:tcPr>
            <w:tcW w:w="993" w:type="dxa"/>
            <w:tcBorders>
              <w:top w:val="nil"/>
              <w:left w:val="nil"/>
              <w:bottom w:val="single" w:sz="8" w:space="0" w:color="auto"/>
              <w:right w:val="single" w:sz="8" w:space="0" w:color="auto"/>
            </w:tcBorders>
            <w:shd w:val="clear" w:color="auto" w:fill="auto"/>
            <w:vAlign w:val="bottom"/>
          </w:tcPr>
          <w:p w14:paraId="256C71E4" w14:textId="77777777" w:rsidR="0012451A" w:rsidRPr="00E47AA9" w:rsidRDefault="0012451A" w:rsidP="003620C7">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99,40</w:t>
            </w:r>
          </w:p>
        </w:tc>
      </w:tr>
      <w:tr w:rsidR="00E47AA9" w:rsidRPr="00E47AA9" w14:paraId="6E21F744" w14:textId="77777777" w:rsidTr="003620C7">
        <w:trPr>
          <w:gridAfter w:val="1"/>
          <w:wAfter w:w="19" w:type="dxa"/>
          <w:trHeight w:val="20"/>
        </w:trPr>
        <w:tc>
          <w:tcPr>
            <w:tcW w:w="3436" w:type="dxa"/>
            <w:gridSpan w:val="2"/>
            <w:tcBorders>
              <w:top w:val="single" w:sz="4" w:space="0" w:color="auto"/>
              <w:left w:val="single" w:sz="4" w:space="0" w:color="auto"/>
              <w:bottom w:val="single" w:sz="4" w:space="0" w:color="auto"/>
              <w:right w:val="single" w:sz="4" w:space="0" w:color="auto"/>
            </w:tcBorders>
            <w:shd w:val="clear" w:color="auto" w:fill="auto"/>
          </w:tcPr>
          <w:p w14:paraId="31993604" w14:textId="77777777" w:rsidR="0012451A" w:rsidRPr="00E47AA9" w:rsidRDefault="0012451A" w:rsidP="003620C7">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Правительство Приморского края</w:t>
            </w:r>
          </w:p>
        </w:tc>
        <w:tc>
          <w:tcPr>
            <w:tcW w:w="709" w:type="dxa"/>
            <w:tcBorders>
              <w:top w:val="single" w:sz="4" w:space="0" w:color="auto"/>
              <w:left w:val="single" w:sz="4" w:space="0" w:color="auto"/>
              <w:bottom w:val="single" w:sz="4" w:space="0" w:color="auto"/>
              <w:right w:val="single" w:sz="4" w:space="0" w:color="auto"/>
            </w:tcBorders>
            <w:vAlign w:val="bottom"/>
          </w:tcPr>
          <w:p w14:paraId="5DBA0BD2"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751</w:t>
            </w:r>
          </w:p>
        </w:tc>
        <w:tc>
          <w:tcPr>
            <w:tcW w:w="1559" w:type="dxa"/>
            <w:tcBorders>
              <w:top w:val="nil"/>
              <w:left w:val="nil"/>
              <w:bottom w:val="single" w:sz="8" w:space="0" w:color="auto"/>
              <w:right w:val="single" w:sz="8" w:space="0" w:color="auto"/>
            </w:tcBorders>
            <w:shd w:val="clear" w:color="auto" w:fill="auto"/>
            <w:vAlign w:val="bottom"/>
          </w:tcPr>
          <w:p w14:paraId="4564655C"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0,25</w:t>
            </w:r>
          </w:p>
        </w:tc>
        <w:tc>
          <w:tcPr>
            <w:tcW w:w="1277" w:type="dxa"/>
            <w:tcBorders>
              <w:top w:val="nil"/>
              <w:left w:val="nil"/>
              <w:bottom w:val="single" w:sz="8" w:space="0" w:color="auto"/>
              <w:right w:val="single" w:sz="8" w:space="0" w:color="auto"/>
            </w:tcBorders>
            <w:shd w:val="clear" w:color="auto" w:fill="auto"/>
            <w:vAlign w:val="bottom"/>
          </w:tcPr>
          <w:p w14:paraId="37914DBE"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0,25</w:t>
            </w:r>
          </w:p>
        </w:tc>
        <w:tc>
          <w:tcPr>
            <w:tcW w:w="1700" w:type="dxa"/>
            <w:tcBorders>
              <w:top w:val="nil"/>
              <w:left w:val="nil"/>
              <w:bottom w:val="single" w:sz="8" w:space="0" w:color="auto"/>
              <w:right w:val="single" w:sz="8" w:space="0" w:color="auto"/>
            </w:tcBorders>
            <w:shd w:val="clear" w:color="auto" w:fill="auto"/>
            <w:vAlign w:val="bottom"/>
          </w:tcPr>
          <w:p w14:paraId="5C604B43"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993" w:type="dxa"/>
            <w:tcBorders>
              <w:top w:val="nil"/>
              <w:left w:val="nil"/>
              <w:bottom w:val="single" w:sz="8" w:space="0" w:color="auto"/>
              <w:right w:val="single" w:sz="8" w:space="0" w:color="auto"/>
            </w:tcBorders>
            <w:shd w:val="clear" w:color="auto" w:fill="auto"/>
            <w:vAlign w:val="bottom"/>
          </w:tcPr>
          <w:p w14:paraId="75342FFD"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6650A0BB" w14:textId="77777777" w:rsidTr="003620C7">
        <w:trPr>
          <w:gridAfter w:val="1"/>
          <w:wAfter w:w="19" w:type="dxa"/>
          <w:trHeight w:val="20"/>
        </w:trPr>
        <w:tc>
          <w:tcPr>
            <w:tcW w:w="3436" w:type="dxa"/>
            <w:gridSpan w:val="2"/>
            <w:tcBorders>
              <w:top w:val="single" w:sz="4" w:space="0" w:color="auto"/>
              <w:left w:val="single" w:sz="4" w:space="0" w:color="auto"/>
              <w:bottom w:val="single" w:sz="4" w:space="0" w:color="auto"/>
              <w:right w:val="single" w:sz="4" w:space="0" w:color="auto"/>
            </w:tcBorders>
            <w:shd w:val="clear" w:color="auto" w:fill="auto"/>
          </w:tcPr>
          <w:p w14:paraId="2817DD5F" w14:textId="77777777" w:rsidR="0012451A" w:rsidRPr="00E47AA9" w:rsidRDefault="0012451A" w:rsidP="003620C7">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образования Приморского края</w:t>
            </w:r>
          </w:p>
        </w:tc>
        <w:tc>
          <w:tcPr>
            <w:tcW w:w="709" w:type="dxa"/>
            <w:tcBorders>
              <w:top w:val="single" w:sz="4" w:space="0" w:color="auto"/>
              <w:left w:val="single" w:sz="4" w:space="0" w:color="auto"/>
              <w:bottom w:val="single" w:sz="4" w:space="0" w:color="auto"/>
              <w:right w:val="single" w:sz="4" w:space="0" w:color="auto"/>
            </w:tcBorders>
            <w:vAlign w:val="bottom"/>
          </w:tcPr>
          <w:p w14:paraId="36944E1E"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759</w:t>
            </w:r>
          </w:p>
        </w:tc>
        <w:tc>
          <w:tcPr>
            <w:tcW w:w="1559" w:type="dxa"/>
            <w:tcBorders>
              <w:top w:val="nil"/>
              <w:left w:val="nil"/>
              <w:bottom w:val="single" w:sz="8" w:space="0" w:color="auto"/>
              <w:right w:val="single" w:sz="8" w:space="0" w:color="auto"/>
            </w:tcBorders>
            <w:shd w:val="clear" w:color="auto" w:fill="auto"/>
            <w:vAlign w:val="bottom"/>
          </w:tcPr>
          <w:p w14:paraId="7285AF1C"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2,26</w:t>
            </w:r>
          </w:p>
        </w:tc>
        <w:tc>
          <w:tcPr>
            <w:tcW w:w="1277" w:type="dxa"/>
            <w:tcBorders>
              <w:top w:val="nil"/>
              <w:left w:val="nil"/>
              <w:bottom w:val="single" w:sz="8" w:space="0" w:color="auto"/>
              <w:right w:val="single" w:sz="8" w:space="0" w:color="auto"/>
            </w:tcBorders>
            <w:shd w:val="clear" w:color="auto" w:fill="auto"/>
            <w:vAlign w:val="bottom"/>
          </w:tcPr>
          <w:p w14:paraId="0D9BB9B0"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2,26</w:t>
            </w:r>
          </w:p>
        </w:tc>
        <w:tc>
          <w:tcPr>
            <w:tcW w:w="1700" w:type="dxa"/>
            <w:tcBorders>
              <w:top w:val="nil"/>
              <w:left w:val="nil"/>
              <w:bottom w:val="single" w:sz="8" w:space="0" w:color="auto"/>
              <w:right w:val="single" w:sz="8" w:space="0" w:color="auto"/>
            </w:tcBorders>
            <w:shd w:val="clear" w:color="auto" w:fill="auto"/>
            <w:vAlign w:val="bottom"/>
          </w:tcPr>
          <w:p w14:paraId="2A2F59CC"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993" w:type="dxa"/>
            <w:tcBorders>
              <w:top w:val="nil"/>
              <w:left w:val="nil"/>
              <w:bottom w:val="single" w:sz="8" w:space="0" w:color="auto"/>
              <w:right w:val="single" w:sz="8" w:space="0" w:color="auto"/>
            </w:tcBorders>
            <w:shd w:val="clear" w:color="auto" w:fill="auto"/>
            <w:vAlign w:val="bottom"/>
          </w:tcPr>
          <w:p w14:paraId="7594BE2C"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5A87AEE2" w14:textId="77777777" w:rsidTr="003620C7">
        <w:trPr>
          <w:gridAfter w:val="1"/>
          <w:wAfter w:w="19" w:type="dxa"/>
          <w:trHeight w:val="20"/>
        </w:trPr>
        <w:tc>
          <w:tcPr>
            <w:tcW w:w="3436" w:type="dxa"/>
            <w:gridSpan w:val="2"/>
            <w:tcBorders>
              <w:top w:val="single" w:sz="4" w:space="0" w:color="auto"/>
              <w:left w:val="single" w:sz="4" w:space="0" w:color="auto"/>
              <w:bottom w:val="single" w:sz="4" w:space="0" w:color="auto"/>
              <w:right w:val="single" w:sz="4" w:space="0" w:color="auto"/>
            </w:tcBorders>
            <w:shd w:val="clear" w:color="auto" w:fill="auto"/>
          </w:tcPr>
          <w:p w14:paraId="3E3324CA" w14:textId="77777777" w:rsidR="0012451A" w:rsidRPr="00E47AA9" w:rsidRDefault="0012451A" w:rsidP="003620C7">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труда и социальной политики Приморского края</w:t>
            </w:r>
          </w:p>
        </w:tc>
        <w:tc>
          <w:tcPr>
            <w:tcW w:w="709" w:type="dxa"/>
            <w:tcBorders>
              <w:top w:val="single" w:sz="4" w:space="0" w:color="auto"/>
              <w:left w:val="single" w:sz="4" w:space="0" w:color="auto"/>
              <w:bottom w:val="single" w:sz="4" w:space="0" w:color="auto"/>
              <w:right w:val="single" w:sz="4" w:space="0" w:color="auto"/>
            </w:tcBorders>
            <w:vAlign w:val="bottom"/>
          </w:tcPr>
          <w:p w14:paraId="4B1720B7"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760</w:t>
            </w:r>
          </w:p>
        </w:tc>
        <w:tc>
          <w:tcPr>
            <w:tcW w:w="1559" w:type="dxa"/>
            <w:tcBorders>
              <w:top w:val="nil"/>
              <w:left w:val="nil"/>
              <w:bottom w:val="single" w:sz="8" w:space="0" w:color="auto"/>
              <w:right w:val="single" w:sz="8" w:space="0" w:color="auto"/>
            </w:tcBorders>
            <w:shd w:val="clear" w:color="auto" w:fill="auto"/>
            <w:vAlign w:val="bottom"/>
          </w:tcPr>
          <w:p w14:paraId="514EE352"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0,13</w:t>
            </w:r>
          </w:p>
        </w:tc>
        <w:tc>
          <w:tcPr>
            <w:tcW w:w="1277" w:type="dxa"/>
            <w:tcBorders>
              <w:top w:val="nil"/>
              <w:left w:val="nil"/>
              <w:bottom w:val="single" w:sz="8" w:space="0" w:color="auto"/>
              <w:right w:val="single" w:sz="8" w:space="0" w:color="auto"/>
            </w:tcBorders>
            <w:shd w:val="clear" w:color="auto" w:fill="auto"/>
            <w:vAlign w:val="bottom"/>
          </w:tcPr>
          <w:p w14:paraId="5A73AEA2"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0,13</w:t>
            </w:r>
          </w:p>
        </w:tc>
        <w:tc>
          <w:tcPr>
            <w:tcW w:w="1700" w:type="dxa"/>
            <w:tcBorders>
              <w:top w:val="nil"/>
              <w:left w:val="nil"/>
              <w:bottom w:val="single" w:sz="8" w:space="0" w:color="auto"/>
              <w:right w:val="single" w:sz="8" w:space="0" w:color="auto"/>
            </w:tcBorders>
            <w:shd w:val="clear" w:color="auto" w:fill="auto"/>
            <w:vAlign w:val="bottom"/>
          </w:tcPr>
          <w:p w14:paraId="22FF61A2"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993" w:type="dxa"/>
            <w:tcBorders>
              <w:top w:val="nil"/>
              <w:left w:val="nil"/>
              <w:bottom w:val="single" w:sz="8" w:space="0" w:color="auto"/>
              <w:right w:val="single" w:sz="8" w:space="0" w:color="auto"/>
            </w:tcBorders>
            <w:shd w:val="clear" w:color="auto" w:fill="auto"/>
            <w:vAlign w:val="bottom"/>
          </w:tcPr>
          <w:p w14:paraId="3A514317"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6940C866" w14:textId="77777777" w:rsidTr="003620C7">
        <w:trPr>
          <w:gridAfter w:val="1"/>
          <w:wAfter w:w="19" w:type="dxa"/>
          <w:trHeight w:val="20"/>
        </w:trPr>
        <w:tc>
          <w:tcPr>
            <w:tcW w:w="3436" w:type="dxa"/>
            <w:gridSpan w:val="2"/>
            <w:tcBorders>
              <w:top w:val="single" w:sz="4" w:space="0" w:color="auto"/>
              <w:left w:val="single" w:sz="4" w:space="0" w:color="auto"/>
              <w:bottom w:val="single" w:sz="4" w:space="0" w:color="auto"/>
              <w:right w:val="single" w:sz="4" w:space="0" w:color="auto"/>
            </w:tcBorders>
            <w:shd w:val="clear" w:color="auto" w:fill="auto"/>
          </w:tcPr>
          <w:p w14:paraId="224CF2AA" w14:textId="77777777" w:rsidR="0012451A" w:rsidRPr="00E47AA9" w:rsidRDefault="0012451A" w:rsidP="003620C7">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здравоохранения Приморского края</w:t>
            </w:r>
          </w:p>
        </w:tc>
        <w:tc>
          <w:tcPr>
            <w:tcW w:w="709" w:type="dxa"/>
            <w:tcBorders>
              <w:top w:val="single" w:sz="4" w:space="0" w:color="auto"/>
              <w:left w:val="single" w:sz="4" w:space="0" w:color="auto"/>
              <w:bottom w:val="single" w:sz="4" w:space="0" w:color="auto"/>
              <w:right w:val="single" w:sz="4" w:space="0" w:color="auto"/>
            </w:tcBorders>
            <w:vAlign w:val="bottom"/>
          </w:tcPr>
          <w:p w14:paraId="7D062012"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761</w:t>
            </w:r>
          </w:p>
        </w:tc>
        <w:tc>
          <w:tcPr>
            <w:tcW w:w="1559" w:type="dxa"/>
            <w:tcBorders>
              <w:top w:val="nil"/>
              <w:left w:val="nil"/>
              <w:bottom w:val="single" w:sz="8" w:space="0" w:color="auto"/>
              <w:right w:val="single" w:sz="8" w:space="0" w:color="auto"/>
            </w:tcBorders>
            <w:shd w:val="clear" w:color="auto" w:fill="auto"/>
            <w:vAlign w:val="bottom"/>
          </w:tcPr>
          <w:p w14:paraId="6F095B35"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43,98</w:t>
            </w:r>
          </w:p>
        </w:tc>
        <w:tc>
          <w:tcPr>
            <w:tcW w:w="1277" w:type="dxa"/>
            <w:tcBorders>
              <w:top w:val="nil"/>
              <w:left w:val="nil"/>
              <w:bottom w:val="single" w:sz="8" w:space="0" w:color="auto"/>
              <w:right w:val="single" w:sz="8" w:space="0" w:color="auto"/>
            </w:tcBorders>
            <w:shd w:val="clear" w:color="auto" w:fill="auto"/>
            <w:vAlign w:val="bottom"/>
          </w:tcPr>
          <w:p w14:paraId="54FCE615"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43,98</w:t>
            </w:r>
          </w:p>
        </w:tc>
        <w:tc>
          <w:tcPr>
            <w:tcW w:w="1700" w:type="dxa"/>
            <w:tcBorders>
              <w:top w:val="nil"/>
              <w:left w:val="nil"/>
              <w:bottom w:val="single" w:sz="8" w:space="0" w:color="auto"/>
              <w:right w:val="single" w:sz="8" w:space="0" w:color="auto"/>
            </w:tcBorders>
            <w:shd w:val="clear" w:color="auto" w:fill="auto"/>
            <w:vAlign w:val="bottom"/>
          </w:tcPr>
          <w:p w14:paraId="051387C7"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993" w:type="dxa"/>
            <w:tcBorders>
              <w:top w:val="nil"/>
              <w:left w:val="nil"/>
              <w:bottom w:val="single" w:sz="8" w:space="0" w:color="auto"/>
              <w:right w:val="single" w:sz="8" w:space="0" w:color="auto"/>
            </w:tcBorders>
            <w:shd w:val="clear" w:color="auto" w:fill="auto"/>
            <w:vAlign w:val="bottom"/>
          </w:tcPr>
          <w:p w14:paraId="594C9018"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0C31CB83" w14:textId="77777777" w:rsidTr="003620C7">
        <w:trPr>
          <w:gridAfter w:val="1"/>
          <w:wAfter w:w="19" w:type="dxa"/>
          <w:trHeight w:val="20"/>
        </w:trPr>
        <w:tc>
          <w:tcPr>
            <w:tcW w:w="3436" w:type="dxa"/>
            <w:gridSpan w:val="2"/>
            <w:tcBorders>
              <w:top w:val="single" w:sz="4" w:space="0" w:color="auto"/>
              <w:left w:val="single" w:sz="4" w:space="0" w:color="auto"/>
              <w:bottom w:val="single" w:sz="4" w:space="0" w:color="auto"/>
              <w:right w:val="single" w:sz="4" w:space="0" w:color="auto"/>
            </w:tcBorders>
            <w:shd w:val="clear" w:color="auto" w:fill="auto"/>
          </w:tcPr>
          <w:p w14:paraId="7554EF88" w14:textId="77777777" w:rsidR="0012451A" w:rsidRPr="00E47AA9" w:rsidRDefault="0012451A" w:rsidP="003620C7">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департамент информационной политики Приморского края</w:t>
            </w:r>
          </w:p>
        </w:tc>
        <w:tc>
          <w:tcPr>
            <w:tcW w:w="709" w:type="dxa"/>
            <w:tcBorders>
              <w:top w:val="single" w:sz="4" w:space="0" w:color="auto"/>
              <w:left w:val="single" w:sz="4" w:space="0" w:color="auto"/>
              <w:bottom w:val="single" w:sz="4" w:space="0" w:color="auto"/>
              <w:right w:val="single" w:sz="4" w:space="0" w:color="auto"/>
            </w:tcBorders>
            <w:vAlign w:val="bottom"/>
          </w:tcPr>
          <w:p w14:paraId="5676259F"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771</w:t>
            </w:r>
          </w:p>
        </w:tc>
        <w:tc>
          <w:tcPr>
            <w:tcW w:w="1559" w:type="dxa"/>
            <w:tcBorders>
              <w:top w:val="nil"/>
              <w:left w:val="nil"/>
              <w:bottom w:val="single" w:sz="8" w:space="0" w:color="auto"/>
              <w:right w:val="single" w:sz="8" w:space="0" w:color="auto"/>
            </w:tcBorders>
            <w:shd w:val="clear" w:color="auto" w:fill="auto"/>
            <w:vAlign w:val="bottom"/>
          </w:tcPr>
          <w:p w14:paraId="0D8E304A"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16,96</w:t>
            </w:r>
          </w:p>
        </w:tc>
        <w:tc>
          <w:tcPr>
            <w:tcW w:w="1277" w:type="dxa"/>
            <w:tcBorders>
              <w:top w:val="nil"/>
              <w:left w:val="nil"/>
              <w:bottom w:val="single" w:sz="8" w:space="0" w:color="auto"/>
              <w:right w:val="single" w:sz="8" w:space="0" w:color="auto"/>
            </w:tcBorders>
            <w:shd w:val="clear" w:color="auto" w:fill="auto"/>
            <w:vAlign w:val="bottom"/>
          </w:tcPr>
          <w:p w14:paraId="22DF2D19"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16,96</w:t>
            </w:r>
          </w:p>
        </w:tc>
        <w:tc>
          <w:tcPr>
            <w:tcW w:w="1700" w:type="dxa"/>
            <w:tcBorders>
              <w:top w:val="nil"/>
              <w:left w:val="nil"/>
              <w:bottom w:val="single" w:sz="8" w:space="0" w:color="auto"/>
              <w:right w:val="single" w:sz="8" w:space="0" w:color="auto"/>
            </w:tcBorders>
            <w:shd w:val="clear" w:color="auto" w:fill="auto"/>
            <w:vAlign w:val="bottom"/>
          </w:tcPr>
          <w:p w14:paraId="66D1E3FB"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993" w:type="dxa"/>
            <w:tcBorders>
              <w:top w:val="nil"/>
              <w:left w:val="nil"/>
              <w:bottom w:val="single" w:sz="8" w:space="0" w:color="auto"/>
              <w:right w:val="single" w:sz="8" w:space="0" w:color="auto"/>
            </w:tcBorders>
            <w:shd w:val="clear" w:color="auto" w:fill="auto"/>
            <w:vAlign w:val="bottom"/>
          </w:tcPr>
          <w:p w14:paraId="1D241477"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6557DBDA" w14:textId="77777777" w:rsidTr="003620C7">
        <w:trPr>
          <w:gridAfter w:val="1"/>
          <w:wAfter w:w="19" w:type="dxa"/>
          <w:trHeight w:val="20"/>
        </w:trPr>
        <w:tc>
          <w:tcPr>
            <w:tcW w:w="3436" w:type="dxa"/>
            <w:gridSpan w:val="2"/>
            <w:tcBorders>
              <w:top w:val="single" w:sz="4" w:space="0" w:color="auto"/>
              <w:left w:val="single" w:sz="4" w:space="0" w:color="auto"/>
              <w:bottom w:val="single" w:sz="4" w:space="0" w:color="auto"/>
              <w:right w:val="single" w:sz="4" w:space="0" w:color="auto"/>
            </w:tcBorders>
            <w:shd w:val="clear" w:color="auto" w:fill="auto"/>
          </w:tcPr>
          <w:p w14:paraId="6D590F7E" w14:textId="77777777" w:rsidR="0012451A" w:rsidRPr="00E47AA9" w:rsidRDefault="0012451A" w:rsidP="003620C7">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агентство по делам молодежи Приморского края</w:t>
            </w:r>
          </w:p>
        </w:tc>
        <w:tc>
          <w:tcPr>
            <w:tcW w:w="709" w:type="dxa"/>
            <w:tcBorders>
              <w:top w:val="single" w:sz="4" w:space="0" w:color="auto"/>
              <w:left w:val="single" w:sz="4" w:space="0" w:color="auto"/>
              <w:bottom w:val="single" w:sz="4" w:space="0" w:color="auto"/>
              <w:right w:val="single" w:sz="4" w:space="0" w:color="auto"/>
            </w:tcBorders>
            <w:vAlign w:val="bottom"/>
          </w:tcPr>
          <w:p w14:paraId="0CB449BD"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774</w:t>
            </w:r>
          </w:p>
        </w:tc>
        <w:tc>
          <w:tcPr>
            <w:tcW w:w="1559" w:type="dxa"/>
            <w:tcBorders>
              <w:top w:val="nil"/>
              <w:left w:val="nil"/>
              <w:bottom w:val="single" w:sz="8" w:space="0" w:color="auto"/>
              <w:right w:val="single" w:sz="8" w:space="0" w:color="auto"/>
            </w:tcBorders>
            <w:shd w:val="clear" w:color="auto" w:fill="auto"/>
            <w:vAlign w:val="bottom"/>
          </w:tcPr>
          <w:p w14:paraId="7B7D9FF6"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0,70</w:t>
            </w:r>
          </w:p>
        </w:tc>
        <w:tc>
          <w:tcPr>
            <w:tcW w:w="1277" w:type="dxa"/>
            <w:tcBorders>
              <w:top w:val="nil"/>
              <w:left w:val="nil"/>
              <w:bottom w:val="single" w:sz="8" w:space="0" w:color="auto"/>
              <w:right w:val="single" w:sz="8" w:space="0" w:color="auto"/>
            </w:tcBorders>
            <w:shd w:val="clear" w:color="auto" w:fill="auto"/>
            <w:vAlign w:val="bottom"/>
          </w:tcPr>
          <w:p w14:paraId="1D6EAB70"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700" w:type="dxa"/>
            <w:tcBorders>
              <w:top w:val="nil"/>
              <w:left w:val="nil"/>
              <w:bottom w:val="single" w:sz="8" w:space="0" w:color="auto"/>
              <w:right w:val="single" w:sz="8" w:space="0" w:color="auto"/>
            </w:tcBorders>
            <w:shd w:val="clear" w:color="auto" w:fill="auto"/>
            <w:vAlign w:val="bottom"/>
          </w:tcPr>
          <w:p w14:paraId="39B39FF6"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0,70</w:t>
            </w:r>
          </w:p>
        </w:tc>
        <w:tc>
          <w:tcPr>
            <w:tcW w:w="993" w:type="dxa"/>
            <w:tcBorders>
              <w:top w:val="nil"/>
              <w:left w:val="nil"/>
              <w:bottom w:val="single" w:sz="8" w:space="0" w:color="auto"/>
              <w:right w:val="single" w:sz="8" w:space="0" w:color="auto"/>
            </w:tcBorders>
            <w:shd w:val="clear" w:color="auto" w:fill="auto"/>
            <w:vAlign w:val="bottom"/>
          </w:tcPr>
          <w:p w14:paraId="3B0C63A7"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r>
      <w:tr w:rsidR="00E47AA9" w:rsidRPr="00E47AA9" w14:paraId="60D3FDFA" w14:textId="77777777" w:rsidTr="003620C7">
        <w:trPr>
          <w:gridAfter w:val="1"/>
          <w:wAfter w:w="19" w:type="dxa"/>
          <w:trHeight w:val="20"/>
        </w:trPr>
        <w:tc>
          <w:tcPr>
            <w:tcW w:w="3436" w:type="dxa"/>
            <w:gridSpan w:val="2"/>
            <w:tcBorders>
              <w:top w:val="single" w:sz="4" w:space="0" w:color="auto"/>
              <w:left w:val="single" w:sz="4" w:space="0" w:color="auto"/>
              <w:bottom w:val="single" w:sz="4" w:space="0" w:color="auto"/>
              <w:right w:val="single" w:sz="4" w:space="0" w:color="auto"/>
            </w:tcBorders>
            <w:shd w:val="clear" w:color="auto" w:fill="auto"/>
          </w:tcPr>
          <w:p w14:paraId="769A2065" w14:textId="77777777" w:rsidR="0012451A" w:rsidRPr="00E47AA9" w:rsidRDefault="0012451A" w:rsidP="003620C7">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строительства Приморского края</w:t>
            </w:r>
          </w:p>
        </w:tc>
        <w:tc>
          <w:tcPr>
            <w:tcW w:w="709" w:type="dxa"/>
            <w:tcBorders>
              <w:top w:val="single" w:sz="4" w:space="0" w:color="auto"/>
              <w:left w:val="single" w:sz="4" w:space="0" w:color="auto"/>
              <w:bottom w:val="single" w:sz="4" w:space="0" w:color="auto"/>
              <w:right w:val="single" w:sz="4" w:space="0" w:color="auto"/>
            </w:tcBorders>
            <w:vAlign w:val="bottom"/>
          </w:tcPr>
          <w:p w14:paraId="11D9B99B"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775</w:t>
            </w:r>
          </w:p>
        </w:tc>
        <w:tc>
          <w:tcPr>
            <w:tcW w:w="1559" w:type="dxa"/>
            <w:tcBorders>
              <w:top w:val="nil"/>
              <w:left w:val="nil"/>
              <w:bottom w:val="single" w:sz="8" w:space="0" w:color="auto"/>
              <w:right w:val="single" w:sz="8" w:space="0" w:color="auto"/>
            </w:tcBorders>
            <w:shd w:val="clear" w:color="auto" w:fill="auto"/>
            <w:vAlign w:val="bottom"/>
          </w:tcPr>
          <w:p w14:paraId="68B22CF9"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0,06</w:t>
            </w:r>
          </w:p>
        </w:tc>
        <w:tc>
          <w:tcPr>
            <w:tcW w:w="1277" w:type="dxa"/>
            <w:tcBorders>
              <w:top w:val="nil"/>
              <w:left w:val="nil"/>
              <w:bottom w:val="single" w:sz="8" w:space="0" w:color="auto"/>
              <w:right w:val="single" w:sz="8" w:space="0" w:color="auto"/>
            </w:tcBorders>
            <w:shd w:val="clear" w:color="auto" w:fill="auto"/>
            <w:vAlign w:val="bottom"/>
          </w:tcPr>
          <w:p w14:paraId="1674391B"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0,06</w:t>
            </w:r>
          </w:p>
        </w:tc>
        <w:tc>
          <w:tcPr>
            <w:tcW w:w="1700" w:type="dxa"/>
            <w:tcBorders>
              <w:top w:val="nil"/>
              <w:left w:val="nil"/>
              <w:bottom w:val="single" w:sz="8" w:space="0" w:color="auto"/>
              <w:right w:val="single" w:sz="8" w:space="0" w:color="auto"/>
            </w:tcBorders>
            <w:shd w:val="clear" w:color="auto" w:fill="auto"/>
            <w:vAlign w:val="bottom"/>
          </w:tcPr>
          <w:p w14:paraId="03BF82D3"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0,00 </w:t>
            </w:r>
          </w:p>
        </w:tc>
        <w:tc>
          <w:tcPr>
            <w:tcW w:w="993" w:type="dxa"/>
            <w:tcBorders>
              <w:top w:val="nil"/>
              <w:left w:val="nil"/>
              <w:bottom w:val="single" w:sz="8" w:space="0" w:color="auto"/>
              <w:right w:val="single" w:sz="8" w:space="0" w:color="auto"/>
            </w:tcBorders>
            <w:shd w:val="clear" w:color="auto" w:fill="auto"/>
            <w:vAlign w:val="bottom"/>
          </w:tcPr>
          <w:p w14:paraId="650A8D1A"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100,00 </w:t>
            </w:r>
          </w:p>
        </w:tc>
      </w:tr>
      <w:tr w:rsidR="00E47AA9" w:rsidRPr="00E47AA9" w14:paraId="531F285E" w14:textId="77777777" w:rsidTr="003620C7">
        <w:trPr>
          <w:gridAfter w:val="1"/>
          <w:wAfter w:w="19" w:type="dxa"/>
          <w:trHeight w:val="20"/>
        </w:trPr>
        <w:tc>
          <w:tcPr>
            <w:tcW w:w="3436" w:type="dxa"/>
            <w:gridSpan w:val="2"/>
            <w:tcBorders>
              <w:top w:val="single" w:sz="4" w:space="0" w:color="auto"/>
              <w:left w:val="single" w:sz="4" w:space="0" w:color="auto"/>
              <w:bottom w:val="single" w:sz="4" w:space="0" w:color="auto"/>
              <w:right w:val="single" w:sz="4" w:space="0" w:color="auto"/>
            </w:tcBorders>
            <w:shd w:val="clear" w:color="auto" w:fill="auto"/>
          </w:tcPr>
          <w:p w14:paraId="3FC3505D" w14:textId="77777777" w:rsidR="0012451A" w:rsidRPr="00E47AA9" w:rsidRDefault="0012451A" w:rsidP="003620C7">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департамент по координации правоохранительной деятельности, исполнения административного законодательства и обеспечения деятельности мировых судей Приморского края</w:t>
            </w:r>
          </w:p>
        </w:tc>
        <w:tc>
          <w:tcPr>
            <w:tcW w:w="709" w:type="dxa"/>
            <w:tcBorders>
              <w:top w:val="single" w:sz="4" w:space="0" w:color="auto"/>
              <w:left w:val="single" w:sz="4" w:space="0" w:color="auto"/>
              <w:bottom w:val="single" w:sz="4" w:space="0" w:color="auto"/>
              <w:right w:val="single" w:sz="4" w:space="0" w:color="auto"/>
            </w:tcBorders>
            <w:vAlign w:val="bottom"/>
          </w:tcPr>
          <w:p w14:paraId="42EED2E1"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785</w:t>
            </w:r>
          </w:p>
        </w:tc>
        <w:tc>
          <w:tcPr>
            <w:tcW w:w="1559" w:type="dxa"/>
            <w:tcBorders>
              <w:top w:val="nil"/>
              <w:left w:val="nil"/>
              <w:bottom w:val="single" w:sz="8" w:space="0" w:color="auto"/>
              <w:right w:val="single" w:sz="8" w:space="0" w:color="auto"/>
            </w:tcBorders>
            <w:shd w:val="clear" w:color="auto" w:fill="auto"/>
            <w:vAlign w:val="bottom"/>
          </w:tcPr>
          <w:p w14:paraId="5F1CEC6F"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1 306,16</w:t>
            </w:r>
          </w:p>
        </w:tc>
        <w:tc>
          <w:tcPr>
            <w:tcW w:w="1277" w:type="dxa"/>
            <w:tcBorders>
              <w:top w:val="nil"/>
              <w:left w:val="nil"/>
              <w:bottom w:val="single" w:sz="8" w:space="0" w:color="auto"/>
              <w:right w:val="single" w:sz="8" w:space="0" w:color="auto"/>
            </w:tcBorders>
            <w:shd w:val="clear" w:color="auto" w:fill="auto"/>
            <w:vAlign w:val="bottom"/>
          </w:tcPr>
          <w:p w14:paraId="73A75156"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1 298,66</w:t>
            </w:r>
          </w:p>
        </w:tc>
        <w:tc>
          <w:tcPr>
            <w:tcW w:w="1700" w:type="dxa"/>
            <w:tcBorders>
              <w:top w:val="nil"/>
              <w:left w:val="nil"/>
              <w:bottom w:val="single" w:sz="8" w:space="0" w:color="auto"/>
              <w:right w:val="single" w:sz="8" w:space="0" w:color="auto"/>
            </w:tcBorders>
            <w:shd w:val="clear" w:color="auto" w:fill="auto"/>
            <w:vAlign w:val="bottom"/>
          </w:tcPr>
          <w:p w14:paraId="74E84979"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7,50</w:t>
            </w:r>
          </w:p>
        </w:tc>
        <w:tc>
          <w:tcPr>
            <w:tcW w:w="993" w:type="dxa"/>
            <w:tcBorders>
              <w:top w:val="nil"/>
              <w:left w:val="nil"/>
              <w:bottom w:val="single" w:sz="8" w:space="0" w:color="auto"/>
              <w:right w:val="single" w:sz="8" w:space="0" w:color="auto"/>
            </w:tcBorders>
            <w:shd w:val="clear" w:color="auto" w:fill="auto"/>
            <w:vAlign w:val="bottom"/>
          </w:tcPr>
          <w:p w14:paraId="0E57A344"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99,43</w:t>
            </w:r>
          </w:p>
        </w:tc>
      </w:tr>
      <w:tr w:rsidR="0012451A" w:rsidRPr="00E47AA9" w14:paraId="5B485403" w14:textId="77777777" w:rsidTr="003620C7">
        <w:trPr>
          <w:gridAfter w:val="1"/>
          <w:wAfter w:w="19" w:type="dxa"/>
          <w:trHeight w:val="20"/>
        </w:trPr>
        <w:tc>
          <w:tcPr>
            <w:tcW w:w="3436" w:type="dxa"/>
            <w:gridSpan w:val="2"/>
            <w:tcBorders>
              <w:top w:val="single" w:sz="4" w:space="0" w:color="auto"/>
              <w:left w:val="single" w:sz="4" w:space="0" w:color="auto"/>
              <w:bottom w:val="single" w:sz="4" w:space="0" w:color="auto"/>
              <w:right w:val="single" w:sz="4" w:space="0" w:color="auto"/>
            </w:tcBorders>
            <w:shd w:val="clear" w:color="auto" w:fill="auto"/>
          </w:tcPr>
          <w:p w14:paraId="6D5C6E9E" w14:textId="77777777" w:rsidR="0012451A" w:rsidRPr="00E47AA9" w:rsidRDefault="0012451A" w:rsidP="003620C7">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министерство культуры и архивного дела Приморского края</w:t>
            </w:r>
          </w:p>
        </w:tc>
        <w:tc>
          <w:tcPr>
            <w:tcW w:w="709" w:type="dxa"/>
            <w:tcBorders>
              <w:top w:val="single" w:sz="4" w:space="0" w:color="auto"/>
              <w:left w:val="single" w:sz="4" w:space="0" w:color="auto"/>
              <w:bottom w:val="single" w:sz="4" w:space="0" w:color="auto"/>
              <w:right w:val="single" w:sz="4" w:space="0" w:color="auto"/>
            </w:tcBorders>
            <w:vAlign w:val="bottom"/>
          </w:tcPr>
          <w:p w14:paraId="0E0CA6C0"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806</w:t>
            </w:r>
          </w:p>
        </w:tc>
        <w:tc>
          <w:tcPr>
            <w:tcW w:w="1559" w:type="dxa"/>
            <w:tcBorders>
              <w:top w:val="nil"/>
              <w:left w:val="nil"/>
              <w:bottom w:val="single" w:sz="8" w:space="0" w:color="auto"/>
              <w:right w:val="single" w:sz="8" w:space="0" w:color="auto"/>
            </w:tcBorders>
            <w:shd w:val="clear" w:color="auto" w:fill="auto"/>
            <w:vAlign w:val="bottom"/>
          </w:tcPr>
          <w:p w14:paraId="1665D743"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1,28</w:t>
            </w:r>
          </w:p>
        </w:tc>
        <w:tc>
          <w:tcPr>
            <w:tcW w:w="1277" w:type="dxa"/>
            <w:tcBorders>
              <w:top w:val="nil"/>
              <w:left w:val="nil"/>
              <w:bottom w:val="single" w:sz="8" w:space="0" w:color="auto"/>
              <w:right w:val="single" w:sz="8" w:space="0" w:color="auto"/>
            </w:tcBorders>
            <w:shd w:val="clear" w:color="auto" w:fill="auto"/>
            <w:vAlign w:val="bottom"/>
          </w:tcPr>
          <w:p w14:paraId="5BFFF211"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1,28</w:t>
            </w:r>
          </w:p>
        </w:tc>
        <w:tc>
          <w:tcPr>
            <w:tcW w:w="1700" w:type="dxa"/>
            <w:tcBorders>
              <w:top w:val="nil"/>
              <w:left w:val="nil"/>
              <w:bottom w:val="single" w:sz="8" w:space="0" w:color="auto"/>
              <w:right w:val="single" w:sz="8" w:space="0" w:color="auto"/>
            </w:tcBorders>
            <w:shd w:val="clear" w:color="auto" w:fill="auto"/>
            <w:vAlign w:val="bottom"/>
          </w:tcPr>
          <w:p w14:paraId="04F65005"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993" w:type="dxa"/>
            <w:tcBorders>
              <w:top w:val="nil"/>
              <w:left w:val="nil"/>
              <w:bottom w:val="single" w:sz="8" w:space="0" w:color="auto"/>
              <w:right w:val="single" w:sz="8" w:space="0" w:color="auto"/>
            </w:tcBorders>
            <w:shd w:val="clear" w:color="auto" w:fill="auto"/>
            <w:vAlign w:val="bottom"/>
          </w:tcPr>
          <w:p w14:paraId="78687B1F"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bl>
    <w:p w14:paraId="00CBEBC2" w14:textId="77777777" w:rsidR="0012451A" w:rsidRPr="00E47AA9" w:rsidRDefault="0012451A" w:rsidP="0012451A">
      <w:pPr>
        <w:spacing w:after="0" w:line="240" w:lineRule="auto"/>
        <w:rPr>
          <w:rFonts w:ascii="Times New Roman" w:eastAsia="Calibri" w:hAnsi="Times New Roman" w:cs="Times New Roman"/>
        </w:rPr>
      </w:pPr>
    </w:p>
    <w:p w14:paraId="2A201DD6" w14:textId="77777777" w:rsidR="0012451A" w:rsidRPr="00E47AA9" w:rsidRDefault="0012451A" w:rsidP="0012451A">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Исполнение ГП в 2024 году по структурным элементам представлено в таблице.</w:t>
      </w:r>
    </w:p>
    <w:tbl>
      <w:tblPr>
        <w:tblW w:w="9572" w:type="dxa"/>
        <w:tblInd w:w="-34" w:type="dxa"/>
        <w:tblLook w:val="04A0" w:firstRow="1" w:lastRow="0" w:firstColumn="1" w:lastColumn="0" w:noHBand="0" w:noVBand="1"/>
      </w:tblPr>
      <w:tblGrid>
        <w:gridCol w:w="3970"/>
        <w:gridCol w:w="1559"/>
        <w:gridCol w:w="1417"/>
        <w:gridCol w:w="1560"/>
        <w:gridCol w:w="1066"/>
      </w:tblGrid>
      <w:tr w:rsidR="00E47AA9" w:rsidRPr="00E47AA9" w14:paraId="66689DF2" w14:textId="77777777" w:rsidTr="003620C7">
        <w:trPr>
          <w:trHeight w:val="20"/>
          <w:tblHeader/>
        </w:trPr>
        <w:tc>
          <w:tcPr>
            <w:tcW w:w="3970" w:type="dxa"/>
            <w:tcBorders>
              <w:bottom w:val="single" w:sz="4" w:space="0" w:color="auto"/>
            </w:tcBorders>
            <w:shd w:val="clear" w:color="000000" w:fill="FFFFFF"/>
            <w:vAlign w:val="center"/>
          </w:tcPr>
          <w:p w14:paraId="2D25629A"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p>
        </w:tc>
        <w:tc>
          <w:tcPr>
            <w:tcW w:w="1559" w:type="dxa"/>
            <w:tcBorders>
              <w:bottom w:val="single" w:sz="4" w:space="0" w:color="auto"/>
            </w:tcBorders>
            <w:shd w:val="clear" w:color="000000" w:fill="FFFFFF"/>
            <w:vAlign w:val="center"/>
          </w:tcPr>
          <w:p w14:paraId="0E447458"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p>
        </w:tc>
        <w:tc>
          <w:tcPr>
            <w:tcW w:w="1417" w:type="dxa"/>
            <w:tcBorders>
              <w:bottom w:val="single" w:sz="4" w:space="0" w:color="auto"/>
            </w:tcBorders>
            <w:shd w:val="clear" w:color="000000" w:fill="FFFFFF"/>
            <w:vAlign w:val="center"/>
          </w:tcPr>
          <w:p w14:paraId="73300D40"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p>
        </w:tc>
        <w:tc>
          <w:tcPr>
            <w:tcW w:w="2626" w:type="dxa"/>
            <w:gridSpan w:val="2"/>
            <w:tcBorders>
              <w:bottom w:val="single" w:sz="4" w:space="0" w:color="auto"/>
            </w:tcBorders>
            <w:shd w:val="clear" w:color="000000" w:fill="FFFFFF"/>
            <w:vAlign w:val="center"/>
          </w:tcPr>
          <w:p w14:paraId="15793811" w14:textId="77777777" w:rsidR="0012451A" w:rsidRPr="00E47AA9" w:rsidRDefault="0012451A" w:rsidP="003620C7">
            <w:pPr>
              <w:spacing w:after="0" w:line="240" w:lineRule="auto"/>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77E42D8F" w14:textId="77777777" w:rsidTr="003620C7">
        <w:trPr>
          <w:trHeight w:val="20"/>
          <w:tblHeader/>
        </w:trPr>
        <w:tc>
          <w:tcPr>
            <w:tcW w:w="397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680287A"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подпрограммы</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14:paraId="0D9DA8D0"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Уточненные бюджетные назначения </w:t>
            </w:r>
          </w:p>
          <w:p w14:paraId="7461FAE4"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 2024 год</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14:paraId="6DE2FA08"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Исполнено </w:t>
            </w:r>
          </w:p>
          <w:p w14:paraId="379EF2D4"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за 2024 год</w:t>
            </w:r>
          </w:p>
        </w:tc>
        <w:tc>
          <w:tcPr>
            <w:tcW w:w="1560" w:type="dxa"/>
            <w:tcBorders>
              <w:top w:val="single" w:sz="4" w:space="0" w:color="auto"/>
              <w:left w:val="nil"/>
              <w:bottom w:val="single" w:sz="4" w:space="0" w:color="auto"/>
              <w:right w:val="single" w:sz="4" w:space="0" w:color="auto"/>
            </w:tcBorders>
            <w:shd w:val="clear" w:color="000000" w:fill="FFFFFF"/>
            <w:vAlign w:val="center"/>
            <w:hideMark/>
          </w:tcPr>
          <w:p w14:paraId="67D67479"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c>
          <w:tcPr>
            <w:tcW w:w="1066" w:type="dxa"/>
            <w:tcBorders>
              <w:top w:val="single" w:sz="4" w:space="0" w:color="auto"/>
              <w:left w:val="nil"/>
              <w:bottom w:val="single" w:sz="4" w:space="0" w:color="auto"/>
              <w:right w:val="single" w:sz="4" w:space="0" w:color="auto"/>
            </w:tcBorders>
            <w:shd w:val="clear" w:color="000000" w:fill="FFFFFF"/>
            <w:vAlign w:val="center"/>
            <w:hideMark/>
          </w:tcPr>
          <w:p w14:paraId="293F2E69" w14:textId="77777777" w:rsidR="0012451A" w:rsidRPr="00E47AA9" w:rsidRDefault="0012451A" w:rsidP="003620C7">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 </w:t>
            </w:r>
            <w:proofErr w:type="spellStart"/>
            <w:proofErr w:type="gramStart"/>
            <w:r w:rsidRPr="00E47AA9">
              <w:rPr>
                <w:rFonts w:ascii="Times New Roman" w:eastAsia="Times New Roman" w:hAnsi="Times New Roman" w:cs="Times New Roman"/>
                <w:sz w:val="20"/>
                <w:szCs w:val="20"/>
                <w:lang w:eastAsia="ru-RU"/>
              </w:rPr>
              <w:t>испол</w:t>
            </w:r>
            <w:proofErr w:type="spellEnd"/>
            <w:r w:rsidRPr="00E47AA9">
              <w:rPr>
                <w:rFonts w:ascii="Times New Roman" w:eastAsia="Times New Roman" w:hAnsi="Times New Roman" w:cs="Times New Roman"/>
                <w:sz w:val="20"/>
                <w:szCs w:val="20"/>
                <w:lang w:eastAsia="ru-RU"/>
              </w:rPr>
              <w:t>-нения</w:t>
            </w:r>
            <w:proofErr w:type="gramEnd"/>
          </w:p>
        </w:tc>
      </w:tr>
      <w:tr w:rsidR="00E47AA9" w:rsidRPr="00E47AA9" w14:paraId="7240EE4C" w14:textId="77777777" w:rsidTr="003620C7">
        <w:trPr>
          <w:trHeight w:val="20"/>
        </w:trPr>
        <w:tc>
          <w:tcPr>
            <w:tcW w:w="3970" w:type="dxa"/>
            <w:tcBorders>
              <w:top w:val="single" w:sz="4" w:space="0" w:color="auto"/>
              <w:left w:val="single" w:sz="4" w:space="0" w:color="auto"/>
              <w:bottom w:val="single" w:sz="4" w:space="0" w:color="auto"/>
              <w:right w:val="single" w:sz="4" w:space="0" w:color="auto"/>
            </w:tcBorders>
            <w:shd w:val="clear" w:color="auto" w:fill="auto"/>
          </w:tcPr>
          <w:p w14:paraId="07B4C8BB" w14:textId="77777777" w:rsidR="0012451A" w:rsidRPr="00E47AA9" w:rsidRDefault="0012451A" w:rsidP="003620C7">
            <w:pPr>
              <w:spacing w:after="0" w:line="240" w:lineRule="auto"/>
              <w:rPr>
                <w:rFonts w:ascii="Times New Roman" w:hAnsi="Times New Roman" w:cs="Times New Roman"/>
                <w:b/>
                <w:bCs/>
                <w:sz w:val="20"/>
                <w:szCs w:val="20"/>
              </w:rPr>
            </w:pPr>
            <w:r w:rsidRPr="00E47AA9">
              <w:rPr>
                <w:rFonts w:ascii="Times New Roman" w:hAnsi="Times New Roman" w:cs="Times New Roman"/>
                <w:b/>
                <w:bCs/>
                <w:sz w:val="20"/>
                <w:szCs w:val="20"/>
              </w:rPr>
              <w:t xml:space="preserve">Расходы по ГП всего, </w:t>
            </w:r>
          </w:p>
          <w:p w14:paraId="3D855220" w14:textId="09E055D6" w:rsidR="0012451A" w:rsidRPr="00E47AA9" w:rsidRDefault="0012451A" w:rsidP="001F5F12">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в том числе</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C6533" w14:textId="77777777" w:rsidR="0012451A" w:rsidRPr="00E47AA9" w:rsidRDefault="0012451A" w:rsidP="003620C7">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1 371,77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32B9E" w14:textId="77777777" w:rsidR="0012451A" w:rsidRPr="00E47AA9" w:rsidRDefault="0012451A" w:rsidP="003620C7">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1 363,57</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29D4149" w14:textId="77777777" w:rsidR="0012451A" w:rsidRPr="00E47AA9" w:rsidRDefault="0012451A" w:rsidP="003620C7">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8,20</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75DE7524" w14:textId="77777777" w:rsidR="0012451A" w:rsidRPr="00E47AA9" w:rsidRDefault="0012451A" w:rsidP="003620C7">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99,40</w:t>
            </w:r>
          </w:p>
        </w:tc>
      </w:tr>
      <w:tr w:rsidR="00E47AA9" w:rsidRPr="00E47AA9" w14:paraId="1BC5B2FD" w14:textId="77777777" w:rsidTr="003620C7">
        <w:trPr>
          <w:trHeight w:val="20"/>
        </w:trPr>
        <w:tc>
          <w:tcPr>
            <w:tcW w:w="3970" w:type="dxa"/>
            <w:tcBorders>
              <w:top w:val="single" w:sz="4" w:space="0" w:color="auto"/>
              <w:left w:val="single" w:sz="4" w:space="0" w:color="auto"/>
              <w:bottom w:val="single" w:sz="4" w:space="0" w:color="auto"/>
              <w:right w:val="single" w:sz="4" w:space="0" w:color="auto"/>
            </w:tcBorders>
            <w:shd w:val="clear" w:color="000000" w:fill="FFFFFF"/>
            <w:vAlign w:val="bottom"/>
          </w:tcPr>
          <w:p w14:paraId="4002BC24" w14:textId="77777777" w:rsidR="0012451A" w:rsidRPr="00E47AA9" w:rsidRDefault="0012451A" w:rsidP="003620C7">
            <w:pPr>
              <w:spacing w:after="0" w:line="240" w:lineRule="auto"/>
              <w:rPr>
                <w:rFonts w:ascii="Times New Roman" w:hAnsi="Times New Roman" w:cs="Times New Roman"/>
                <w:b/>
                <w:bCs/>
                <w:sz w:val="20"/>
                <w:szCs w:val="20"/>
              </w:rPr>
            </w:pPr>
            <w:r w:rsidRPr="00E47AA9">
              <w:rPr>
                <w:rFonts w:ascii="Times New Roman" w:hAnsi="Times New Roman" w:cs="Times New Roman"/>
                <w:b/>
                <w:bCs/>
                <w:sz w:val="20"/>
                <w:szCs w:val="20"/>
              </w:rPr>
              <w:t>проектные мероприятия</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43F88586" w14:textId="77777777" w:rsidR="0012451A" w:rsidRPr="00E47AA9" w:rsidRDefault="0012451A" w:rsidP="003620C7">
            <w:pPr>
              <w:spacing w:after="0" w:line="240" w:lineRule="auto"/>
              <w:jc w:val="right"/>
              <w:rPr>
                <w:rFonts w:ascii="Times New Roman" w:hAnsi="Times New Roman" w:cs="Times New Roman"/>
                <w:b/>
                <w:sz w:val="20"/>
                <w:szCs w:val="20"/>
              </w:rPr>
            </w:pPr>
            <w:r w:rsidRPr="00E47AA9">
              <w:rPr>
                <w:rFonts w:ascii="Times New Roman" w:hAnsi="Times New Roman" w:cs="Times New Roman"/>
                <w:b/>
                <w:sz w:val="20"/>
                <w:szCs w:val="20"/>
              </w:rPr>
              <w:t>200,40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27345B" w14:textId="77777777" w:rsidR="0012451A" w:rsidRPr="00E47AA9" w:rsidRDefault="0012451A" w:rsidP="003620C7">
            <w:pPr>
              <w:spacing w:after="0" w:line="240" w:lineRule="auto"/>
              <w:jc w:val="right"/>
              <w:rPr>
                <w:rFonts w:ascii="Times New Roman" w:hAnsi="Times New Roman" w:cs="Times New Roman"/>
                <w:b/>
                <w:sz w:val="20"/>
                <w:szCs w:val="20"/>
              </w:rPr>
            </w:pPr>
            <w:r w:rsidRPr="00E47AA9">
              <w:rPr>
                <w:rFonts w:ascii="Times New Roman" w:hAnsi="Times New Roman" w:cs="Times New Roman"/>
                <w:b/>
                <w:sz w:val="20"/>
                <w:szCs w:val="20"/>
              </w:rPr>
              <w:t>197,83</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B105641" w14:textId="77777777" w:rsidR="0012451A" w:rsidRPr="00E47AA9" w:rsidRDefault="0012451A" w:rsidP="003620C7">
            <w:pPr>
              <w:spacing w:after="0" w:line="240" w:lineRule="auto"/>
              <w:jc w:val="right"/>
              <w:rPr>
                <w:rFonts w:ascii="Times New Roman" w:hAnsi="Times New Roman" w:cs="Times New Roman"/>
                <w:b/>
                <w:sz w:val="20"/>
                <w:szCs w:val="20"/>
              </w:rPr>
            </w:pPr>
            <w:r w:rsidRPr="00E47AA9">
              <w:rPr>
                <w:rFonts w:ascii="Times New Roman" w:hAnsi="Times New Roman" w:cs="Times New Roman"/>
                <w:b/>
                <w:sz w:val="20"/>
                <w:szCs w:val="20"/>
              </w:rPr>
              <w:t>2,57</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6CC9FB97" w14:textId="77777777" w:rsidR="0012451A" w:rsidRPr="00E47AA9" w:rsidRDefault="0012451A" w:rsidP="003620C7">
            <w:pPr>
              <w:spacing w:after="0" w:line="240" w:lineRule="auto"/>
              <w:jc w:val="right"/>
              <w:rPr>
                <w:rFonts w:ascii="Times New Roman" w:hAnsi="Times New Roman" w:cs="Times New Roman"/>
                <w:b/>
                <w:sz w:val="20"/>
                <w:szCs w:val="20"/>
              </w:rPr>
            </w:pPr>
            <w:r w:rsidRPr="00E47AA9">
              <w:rPr>
                <w:rFonts w:ascii="Times New Roman" w:hAnsi="Times New Roman" w:cs="Times New Roman"/>
                <w:b/>
                <w:sz w:val="20"/>
                <w:szCs w:val="20"/>
              </w:rPr>
              <w:t>98,72</w:t>
            </w:r>
          </w:p>
        </w:tc>
      </w:tr>
      <w:tr w:rsidR="00E47AA9" w:rsidRPr="00E47AA9" w14:paraId="63EE90B0" w14:textId="77777777" w:rsidTr="003620C7">
        <w:trPr>
          <w:trHeight w:val="20"/>
        </w:trPr>
        <w:tc>
          <w:tcPr>
            <w:tcW w:w="3970" w:type="dxa"/>
            <w:tcBorders>
              <w:top w:val="single" w:sz="4" w:space="0" w:color="auto"/>
              <w:left w:val="single" w:sz="4" w:space="0" w:color="auto"/>
              <w:bottom w:val="single" w:sz="4" w:space="0" w:color="auto"/>
              <w:right w:val="single" w:sz="4" w:space="0" w:color="auto"/>
            </w:tcBorders>
            <w:shd w:val="clear" w:color="000000" w:fill="FFFFFF"/>
            <w:vAlign w:val="bottom"/>
          </w:tcPr>
          <w:p w14:paraId="0A705361" w14:textId="77777777" w:rsidR="0012451A" w:rsidRPr="00E47AA9" w:rsidRDefault="0012451A" w:rsidP="003620C7">
            <w:pPr>
              <w:spacing w:after="0" w:line="240" w:lineRule="auto"/>
              <w:rPr>
                <w:rFonts w:ascii="Times New Roman" w:hAnsi="Times New Roman" w:cs="Times New Roman"/>
                <w:b/>
                <w:bCs/>
                <w:i/>
                <w:iCs/>
                <w:sz w:val="20"/>
                <w:szCs w:val="20"/>
              </w:rPr>
            </w:pPr>
            <w:r w:rsidRPr="00E47AA9">
              <w:rPr>
                <w:rFonts w:ascii="Times New Roman" w:hAnsi="Times New Roman" w:cs="Times New Roman"/>
                <w:b/>
                <w:bCs/>
                <w:i/>
                <w:iCs/>
                <w:sz w:val="20"/>
                <w:szCs w:val="20"/>
              </w:rPr>
              <w:t>РП, входящие в состав НП</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123B5DF3" w14:textId="77777777" w:rsidR="0012451A" w:rsidRPr="00E47AA9" w:rsidRDefault="0012451A" w:rsidP="003620C7">
            <w:pPr>
              <w:spacing w:after="0" w:line="240" w:lineRule="auto"/>
              <w:jc w:val="right"/>
              <w:rPr>
                <w:rFonts w:ascii="Times New Roman" w:hAnsi="Times New Roman" w:cs="Times New Roman"/>
                <w:b/>
                <w:i/>
                <w:sz w:val="20"/>
                <w:szCs w:val="20"/>
              </w:rPr>
            </w:pPr>
            <w:r w:rsidRPr="00E47AA9">
              <w:rPr>
                <w:rFonts w:ascii="Times New Roman" w:hAnsi="Times New Roman" w:cs="Times New Roman"/>
                <w:b/>
                <w:i/>
                <w:sz w:val="20"/>
                <w:szCs w:val="20"/>
              </w:rPr>
              <w:t>200,40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FDF1D" w14:textId="77777777" w:rsidR="0012451A" w:rsidRPr="00E47AA9" w:rsidRDefault="0012451A" w:rsidP="003620C7">
            <w:pPr>
              <w:spacing w:after="0" w:line="240" w:lineRule="auto"/>
              <w:jc w:val="right"/>
              <w:rPr>
                <w:rFonts w:ascii="Times New Roman" w:hAnsi="Times New Roman" w:cs="Times New Roman"/>
                <w:b/>
                <w:i/>
                <w:sz w:val="20"/>
                <w:szCs w:val="20"/>
              </w:rPr>
            </w:pPr>
            <w:r w:rsidRPr="00E47AA9">
              <w:rPr>
                <w:rFonts w:ascii="Times New Roman" w:hAnsi="Times New Roman" w:cs="Times New Roman"/>
                <w:b/>
                <w:i/>
                <w:sz w:val="20"/>
                <w:szCs w:val="20"/>
              </w:rPr>
              <w:t>197,83</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C6F18FA" w14:textId="77777777" w:rsidR="0012451A" w:rsidRPr="00E47AA9" w:rsidRDefault="0012451A" w:rsidP="003620C7">
            <w:pPr>
              <w:spacing w:after="0" w:line="240" w:lineRule="auto"/>
              <w:jc w:val="right"/>
              <w:rPr>
                <w:rFonts w:ascii="Times New Roman" w:hAnsi="Times New Roman" w:cs="Times New Roman"/>
                <w:b/>
                <w:i/>
                <w:sz w:val="20"/>
                <w:szCs w:val="20"/>
              </w:rPr>
            </w:pPr>
            <w:r w:rsidRPr="00E47AA9">
              <w:rPr>
                <w:rFonts w:ascii="Times New Roman" w:hAnsi="Times New Roman" w:cs="Times New Roman"/>
                <w:b/>
                <w:i/>
                <w:sz w:val="20"/>
                <w:szCs w:val="20"/>
              </w:rPr>
              <w:t>2,57</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5D1E068F" w14:textId="77777777" w:rsidR="0012451A" w:rsidRPr="00E47AA9" w:rsidRDefault="0012451A" w:rsidP="003620C7">
            <w:pPr>
              <w:spacing w:after="0" w:line="240" w:lineRule="auto"/>
              <w:jc w:val="right"/>
              <w:rPr>
                <w:rFonts w:ascii="Times New Roman" w:hAnsi="Times New Roman" w:cs="Times New Roman"/>
                <w:b/>
                <w:i/>
                <w:sz w:val="20"/>
                <w:szCs w:val="20"/>
              </w:rPr>
            </w:pPr>
            <w:r w:rsidRPr="00E47AA9">
              <w:rPr>
                <w:rFonts w:ascii="Times New Roman" w:hAnsi="Times New Roman" w:cs="Times New Roman"/>
                <w:b/>
                <w:i/>
                <w:sz w:val="20"/>
                <w:szCs w:val="20"/>
              </w:rPr>
              <w:t>98,72</w:t>
            </w:r>
          </w:p>
        </w:tc>
      </w:tr>
      <w:tr w:rsidR="00E47AA9" w:rsidRPr="00E47AA9" w14:paraId="71DC206C" w14:textId="77777777" w:rsidTr="003620C7">
        <w:trPr>
          <w:trHeight w:val="20"/>
        </w:trPr>
        <w:tc>
          <w:tcPr>
            <w:tcW w:w="3970" w:type="dxa"/>
            <w:tcBorders>
              <w:top w:val="single" w:sz="4" w:space="0" w:color="auto"/>
              <w:left w:val="single" w:sz="4" w:space="0" w:color="auto"/>
              <w:bottom w:val="single" w:sz="4" w:space="0" w:color="auto"/>
              <w:right w:val="single" w:sz="4" w:space="0" w:color="auto"/>
            </w:tcBorders>
            <w:shd w:val="clear" w:color="000000" w:fill="FFFFFF"/>
            <w:vAlign w:val="bottom"/>
          </w:tcPr>
          <w:p w14:paraId="523189A0" w14:textId="77777777" w:rsidR="0012451A" w:rsidRPr="00E47AA9" w:rsidRDefault="0012451A" w:rsidP="003620C7">
            <w:pPr>
              <w:spacing w:after="0" w:line="240" w:lineRule="auto"/>
              <w:rPr>
                <w:rFonts w:ascii="Times New Roman" w:hAnsi="Times New Roman" w:cs="Times New Roman"/>
                <w:i/>
                <w:iCs/>
                <w:sz w:val="20"/>
                <w:szCs w:val="20"/>
              </w:rPr>
            </w:pPr>
            <w:r w:rsidRPr="00E47AA9">
              <w:rPr>
                <w:rFonts w:ascii="Times New Roman" w:hAnsi="Times New Roman" w:cs="Times New Roman"/>
                <w:i/>
                <w:iCs/>
                <w:sz w:val="20"/>
                <w:szCs w:val="20"/>
              </w:rPr>
              <w:t>НП "Здравоохранение"</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5179A939" w14:textId="77777777" w:rsidR="0012451A" w:rsidRPr="00E47AA9" w:rsidRDefault="0012451A" w:rsidP="003620C7">
            <w:pPr>
              <w:spacing w:after="0" w:line="240" w:lineRule="auto"/>
              <w:jc w:val="right"/>
              <w:rPr>
                <w:rFonts w:ascii="Times New Roman" w:hAnsi="Times New Roman" w:cs="Times New Roman"/>
                <w:i/>
                <w:sz w:val="20"/>
                <w:szCs w:val="20"/>
              </w:rPr>
            </w:pPr>
            <w:r w:rsidRPr="00E47AA9">
              <w:rPr>
                <w:rFonts w:ascii="Times New Roman" w:hAnsi="Times New Roman" w:cs="Times New Roman"/>
                <w:i/>
                <w:sz w:val="20"/>
                <w:szCs w:val="20"/>
              </w:rPr>
              <w:t>11,72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DD157" w14:textId="77777777" w:rsidR="0012451A" w:rsidRPr="00E47AA9" w:rsidRDefault="0012451A" w:rsidP="003620C7">
            <w:pPr>
              <w:spacing w:after="0" w:line="240" w:lineRule="auto"/>
              <w:jc w:val="right"/>
              <w:rPr>
                <w:rFonts w:ascii="Times New Roman" w:hAnsi="Times New Roman" w:cs="Times New Roman"/>
                <w:i/>
                <w:sz w:val="20"/>
                <w:szCs w:val="20"/>
              </w:rPr>
            </w:pPr>
            <w:r w:rsidRPr="00E47AA9">
              <w:rPr>
                <w:rFonts w:ascii="Times New Roman" w:hAnsi="Times New Roman" w:cs="Times New Roman"/>
                <w:i/>
                <w:sz w:val="20"/>
                <w:szCs w:val="20"/>
              </w:rPr>
              <w:t>11,72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134C416" w14:textId="77777777" w:rsidR="0012451A" w:rsidRPr="00E47AA9" w:rsidRDefault="0012451A" w:rsidP="003620C7">
            <w:pPr>
              <w:spacing w:after="0" w:line="240" w:lineRule="auto"/>
              <w:jc w:val="right"/>
              <w:rPr>
                <w:rFonts w:ascii="Times New Roman" w:hAnsi="Times New Roman" w:cs="Times New Roman"/>
                <w:i/>
                <w:sz w:val="20"/>
                <w:szCs w:val="20"/>
              </w:rPr>
            </w:pPr>
            <w:r w:rsidRPr="00E47AA9">
              <w:rPr>
                <w:rFonts w:ascii="Times New Roman" w:hAnsi="Times New Roman" w:cs="Times New Roman"/>
                <w:i/>
                <w:sz w:val="20"/>
                <w:szCs w:val="20"/>
              </w:rPr>
              <w:t>0,00</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60532C6C" w14:textId="77777777" w:rsidR="0012451A" w:rsidRPr="00E47AA9" w:rsidRDefault="0012451A" w:rsidP="003620C7">
            <w:pPr>
              <w:spacing w:after="0" w:line="240" w:lineRule="auto"/>
              <w:jc w:val="right"/>
              <w:rPr>
                <w:rFonts w:ascii="Times New Roman" w:hAnsi="Times New Roman" w:cs="Times New Roman"/>
                <w:i/>
                <w:sz w:val="20"/>
                <w:szCs w:val="20"/>
              </w:rPr>
            </w:pPr>
            <w:r w:rsidRPr="00E47AA9">
              <w:rPr>
                <w:rFonts w:ascii="Times New Roman" w:hAnsi="Times New Roman" w:cs="Times New Roman"/>
                <w:i/>
                <w:sz w:val="20"/>
                <w:szCs w:val="20"/>
              </w:rPr>
              <w:t>100,00</w:t>
            </w:r>
          </w:p>
        </w:tc>
      </w:tr>
      <w:tr w:rsidR="00E47AA9" w:rsidRPr="00E47AA9" w14:paraId="1701EC2B" w14:textId="77777777" w:rsidTr="003620C7">
        <w:trPr>
          <w:trHeight w:val="20"/>
        </w:trPr>
        <w:tc>
          <w:tcPr>
            <w:tcW w:w="3970" w:type="dxa"/>
            <w:tcBorders>
              <w:top w:val="single" w:sz="4" w:space="0" w:color="auto"/>
              <w:left w:val="single" w:sz="4" w:space="0" w:color="auto"/>
              <w:bottom w:val="single" w:sz="4" w:space="0" w:color="auto"/>
              <w:right w:val="single" w:sz="4" w:space="0" w:color="auto"/>
            </w:tcBorders>
            <w:shd w:val="clear" w:color="000000" w:fill="FFFFFF"/>
            <w:vAlign w:val="bottom"/>
          </w:tcPr>
          <w:p w14:paraId="24D4B7D6" w14:textId="61DA3557" w:rsidR="0012451A" w:rsidRPr="00E47AA9" w:rsidRDefault="0012451A" w:rsidP="003620C7">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РП "Развитие детского здравоохранения</w:t>
            </w:r>
            <w:r w:rsidR="001141C0" w:rsidRPr="00E47AA9">
              <w:rPr>
                <w:rFonts w:ascii="Times New Roman" w:hAnsi="Times New Roman" w:cs="Times New Roman"/>
                <w:sz w:val="20"/>
                <w:szCs w:val="20"/>
              </w:rPr>
              <w:t xml:space="preserve"> Приморского края</w:t>
            </w:r>
            <w:r w:rsidRPr="00E47AA9">
              <w:rPr>
                <w:rFonts w:ascii="Times New Roman" w:hAnsi="Times New Roman" w:cs="Times New Roman"/>
                <w:sz w:val="20"/>
                <w:szCs w:val="20"/>
              </w:rPr>
              <w:t>, включая создание современной инфраструктуры оказания медицинской помощи детям"</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0F9D561A"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11,72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CD041"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11,72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7ACE18EA"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4F9EB7E7"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67E94F99" w14:textId="77777777" w:rsidTr="003620C7">
        <w:trPr>
          <w:trHeight w:val="20"/>
        </w:trPr>
        <w:tc>
          <w:tcPr>
            <w:tcW w:w="3970" w:type="dxa"/>
            <w:tcBorders>
              <w:top w:val="single" w:sz="4" w:space="0" w:color="auto"/>
              <w:left w:val="single" w:sz="4" w:space="0" w:color="auto"/>
              <w:bottom w:val="single" w:sz="4" w:space="0" w:color="auto"/>
              <w:right w:val="single" w:sz="4" w:space="0" w:color="auto"/>
            </w:tcBorders>
            <w:shd w:val="clear" w:color="000000" w:fill="FFFFFF"/>
            <w:vAlign w:val="bottom"/>
          </w:tcPr>
          <w:p w14:paraId="3FCDD988" w14:textId="77777777" w:rsidR="0012451A" w:rsidRPr="00E47AA9" w:rsidRDefault="0012451A" w:rsidP="003620C7">
            <w:pPr>
              <w:spacing w:after="0" w:line="240" w:lineRule="auto"/>
              <w:rPr>
                <w:rFonts w:ascii="Times New Roman" w:hAnsi="Times New Roman" w:cs="Times New Roman"/>
                <w:i/>
                <w:iCs/>
                <w:sz w:val="20"/>
                <w:szCs w:val="20"/>
              </w:rPr>
            </w:pPr>
            <w:r w:rsidRPr="00E47AA9">
              <w:rPr>
                <w:rFonts w:ascii="Times New Roman" w:hAnsi="Times New Roman" w:cs="Times New Roman"/>
                <w:i/>
                <w:iCs/>
                <w:sz w:val="20"/>
                <w:szCs w:val="20"/>
              </w:rPr>
              <w:t>НП "Безопасные качественные дороги"</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1EFAD1" w14:textId="77777777" w:rsidR="0012451A" w:rsidRPr="00E47AA9" w:rsidRDefault="0012451A" w:rsidP="003620C7">
            <w:pPr>
              <w:spacing w:after="0" w:line="240" w:lineRule="auto"/>
              <w:jc w:val="right"/>
              <w:rPr>
                <w:rFonts w:ascii="Times New Roman" w:hAnsi="Times New Roman" w:cs="Times New Roman"/>
                <w:i/>
                <w:sz w:val="20"/>
                <w:szCs w:val="20"/>
              </w:rPr>
            </w:pPr>
            <w:r w:rsidRPr="00E47AA9">
              <w:rPr>
                <w:rFonts w:ascii="Times New Roman" w:hAnsi="Times New Roman" w:cs="Times New Roman"/>
                <w:i/>
                <w:sz w:val="20"/>
                <w:szCs w:val="20"/>
              </w:rPr>
              <w:t>188,68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88F78B" w14:textId="77777777" w:rsidR="0012451A" w:rsidRPr="00E47AA9" w:rsidRDefault="0012451A" w:rsidP="003620C7">
            <w:pPr>
              <w:spacing w:after="0" w:line="240" w:lineRule="auto"/>
              <w:jc w:val="right"/>
              <w:rPr>
                <w:rFonts w:ascii="Times New Roman" w:hAnsi="Times New Roman" w:cs="Times New Roman"/>
                <w:i/>
                <w:sz w:val="20"/>
                <w:szCs w:val="20"/>
              </w:rPr>
            </w:pPr>
            <w:r w:rsidRPr="00E47AA9">
              <w:rPr>
                <w:rFonts w:ascii="Times New Roman" w:hAnsi="Times New Roman" w:cs="Times New Roman"/>
                <w:i/>
                <w:sz w:val="20"/>
                <w:szCs w:val="20"/>
              </w:rPr>
              <w:t>186,11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38D849C" w14:textId="77777777" w:rsidR="0012451A" w:rsidRPr="00E47AA9" w:rsidRDefault="0012451A" w:rsidP="003620C7">
            <w:pPr>
              <w:spacing w:after="0" w:line="240" w:lineRule="auto"/>
              <w:jc w:val="right"/>
              <w:rPr>
                <w:rFonts w:ascii="Times New Roman" w:hAnsi="Times New Roman" w:cs="Times New Roman"/>
                <w:i/>
                <w:sz w:val="20"/>
                <w:szCs w:val="20"/>
              </w:rPr>
            </w:pPr>
            <w:r w:rsidRPr="00E47AA9">
              <w:rPr>
                <w:rFonts w:ascii="Times New Roman" w:hAnsi="Times New Roman" w:cs="Times New Roman"/>
                <w:i/>
                <w:sz w:val="20"/>
                <w:szCs w:val="20"/>
              </w:rPr>
              <w:t>2,57</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77252AD6" w14:textId="77777777" w:rsidR="0012451A" w:rsidRPr="00E47AA9" w:rsidRDefault="0012451A" w:rsidP="003620C7">
            <w:pPr>
              <w:spacing w:after="0" w:line="240" w:lineRule="auto"/>
              <w:jc w:val="right"/>
              <w:rPr>
                <w:rFonts w:ascii="Times New Roman" w:hAnsi="Times New Roman" w:cs="Times New Roman"/>
                <w:i/>
                <w:sz w:val="20"/>
                <w:szCs w:val="20"/>
              </w:rPr>
            </w:pPr>
            <w:r w:rsidRPr="00E47AA9">
              <w:rPr>
                <w:rFonts w:ascii="Times New Roman" w:hAnsi="Times New Roman" w:cs="Times New Roman"/>
                <w:i/>
                <w:sz w:val="20"/>
                <w:szCs w:val="20"/>
              </w:rPr>
              <w:t>98,64</w:t>
            </w:r>
          </w:p>
        </w:tc>
      </w:tr>
      <w:tr w:rsidR="00E47AA9" w:rsidRPr="00E47AA9" w14:paraId="403D94D4" w14:textId="77777777" w:rsidTr="003620C7">
        <w:trPr>
          <w:trHeight w:val="20"/>
        </w:trPr>
        <w:tc>
          <w:tcPr>
            <w:tcW w:w="3970" w:type="dxa"/>
            <w:tcBorders>
              <w:top w:val="single" w:sz="4" w:space="0" w:color="auto"/>
              <w:left w:val="single" w:sz="4" w:space="0" w:color="auto"/>
              <w:bottom w:val="single" w:sz="4" w:space="0" w:color="auto"/>
              <w:right w:val="single" w:sz="4" w:space="0" w:color="auto"/>
            </w:tcBorders>
            <w:shd w:val="clear" w:color="auto" w:fill="auto"/>
            <w:vAlign w:val="bottom"/>
          </w:tcPr>
          <w:p w14:paraId="7C9F8429" w14:textId="77777777" w:rsidR="0012451A" w:rsidRPr="00E47AA9" w:rsidRDefault="0012451A" w:rsidP="003620C7">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РП "Общесистемные меры развития дорожного хозяйства"</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E0219"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93,00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32D75"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93,00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0B3BA13"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09F612D8"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0B7D67DE" w14:textId="77777777" w:rsidTr="003620C7">
        <w:trPr>
          <w:trHeight w:val="20"/>
        </w:trPr>
        <w:tc>
          <w:tcPr>
            <w:tcW w:w="3970" w:type="dxa"/>
            <w:tcBorders>
              <w:top w:val="single" w:sz="4" w:space="0" w:color="auto"/>
              <w:left w:val="single" w:sz="4" w:space="0" w:color="auto"/>
              <w:bottom w:val="single" w:sz="4" w:space="0" w:color="auto"/>
              <w:right w:val="single" w:sz="4" w:space="0" w:color="auto"/>
            </w:tcBorders>
            <w:shd w:val="clear" w:color="auto" w:fill="auto"/>
            <w:vAlign w:val="bottom"/>
          </w:tcPr>
          <w:p w14:paraId="15835C60" w14:textId="77777777" w:rsidR="0012451A" w:rsidRPr="00E47AA9" w:rsidRDefault="0012451A" w:rsidP="003620C7">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РП "Безопасность дорожного движения"</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B9874"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95,68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948236"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93,11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7F545D5B"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2,57</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628E631E" w14:textId="77777777" w:rsidR="0012451A" w:rsidRPr="00E47AA9" w:rsidRDefault="0012451A" w:rsidP="003620C7">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97,31</w:t>
            </w:r>
          </w:p>
        </w:tc>
      </w:tr>
      <w:tr w:rsidR="00E47AA9" w:rsidRPr="00E47AA9" w14:paraId="7524136F" w14:textId="77777777" w:rsidTr="003620C7">
        <w:trPr>
          <w:trHeight w:val="20"/>
        </w:trPr>
        <w:tc>
          <w:tcPr>
            <w:tcW w:w="3970" w:type="dxa"/>
            <w:tcBorders>
              <w:top w:val="single" w:sz="4" w:space="0" w:color="auto"/>
              <w:left w:val="single" w:sz="4" w:space="0" w:color="auto"/>
              <w:bottom w:val="single" w:sz="4" w:space="0" w:color="auto"/>
              <w:right w:val="single" w:sz="4" w:space="0" w:color="auto"/>
            </w:tcBorders>
            <w:shd w:val="clear" w:color="000000" w:fill="FFFFFF"/>
            <w:vAlign w:val="bottom"/>
          </w:tcPr>
          <w:p w14:paraId="65066DB0" w14:textId="77777777" w:rsidR="0012451A" w:rsidRPr="00E47AA9" w:rsidRDefault="0012451A" w:rsidP="003620C7">
            <w:pPr>
              <w:spacing w:after="0" w:line="240" w:lineRule="auto"/>
              <w:rPr>
                <w:rFonts w:ascii="Times New Roman" w:hAnsi="Times New Roman" w:cs="Times New Roman"/>
                <w:b/>
                <w:bCs/>
                <w:sz w:val="20"/>
                <w:szCs w:val="20"/>
              </w:rPr>
            </w:pPr>
            <w:r w:rsidRPr="00E47AA9">
              <w:rPr>
                <w:rFonts w:ascii="Times New Roman" w:hAnsi="Times New Roman" w:cs="Times New Roman"/>
                <w:b/>
                <w:bCs/>
                <w:sz w:val="20"/>
                <w:szCs w:val="20"/>
              </w:rPr>
              <w:t>комплексы процессных мероприятий</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AE210" w14:textId="77777777" w:rsidR="0012451A" w:rsidRPr="00E47AA9" w:rsidRDefault="0012451A" w:rsidP="003620C7">
            <w:pPr>
              <w:spacing w:after="0" w:line="240" w:lineRule="auto"/>
              <w:jc w:val="right"/>
              <w:rPr>
                <w:rFonts w:ascii="Times New Roman" w:hAnsi="Times New Roman" w:cs="Times New Roman"/>
                <w:b/>
                <w:sz w:val="20"/>
                <w:szCs w:val="20"/>
              </w:rPr>
            </w:pPr>
            <w:r w:rsidRPr="00E47AA9">
              <w:rPr>
                <w:rFonts w:ascii="Times New Roman" w:hAnsi="Times New Roman" w:cs="Times New Roman"/>
                <w:b/>
                <w:sz w:val="20"/>
                <w:szCs w:val="20"/>
              </w:rPr>
              <w:t>1 171,37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F5395" w14:textId="77777777" w:rsidR="0012451A" w:rsidRPr="00E47AA9" w:rsidRDefault="0012451A" w:rsidP="003620C7">
            <w:pPr>
              <w:spacing w:after="0" w:line="240" w:lineRule="auto"/>
              <w:jc w:val="right"/>
              <w:rPr>
                <w:rFonts w:ascii="Times New Roman" w:hAnsi="Times New Roman" w:cs="Times New Roman"/>
                <w:b/>
                <w:sz w:val="20"/>
                <w:szCs w:val="20"/>
              </w:rPr>
            </w:pPr>
            <w:r w:rsidRPr="00E47AA9">
              <w:rPr>
                <w:rFonts w:ascii="Times New Roman" w:hAnsi="Times New Roman" w:cs="Times New Roman"/>
                <w:b/>
                <w:sz w:val="20"/>
                <w:szCs w:val="20"/>
              </w:rPr>
              <w:t>1 165,74</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12657D1" w14:textId="77777777" w:rsidR="0012451A" w:rsidRPr="00E47AA9" w:rsidRDefault="0012451A" w:rsidP="003620C7">
            <w:pPr>
              <w:spacing w:after="0" w:line="240" w:lineRule="auto"/>
              <w:jc w:val="right"/>
              <w:rPr>
                <w:rFonts w:ascii="Times New Roman" w:hAnsi="Times New Roman" w:cs="Times New Roman"/>
                <w:b/>
                <w:sz w:val="20"/>
                <w:szCs w:val="20"/>
              </w:rPr>
            </w:pPr>
            <w:r w:rsidRPr="00E47AA9">
              <w:rPr>
                <w:rFonts w:ascii="Times New Roman" w:hAnsi="Times New Roman" w:cs="Times New Roman"/>
                <w:b/>
                <w:sz w:val="20"/>
                <w:szCs w:val="20"/>
              </w:rPr>
              <w:t>5,63</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4703BADA" w14:textId="77777777" w:rsidR="0012451A" w:rsidRPr="00E47AA9" w:rsidRDefault="0012451A" w:rsidP="003620C7">
            <w:pPr>
              <w:spacing w:after="0" w:line="240" w:lineRule="auto"/>
              <w:jc w:val="right"/>
              <w:rPr>
                <w:rFonts w:ascii="Times New Roman" w:hAnsi="Times New Roman" w:cs="Times New Roman"/>
                <w:b/>
                <w:sz w:val="20"/>
                <w:szCs w:val="20"/>
              </w:rPr>
            </w:pPr>
            <w:r w:rsidRPr="00E47AA9">
              <w:rPr>
                <w:rFonts w:ascii="Times New Roman" w:hAnsi="Times New Roman" w:cs="Times New Roman"/>
                <w:b/>
                <w:sz w:val="20"/>
                <w:szCs w:val="20"/>
              </w:rPr>
              <w:t>99,52</w:t>
            </w:r>
          </w:p>
        </w:tc>
      </w:tr>
    </w:tbl>
    <w:p w14:paraId="040A8C27" w14:textId="77777777" w:rsidR="0012451A" w:rsidRPr="00E47AA9" w:rsidRDefault="0012451A" w:rsidP="0012451A">
      <w:pPr>
        <w:spacing w:after="0" w:line="240" w:lineRule="auto"/>
        <w:ind w:firstLine="709"/>
        <w:jc w:val="both"/>
        <w:rPr>
          <w:rFonts w:ascii="Times New Roman" w:eastAsia="Times New Roman" w:hAnsi="Times New Roman" w:cs="Times New Roman"/>
          <w:sz w:val="28"/>
          <w:szCs w:val="28"/>
        </w:rPr>
      </w:pPr>
    </w:p>
    <w:p w14:paraId="76432020" w14:textId="08B5277D" w:rsidR="00E33632" w:rsidRPr="00E47AA9" w:rsidRDefault="00FD1970" w:rsidP="0012451A">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В соответствии со</w:t>
      </w:r>
      <w:r w:rsidR="00E33632" w:rsidRPr="00E47AA9">
        <w:rPr>
          <w:rFonts w:ascii="Times New Roman" w:eastAsia="Times New Roman" w:hAnsi="Times New Roman" w:cs="Times New Roman"/>
          <w:sz w:val="28"/>
          <w:szCs w:val="28"/>
        </w:rPr>
        <w:t xml:space="preserve"> Сводн</w:t>
      </w:r>
      <w:r w:rsidRPr="00E47AA9">
        <w:rPr>
          <w:rFonts w:ascii="Times New Roman" w:eastAsia="Times New Roman" w:hAnsi="Times New Roman" w:cs="Times New Roman"/>
          <w:sz w:val="28"/>
          <w:szCs w:val="28"/>
        </w:rPr>
        <w:t>ым</w:t>
      </w:r>
      <w:r w:rsidR="00E33632" w:rsidRPr="00E47AA9">
        <w:rPr>
          <w:rFonts w:ascii="Times New Roman" w:eastAsia="Times New Roman" w:hAnsi="Times New Roman" w:cs="Times New Roman"/>
          <w:sz w:val="28"/>
          <w:szCs w:val="28"/>
        </w:rPr>
        <w:t xml:space="preserve"> годов</w:t>
      </w:r>
      <w:r w:rsidRPr="00E47AA9">
        <w:rPr>
          <w:rFonts w:ascii="Times New Roman" w:eastAsia="Times New Roman" w:hAnsi="Times New Roman" w:cs="Times New Roman"/>
          <w:sz w:val="28"/>
          <w:szCs w:val="28"/>
        </w:rPr>
        <w:t>ым</w:t>
      </w:r>
      <w:r w:rsidR="00E33632" w:rsidRPr="00E47AA9">
        <w:rPr>
          <w:rFonts w:ascii="Times New Roman" w:eastAsia="Times New Roman" w:hAnsi="Times New Roman" w:cs="Times New Roman"/>
          <w:sz w:val="28"/>
          <w:szCs w:val="28"/>
        </w:rPr>
        <w:t xml:space="preserve"> доклад</w:t>
      </w:r>
      <w:r w:rsidRPr="00E47AA9">
        <w:rPr>
          <w:rFonts w:ascii="Times New Roman" w:eastAsia="Times New Roman" w:hAnsi="Times New Roman" w:cs="Times New Roman"/>
          <w:sz w:val="28"/>
          <w:szCs w:val="28"/>
        </w:rPr>
        <w:t>ом</w:t>
      </w:r>
      <w:r w:rsidR="00E33632" w:rsidRPr="00E47AA9">
        <w:rPr>
          <w:rFonts w:ascii="Times New Roman" w:eastAsia="Times New Roman" w:hAnsi="Times New Roman" w:cs="Times New Roman"/>
          <w:sz w:val="28"/>
          <w:szCs w:val="28"/>
        </w:rPr>
        <w:t>:</w:t>
      </w:r>
    </w:p>
    <w:p w14:paraId="69F601B4" w14:textId="1B3005CE" w:rsidR="00E33632" w:rsidRPr="00E47AA9" w:rsidRDefault="00E33632" w:rsidP="00E33632">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из 42 мероприятий государственной программы, запланированных в 2024 году, выполнено в полном объеме 41 мероприятие, 1 мероприятие выполнено не в полном объеме;</w:t>
      </w:r>
    </w:p>
    <w:p w14:paraId="10D7948A" w14:textId="5C30F045" w:rsidR="00E33632" w:rsidRPr="00E47AA9" w:rsidRDefault="00E33632" w:rsidP="00E33632">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из 16 показателей государственной программы 9 достигли планового значения, 5 показателей достигнуты не в полном объеме, не достигнуты 2 показателя;</w:t>
      </w:r>
    </w:p>
    <w:p w14:paraId="1DAC5180" w14:textId="28B8A5A7" w:rsidR="00E33632" w:rsidRPr="00E47AA9" w:rsidRDefault="00E33632" w:rsidP="0012451A">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эффективность реализации государственной программы составила 90,5</w:t>
      </w:r>
      <w:r w:rsidR="00FD1970" w:rsidRPr="00E47AA9">
        <w:rPr>
          <w:rFonts w:ascii="Times New Roman" w:eastAsia="Times New Roman" w:hAnsi="Times New Roman" w:cs="Times New Roman"/>
          <w:sz w:val="28"/>
          <w:szCs w:val="28"/>
        </w:rPr>
        <w:t> </w:t>
      </w:r>
      <w:r w:rsidRPr="00E47AA9">
        <w:rPr>
          <w:rFonts w:ascii="Times New Roman" w:eastAsia="Times New Roman" w:hAnsi="Times New Roman" w:cs="Times New Roman"/>
          <w:sz w:val="28"/>
          <w:szCs w:val="28"/>
        </w:rPr>
        <w:t>% (ниже среднего уровня).</w:t>
      </w:r>
    </w:p>
    <w:p w14:paraId="23AF6D57" w14:textId="77777777" w:rsidR="0012451A" w:rsidRPr="00E47AA9" w:rsidRDefault="0012451A" w:rsidP="0012451A">
      <w:pPr>
        <w:spacing w:after="0" w:line="240" w:lineRule="auto"/>
        <w:ind w:firstLine="708"/>
        <w:jc w:val="both"/>
        <w:rPr>
          <w:rFonts w:ascii="Times New Roman" w:eastAsia="Times New Roman" w:hAnsi="Times New Roman" w:cs="Times New Roman"/>
          <w:b/>
          <w:sz w:val="28"/>
          <w:szCs w:val="28"/>
        </w:rPr>
      </w:pPr>
      <w:r w:rsidRPr="00E47AA9">
        <w:rPr>
          <w:rFonts w:ascii="Times New Roman" w:eastAsia="Times New Roman" w:hAnsi="Times New Roman" w:cs="Times New Roman"/>
          <w:b/>
          <w:sz w:val="28"/>
          <w:szCs w:val="28"/>
        </w:rPr>
        <w:t xml:space="preserve">Подпрограмма "Повышение безопасности дорожного движения в Приморском крае" </w:t>
      </w:r>
    </w:p>
    <w:p w14:paraId="1C026CC9" w14:textId="77777777" w:rsidR="0012451A" w:rsidRPr="00E47AA9" w:rsidRDefault="0012451A" w:rsidP="0012451A">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bCs/>
          <w:iCs/>
          <w:sz w:val="28"/>
          <w:szCs w:val="28"/>
        </w:rPr>
        <w:t>По подпрограмме реализованы мероприятия</w:t>
      </w:r>
      <w:r w:rsidRPr="00E47AA9">
        <w:rPr>
          <w:rFonts w:ascii="Times New Roman" w:eastAsia="Times New Roman" w:hAnsi="Times New Roman" w:cs="Times New Roman"/>
          <w:bCs/>
          <w:i/>
          <w:sz w:val="28"/>
          <w:szCs w:val="28"/>
        </w:rPr>
        <w:t xml:space="preserve"> </w:t>
      </w:r>
      <w:r w:rsidRPr="00E47AA9">
        <w:rPr>
          <w:rFonts w:ascii="Times New Roman" w:eastAsia="Times New Roman" w:hAnsi="Times New Roman" w:cs="Times New Roman"/>
          <w:i/>
          <w:sz w:val="28"/>
          <w:szCs w:val="28"/>
        </w:rPr>
        <w:t>НП "Безопасные качественные дороги"</w:t>
      </w:r>
      <w:r w:rsidRPr="00E47AA9">
        <w:rPr>
          <w:rFonts w:ascii="Times New Roman" w:eastAsia="Times New Roman" w:hAnsi="Times New Roman" w:cs="Times New Roman"/>
          <w:sz w:val="28"/>
          <w:szCs w:val="28"/>
        </w:rPr>
        <w:t xml:space="preserve"> через </w:t>
      </w:r>
      <w:r w:rsidRPr="00E47AA9">
        <w:rPr>
          <w:rFonts w:ascii="Times New Roman" w:eastAsia="Times New Roman" w:hAnsi="Times New Roman" w:cs="Times New Roman"/>
          <w:bCs/>
          <w:i/>
          <w:sz w:val="28"/>
          <w:szCs w:val="28"/>
        </w:rPr>
        <w:t>РП "Общесистемные меры развития дорожного хозяйства" и РП "Безопасность дорожного движения</w:t>
      </w:r>
      <w:r w:rsidRPr="00E47AA9">
        <w:rPr>
          <w:rFonts w:ascii="Times New Roman" w:eastAsia="Times New Roman" w:hAnsi="Times New Roman" w:cs="Times New Roman"/>
          <w:bCs/>
          <w:iCs/>
          <w:sz w:val="28"/>
          <w:szCs w:val="28"/>
        </w:rPr>
        <w:t xml:space="preserve">" </w:t>
      </w:r>
      <w:r w:rsidRPr="00E47AA9">
        <w:rPr>
          <w:rFonts w:ascii="Times New Roman" w:eastAsia="Times New Roman" w:hAnsi="Times New Roman" w:cs="Times New Roman"/>
          <w:sz w:val="28"/>
          <w:szCs w:val="28"/>
        </w:rPr>
        <w:t xml:space="preserve">на 93,00 млн рублей (в полном объеме плановых назначений) и на 93,11 млн рублей (97,31 % от плана 95,68 млн рублей), </w:t>
      </w:r>
      <w:r w:rsidRPr="00E47AA9">
        <w:rPr>
          <w:rFonts w:ascii="Times New Roman" w:eastAsia="Times New Roman" w:hAnsi="Times New Roman" w:cs="Times New Roman"/>
          <w:bCs/>
          <w:iCs/>
          <w:sz w:val="28"/>
          <w:szCs w:val="28"/>
        </w:rPr>
        <w:t>соответственно.</w:t>
      </w:r>
      <w:r w:rsidRPr="00E47AA9">
        <w:rPr>
          <w:rFonts w:ascii="Times New Roman" w:eastAsia="Times New Roman" w:hAnsi="Times New Roman" w:cs="Times New Roman"/>
          <w:sz w:val="28"/>
          <w:szCs w:val="28"/>
        </w:rPr>
        <w:t xml:space="preserve"> Подробная информация по исполнению РП отражена в приложении 3 к заключению. </w:t>
      </w:r>
    </w:p>
    <w:p w14:paraId="24142E1E" w14:textId="77777777" w:rsidR="0012451A" w:rsidRPr="00E47AA9" w:rsidRDefault="0012451A" w:rsidP="0012451A">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bCs/>
          <w:iCs/>
          <w:sz w:val="28"/>
          <w:szCs w:val="28"/>
        </w:rPr>
        <w:t>Мероприятие в рамках</w:t>
      </w:r>
      <w:r w:rsidRPr="00E47AA9">
        <w:rPr>
          <w:rFonts w:ascii="Times New Roman" w:eastAsia="Times New Roman" w:hAnsi="Times New Roman" w:cs="Times New Roman"/>
          <w:b/>
          <w:i/>
          <w:sz w:val="28"/>
          <w:szCs w:val="28"/>
        </w:rPr>
        <w:t xml:space="preserve"> </w:t>
      </w:r>
      <w:r w:rsidRPr="00E47AA9">
        <w:rPr>
          <w:rFonts w:ascii="Times New Roman" w:eastAsia="Times New Roman" w:hAnsi="Times New Roman" w:cs="Times New Roman"/>
          <w:bCs/>
          <w:i/>
          <w:sz w:val="28"/>
          <w:szCs w:val="28"/>
        </w:rPr>
        <w:t>КПМ "Обеспечение безопасности дорожного движения при проведении значимых общественно-политических, культурно-массовых и крупных международных мероприятий"</w:t>
      </w:r>
      <w:r w:rsidRPr="00E47AA9">
        <w:rPr>
          <w:rFonts w:ascii="Times New Roman" w:eastAsia="Times New Roman" w:hAnsi="Times New Roman" w:cs="Times New Roman"/>
          <w:bCs/>
          <w:iCs/>
          <w:sz w:val="28"/>
          <w:szCs w:val="28"/>
        </w:rPr>
        <w:t xml:space="preserve"> реализовано в полном объеме 4,20 млн рублей. В 2024 году оплачены</w:t>
      </w:r>
      <w:r w:rsidRPr="00E47AA9">
        <w:rPr>
          <w:rFonts w:ascii="Times New Roman" w:eastAsia="Times New Roman" w:hAnsi="Times New Roman" w:cs="Times New Roman"/>
          <w:sz w:val="28"/>
          <w:szCs w:val="28"/>
        </w:rPr>
        <w:t xml:space="preserve"> услуги по перемещению транспортных средств, создающих препятствия для движения других транспортных средств или пешеходов, в период проведения в отчетном году с 3 по 6 сентября в г. Владивостоке IХ Восточного экономического форума, а также в период проведения с 3 по 8 сентября выставки "Улицы Дальнего Востока". </w:t>
      </w:r>
    </w:p>
    <w:p w14:paraId="3539F93C" w14:textId="2143E326" w:rsidR="0012451A" w:rsidRPr="00E47AA9" w:rsidRDefault="0012451A" w:rsidP="0012451A">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Согласно информации департамента по координации правоохранительной деятельности Приморского края в 2024 году ни один показатель цели по снижению смертности в результате дорожно-</w:t>
      </w:r>
      <w:r w:rsidRPr="00E47AA9">
        <w:rPr>
          <w:rFonts w:ascii="Times New Roman" w:eastAsia="Times New Roman" w:hAnsi="Times New Roman" w:cs="Times New Roman"/>
          <w:sz w:val="28"/>
          <w:szCs w:val="28"/>
        </w:rPr>
        <w:lastRenderedPageBreak/>
        <w:t>транспортных происшествий к 2030 году до уровня, не превышающего 4 человек на 100 тыс. населения</w:t>
      </w:r>
      <w:r w:rsidR="000C2DCC"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не достиг плановых значений:</w:t>
      </w:r>
    </w:p>
    <w:p w14:paraId="0C1B3F74" w14:textId="70D4FA51" w:rsidR="0012451A" w:rsidRPr="00E47AA9" w:rsidRDefault="0012451A" w:rsidP="0012451A">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количество погибших в дорожно-транспортных происшествиях (далее – ДТП) человек на 100 тысяч населения. Плановое значение на 2024 год – 8,91 человек, фактическое значение </w:t>
      </w:r>
      <w:r w:rsidR="000C2DCC"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13,6 человек (в 2023 году фактическое значение составило 12,8 человек). Рассчитывается как отношение количества лиц, погибших в ДТП (246 человек), к численности населения Приморского края; </w:t>
      </w:r>
    </w:p>
    <w:p w14:paraId="0C5DF1A7" w14:textId="77777777" w:rsidR="0012451A" w:rsidRPr="00E47AA9" w:rsidRDefault="0012451A" w:rsidP="0012451A">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количество погибших в ДТП, на 10 тысяч транспортных средств. Плановое значение на 2024 год – 1,54 человек, фактическое значение – 2,09 человек (также в 2023 году). Рассчитывается как отношение количества лиц, погибших в дорожно-транспортных происшествиях (246 человека), к количеству транспортных средств, зарегистрированных в Приморском крае (1175311 единиц);</w:t>
      </w:r>
    </w:p>
    <w:p w14:paraId="0B0C431A" w14:textId="1935A771" w:rsidR="0012451A" w:rsidRPr="00E47AA9" w:rsidRDefault="0012451A" w:rsidP="0012451A">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количество ДТП. Плановое значение на 2024 год – 1936 единиц, фактическое значение – 2406 единиц (факт в 2023 году </w:t>
      </w:r>
      <w:r w:rsidR="000C2DCC"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2305 единиц). Основными и сопутствующими причинами совершения ДТП в 2024 году стали: несоответствие скорости конкретным условиям движения (17</w:t>
      </w:r>
      <w:r w:rsidR="000C2DCC"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rPr>
        <w:t>%)</w:t>
      </w:r>
      <w:r w:rsidR="000C2DCC"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несоблюдение очередности проезда перекрестков (14,3 %)</w:t>
      </w:r>
      <w:r w:rsidR="000C2DCC" w:rsidRPr="00E47AA9">
        <w:rPr>
          <w:rFonts w:ascii="Times New Roman" w:eastAsia="Times New Roman" w:hAnsi="Times New Roman" w:cs="Times New Roman"/>
          <w:sz w:val="28"/>
          <w:szCs w:val="28"/>
        </w:rPr>
        <w:t xml:space="preserve">, нарушение </w:t>
      </w:r>
      <w:r w:rsidRPr="00E47AA9">
        <w:rPr>
          <w:rFonts w:ascii="Times New Roman" w:eastAsia="Times New Roman" w:hAnsi="Times New Roman" w:cs="Times New Roman"/>
          <w:sz w:val="28"/>
          <w:szCs w:val="28"/>
        </w:rPr>
        <w:t>правил расположения транспортных средств на проезжей части (14,3 %)</w:t>
      </w:r>
      <w:r w:rsidR="000C2DCC"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неправильный выбор дистанции (8,7 %)</w:t>
      </w:r>
      <w:r w:rsidR="000C2DCC"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нарушение правил дорожного движения пешеходами (8,1 %)</w:t>
      </w:r>
      <w:r w:rsidR="000C2DCC" w:rsidRPr="00E47AA9">
        <w:rPr>
          <w:rFonts w:ascii="Times New Roman" w:eastAsia="Times New Roman" w:hAnsi="Times New Roman" w:cs="Times New Roman"/>
          <w:sz w:val="28"/>
          <w:szCs w:val="28"/>
        </w:rPr>
        <w:t>,</w:t>
      </w:r>
      <w:r w:rsidRPr="00E47AA9">
        <w:rPr>
          <w:rFonts w:ascii="Times New Roman" w:eastAsia="Times New Roman" w:hAnsi="Times New Roman" w:cs="Times New Roman"/>
          <w:sz w:val="28"/>
          <w:szCs w:val="28"/>
        </w:rPr>
        <w:t xml:space="preserve"> выезд на полосу встречного движения (7,9</w:t>
      </w:r>
      <w:r w:rsidR="000C2DCC" w:rsidRPr="00E47AA9">
        <w:rPr>
          <w:rFonts w:ascii="Times New Roman" w:eastAsia="Times New Roman" w:hAnsi="Times New Roman" w:cs="Times New Roman"/>
          <w:sz w:val="28"/>
          <w:szCs w:val="28"/>
        </w:rPr>
        <w:t xml:space="preserve"> %</w:t>
      </w:r>
      <w:r w:rsidRPr="00E47AA9">
        <w:rPr>
          <w:rFonts w:ascii="Times New Roman" w:eastAsia="Times New Roman" w:hAnsi="Times New Roman" w:cs="Times New Roman"/>
          <w:sz w:val="28"/>
          <w:szCs w:val="28"/>
        </w:rPr>
        <w:t>), нарушение правил проезда пешеходного перехода (7,1 %);</w:t>
      </w:r>
    </w:p>
    <w:p w14:paraId="7076EF18" w14:textId="77777777" w:rsidR="0012451A" w:rsidRPr="00E47AA9" w:rsidRDefault="0012451A" w:rsidP="0012451A">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количество детей, погибших в дорожно-транспортных происшествиях. Плановое значение на 2024 год – 3 человека, фактическое значение – 10 человек (также в 2023 году); </w:t>
      </w:r>
    </w:p>
    <w:p w14:paraId="1DBF63D5" w14:textId="77777777" w:rsidR="0012451A" w:rsidRPr="00E47AA9" w:rsidRDefault="0012451A" w:rsidP="0012451A">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количество пешеходов, погибших в дорожно-транспортных происшествиях. Плановое значение на 2024 год составляет 32 человека, фактическое значение – 65 человек (как и в 2023 году). </w:t>
      </w:r>
    </w:p>
    <w:p w14:paraId="52659C73" w14:textId="77777777" w:rsidR="0012451A" w:rsidRPr="00E47AA9" w:rsidRDefault="0012451A" w:rsidP="0012451A">
      <w:pPr>
        <w:spacing w:after="0" w:line="240" w:lineRule="auto"/>
        <w:ind w:firstLine="708"/>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Подпрограмма "Комплексные меры профилактики правонарушений, экстремизма и терроризма, незаконного потребления наркотических средств и психотропных веществ в Приморском крае"</w:t>
      </w:r>
    </w:p>
    <w:p w14:paraId="1F2FB8DA" w14:textId="77777777" w:rsidR="0012451A" w:rsidRPr="00E47AA9" w:rsidRDefault="0012451A" w:rsidP="0012451A">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bCs/>
          <w:sz w:val="28"/>
          <w:szCs w:val="28"/>
        </w:rPr>
        <w:t>Мероприятия</w:t>
      </w:r>
      <w:r w:rsidRPr="00E47AA9">
        <w:rPr>
          <w:rFonts w:ascii="Times New Roman" w:eastAsia="Times New Roman" w:hAnsi="Times New Roman" w:cs="Times New Roman"/>
          <w:bCs/>
          <w:i/>
          <w:sz w:val="28"/>
          <w:szCs w:val="28"/>
        </w:rPr>
        <w:t xml:space="preserve"> РП "Развитие детского здравоохранения, включая создание современной инфраструктуры оказания медицинской помощи детям", в рамках </w:t>
      </w:r>
      <w:r w:rsidRPr="00E47AA9">
        <w:rPr>
          <w:rFonts w:ascii="Times New Roman" w:eastAsia="Times New Roman" w:hAnsi="Times New Roman" w:cs="Times New Roman"/>
          <w:i/>
          <w:sz w:val="28"/>
          <w:szCs w:val="28"/>
        </w:rPr>
        <w:t>НП "Здравоохранение"</w:t>
      </w:r>
      <w:r w:rsidRPr="00E47AA9">
        <w:rPr>
          <w:rFonts w:ascii="Times New Roman" w:eastAsia="Times New Roman" w:hAnsi="Times New Roman" w:cs="Times New Roman"/>
          <w:sz w:val="28"/>
          <w:szCs w:val="28"/>
        </w:rPr>
        <w:t xml:space="preserve"> исполнен в полном объеме плановых назначений 11,72 млн рублей. </w:t>
      </w:r>
    </w:p>
    <w:p w14:paraId="04D34B35" w14:textId="77777777" w:rsidR="0012451A" w:rsidRPr="00E47AA9" w:rsidRDefault="0012451A" w:rsidP="0012451A">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Cs/>
          <w:sz w:val="28"/>
          <w:szCs w:val="28"/>
          <w:lang w:eastAsia="ru-RU"/>
        </w:rPr>
        <w:t>Комплексы процессных мероприятий</w:t>
      </w:r>
      <w:r w:rsidRPr="00E47AA9">
        <w:rPr>
          <w:rFonts w:ascii="Times New Roman" w:eastAsia="Times New Roman" w:hAnsi="Times New Roman" w:cs="Times New Roman"/>
          <w:sz w:val="28"/>
          <w:szCs w:val="28"/>
          <w:lang w:eastAsia="ru-RU"/>
        </w:rPr>
        <w:t xml:space="preserve"> исполнены следующим образом:</w:t>
      </w:r>
    </w:p>
    <w:p w14:paraId="38F8D2B9" w14:textId="00590652" w:rsidR="0012451A" w:rsidRPr="00E47AA9" w:rsidRDefault="0012451A" w:rsidP="0012451A">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Cs/>
          <w:i/>
          <w:sz w:val="28"/>
          <w:szCs w:val="28"/>
          <w:lang w:eastAsia="ru-RU"/>
        </w:rPr>
        <w:t>КПМ "Профилактика правонарушений, асоциального и противоправного поведения, повышения уровня правовой культуры населения"</w:t>
      </w:r>
      <w:r w:rsidR="000C2DCC" w:rsidRPr="00E47AA9">
        <w:rPr>
          <w:rFonts w:ascii="Times New Roman" w:eastAsia="Times New Roman" w:hAnsi="Times New Roman" w:cs="Times New Roman"/>
          <w:bCs/>
          <w:i/>
          <w:sz w:val="28"/>
          <w:szCs w:val="28"/>
          <w:lang w:eastAsia="ru-RU"/>
        </w:rPr>
        <w:t> </w:t>
      </w:r>
      <w:r w:rsidRPr="00E47AA9">
        <w:rPr>
          <w:rFonts w:ascii="Times New Roman" w:eastAsia="Times New Roman" w:hAnsi="Times New Roman" w:cs="Times New Roman"/>
          <w:sz w:val="28"/>
          <w:szCs w:val="28"/>
          <w:lang w:eastAsia="ru-RU"/>
        </w:rPr>
        <w:t xml:space="preserve">– 23,66 млн рублей, или 97,85 % (план </w:t>
      </w:r>
      <w:r w:rsidR="00E02DD2"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24,18 млн рублей), из них 20,54 млн рублей – </w:t>
      </w:r>
      <w:r w:rsidRPr="00E47AA9">
        <w:rPr>
          <w:rFonts w:ascii="Times New Roman" w:eastAsia="Times New Roman" w:hAnsi="Times New Roman" w:cs="Times New Roman"/>
          <w:sz w:val="28"/>
          <w:szCs w:val="28"/>
          <w:u w:val="single"/>
          <w:lang w:eastAsia="ru-RU"/>
        </w:rPr>
        <w:t>департаментом по координации правоохранительной деятельности Приморского края</w:t>
      </w:r>
      <w:r w:rsidRPr="00E47AA9">
        <w:rPr>
          <w:rFonts w:ascii="Times New Roman" w:eastAsia="Times New Roman" w:hAnsi="Times New Roman" w:cs="Times New Roman"/>
          <w:sz w:val="28"/>
          <w:szCs w:val="28"/>
          <w:lang w:eastAsia="ru-RU"/>
        </w:rPr>
        <w:t>. Основной объем расходов в рамках КПМ приходится на предоставление:</w:t>
      </w:r>
    </w:p>
    <w:p w14:paraId="3CB8CBF7" w14:textId="77777777" w:rsidR="0012451A" w:rsidRPr="00E47AA9" w:rsidRDefault="0012451A" w:rsidP="0012451A">
      <w:pPr>
        <w:widowControl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субвенции федеральному бюджету на осуществление части переданных </w:t>
      </w:r>
      <w:r w:rsidRPr="00E47AA9">
        <w:rPr>
          <w:rFonts w:ascii="Times New Roman" w:eastAsia="Times New Roman" w:hAnsi="Times New Roman" w:cs="Times New Roman"/>
          <w:sz w:val="28"/>
          <w:szCs w:val="28"/>
          <w:lang w:eastAsia="ru-RU"/>
        </w:rPr>
        <w:lastRenderedPageBreak/>
        <w:t>полномочий по составлению протоколов об административных правонарушениях, посягающих на общественный порядок и общественную безопасность – 6,95 млн рублей (в полном объеме). В соответствии с переданными МВД России части полномочий по составлению протоколов об административных правонарушениях, посягающих на общественный порядок и общественную безопасность, предусмотренных Законом Приморского края от 05.03.2007 № 44-КЗ "Об административных правонарушениях в Приморском крае", сотрудники полиции наделены полномочиями по составлению протоколов об административных правонарушениях, предусмотренных вышеуказанным законом, по статьям: 3.6 "Приставание к гражданам в общественных местах", 3.8 "Игра в карты или иные азартные игры в общественных местах", 3.9 "Нарушение тишины и покоя граждан";</w:t>
      </w:r>
    </w:p>
    <w:p w14:paraId="18758485" w14:textId="77777777" w:rsidR="0012451A" w:rsidRPr="00E47AA9" w:rsidRDefault="0012451A" w:rsidP="0012451A">
      <w:pPr>
        <w:widowControl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субсидии на оплату труда адвокатов, оказывающих гражданам бесплатную юридическую помощь в рамках государственной системы бесплатной юридической помощи на территории Приморского края, и компенсацию их расходов на оказание бесплатной юридической помощи – 3,71 млн рублей (в полном объеме). Субсидия Адвокатской палате Приморского края предоставляется по фактическому числу обращений граждан. Количество случаев оказания бесплатной помощи в 2024 году составляет 3417;</w:t>
      </w:r>
    </w:p>
    <w:p w14:paraId="6F69A839" w14:textId="77777777" w:rsidR="0012451A" w:rsidRPr="00E47AA9" w:rsidRDefault="0012451A" w:rsidP="0012451A">
      <w:pPr>
        <w:widowControl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выплаты вознаграждения гражданам, добровольно сдавшим незаконно хранящиеся у них оружие, боеприпасы, взрывчатые вещества и взрывные устройства – 0,88 млн рублей, или 70,21 % от плана 1,25 млн рублей. В отчетном периоде на рассмотрение о выплате поступило 136 материалов;</w:t>
      </w:r>
    </w:p>
    <w:p w14:paraId="43677E9B" w14:textId="77777777" w:rsidR="0012451A" w:rsidRPr="00E47AA9" w:rsidRDefault="0012451A" w:rsidP="0012451A">
      <w:pPr>
        <w:widowControl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bCs/>
          <w:i/>
          <w:sz w:val="28"/>
          <w:szCs w:val="28"/>
        </w:rPr>
        <w:t>КПМ "Профилактика незаконного потребления наркотических средств и психотропных веществ, совершенствование антинаркотической пропаганды"</w:t>
      </w:r>
      <w:r w:rsidRPr="00E47AA9">
        <w:rPr>
          <w:rFonts w:ascii="Times New Roman" w:hAnsi="Times New Roman" w:cs="Times New Roman"/>
          <w:bCs/>
          <w:sz w:val="28"/>
          <w:szCs w:val="28"/>
        </w:rPr>
        <w:t xml:space="preserve"> </w:t>
      </w:r>
      <w:r w:rsidRPr="00E47AA9">
        <w:rPr>
          <w:rFonts w:ascii="Times New Roman" w:hAnsi="Times New Roman" w:cs="Times New Roman"/>
          <w:sz w:val="28"/>
          <w:szCs w:val="28"/>
        </w:rPr>
        <w:t>– 17,10 млн рублей (96,07 % от плана 17,80 млн рублей), из них:</w:t>
      </w:r>
    </w:p>
    <w:p w14:paraId="7470C95C" w14:textId="15CB55EA" w:rsidR="0012451A" w:rsidRPr="00E47AA9" w:rsidRDefault="0012451A" w:rsidP="0012451A">
      <w:pPr>
        <w:widowControl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hAnsi="Times New Roman" w:cs="Times New Roman"/>
          <w:sz w:val="28"/>
          <w:szCs w:val="28"/>
          <w:u w:val="single"/>
        </w:rPr>
        <w:t>министерством здравоохранения Приморского края</w:t>
      </w:r>
      <w:r w:rsidRPr="00E47AA9">
        <w:rPr>
          <w:rFonts w:ascii="Times New Roman" w:hAnsi="Times New Roman" w:cs="Times New Roman"/>
          <w:sz w:val="28"/>
          <w:szCs w:val="28"/>
        </w:rPr>
        <w:t xml:space="preserve"> – 12,83 млн рублей (в полном объеме плановых назначений) по противодействию распространения наркотиков</w:t>
      </w:r>
      <w:r w:rsidR="000C2DCC" w:rsidRPr="00E47AA9">
        <w:rPr>
          <w:rFonts w:ascii="Times New Roman" w:hAnsi="Times New Roman" w:cs="Times New Roman"/>
          <w:sz w:val="28"/>
          <w:szCs w:val="28"/>
        </w:rPr>
        <w:t>.</w:t>
      </w:r>
      <w:r w:rsidRPr="00E47AA9">
        <w:rPr>
          <w:rFonts w:ascii="Times New Roman" w:hAnsi="Times New Roman" w:cs="Times New Roman"/>
          <w:sz w:val="28"/>
          <w:szCs w:val="28"/>
        </w:rPr>
        <w:t xml:space="preserve"> Заключены и исполнены контракты на поставку реагентов и </w:t>
      </w:r>
      <w:proofErr w:type="gramStart"/>
      <w:r w:rsidRPr="00E47AA9">
        <w:rPr>
          <w:rFonts w:ascii="Times New Roman" w:hAnsi="Times New Roman" w:cs="Times New Roman"/>
          <w:sz w:val="28"/>
          <w:szCs w:val="28"/>
        </w:rPr>
        <w:t>расходных материалов для выявления наркотических веществ</w:t>
      </w:r>
      <w:proofErr w:type="gramEnd"/>
      <w:r w:rsidRPr="00E47AA9">
        <w:rPr>
          <w:rFonts w:ascii="Times New Roman" w:hAnsi="Times New Roman" w:cs="Times New Roman"/>
          <w:sz w:val="28"/>
          <w:szCs w:val="28"/>
        </w:rPr>
        <w:t xml:space="preserve"> и их метаболитов в организме человека</w:t>
      </w:r>
      <w:r w:rsidRPr="00E47AA9">
        <w:rPr>
          <w:rFonts w:ascii="Times New Roman" w:eastAsia="Times New Roman" w:hAnsi="Times New Roman" w:cs="Times New Roman"/>
          <w:sz w:val="28"/>
          <w:szCs w:val="28"/>
          <w:lang w:eastAsia="ru-RU"/>
        </w:rPr>
        <w:t xml:space="preserve">; </w:t>
      </w:r>
    </w:p>
    <w:p w14:paraId="25E9D273" w14:textId="77777777" w:rsidR="0012451A" w:rsidRPr="00E47AA9" w:rsidRDefault="0012451A" w:rsidP="0012451A">
      <w:pPr>
        <w:widowControl w:val="0"/>
        <w:tabs>
          <w:tab w:val="num" w:pos="1247"/>
        </w:tabs>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bCs/>
          <w:sz w:val="28"/>
          <w:szCs w:val="28"/>
          <w:u w:val="single"/>
          <w:lang w:eastAsia="ru-RU"/>
        </w:rPr>
        <w:t>департаментом информационной политики Приморского края</w:t>
      </w:r>
      <w:r w:rsidRPr="00E47AA9">
        <w:rPr>
          <w:rFonts w:ascii="Times New Roman" w:eastAsia="Times New Roman" w:hAnsi="Times New Roman" w:cs="Times New Roman"/>
          <w:bCs/>
          <w:sz w:val="28"/>
          <w:szCs w:val="28"/>
          <w:lang w:eastAsia="ru-RU"/>
        </w:rPr>
        <w:t xml:space="preserve"> – 3,00 млн рублей (в полном объеме плановых назначений). Заключены и исполнены 3 контракта (ООО </w:t>
      </w:r>
      <w:r w:rsidRPr="00E47AA9">
        <w:rPr>
          <w:rFonts w:ascii="Times New Roman" w:hAnsi="Times New Roman" w:cs="Times New Roman"/>
          <w:sz w:val="28"/>
          <w:szCs w:val="28"/>
        </w:rPr>
        <w:t>"</w:t>
      </w:r>
      <w:proofErr w:type="spellStart"/>
      <w:r w:rsidRPr="00E47AA9">
        <w:rPr>
          <w:rFonts w:ascii="Times New Roman" w:hAnsi="Times New Roman" w:cs="Times New Roman"/>
          <w:sz w:val="28"/>
          <w:szCs w:val="28"/>
        </w:rPr>
        <w:t>Интеррейтинг</w:t>
      </w:r>
      <w:proofErr w:type="spellEnd"/>
      <w:r w:rsidRPr="00E47AA9">
        <w:rPr>
          <w:rFonts w:ascii="Times New Roman" w:hAnsi="Times New Roman" w:cs="Times New Roman"/>
          <w:sz w:val="28"/>
          <w:szCs w:val="28"/>
        </w:rPr>
        <w:t>", ФГУП ВГТРК ГТРК "Владивосток", ООО "ДАЛЬНЕВОСТОЧНЫЙ МЕДИА ЦЕНТР") на подготовку и размещение в средствах массовой информации, на объектах наружной рекламы информационной продукции, изготовление полиграфической продукции по профилактике правонарушений и незаконного потребления наркотических средств и психотропных веществ.</w:t>
      </w:r>
    </w:p>
    <w:p w14:paraId="163B3B5B" w14:textId="62AA01FD" w:rsidR="0012451A" w:rsidRPr="00E47AA9" w:rsidRDefault="0012451A" w:rsidP="0012451A">
      <w:pPr>
        <w:widowControl w:val="0"/>
        <w:tabs>
          <w:tab w:val="num" w:pos="1247"/>
        </w:tabs>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u w:val="single"/>
        </w:rPr>
        <w:t>Агентством по делам молодежи Приморского края</w:t>
      </w:r>
      <w:r w:rsidRPr="00E47AA9">
        <w:rPr>
          <w:rFonts w:ascii="Times New Roman" w:hAnsi="Times New Roman" w:cs="Times New Roman"/>
          <w:sz w:val="28"/>
          <w:szCs w:val="28"/>
        </w:rPr>
        <w:t xml:space="preserve"> без привлечения бюджетных средств (плановые назначения 0,7 млн рублей) организованы и проведены: обучающие семинары по программам профилактики наркомании для членов молодежных объединений по принципу "ровесник-ровеснику"</w:t>
      </w:r>
      <w:r w:rsidR="000C2DCC" w:rsidRPr="00E47AA9">
        <w:rPr>
          <w:rFonts w:ascii="Times New Roman" w:hAnsi="Times New Roman" w:cs="Times New Roman"/>
          <w:sz w:val="28"/>
          <w:szCs w:val="28"/>
        </w:rPr>
        <w:t>,</w:t>
      </w:r>
      <w:r w:rsidRPr="00E47AA9">
        <w:rPr>
          <w:rFonts w:ascii="Times New Roman" w:hAnsi="Times New Roman" w:cs="Times New Roman"/>
          <w:sz w:val="28"/>
          <w:szCs w:val="28"/>
        </w:rPr>
        <w:t xml:space="preserve"> </w:t>
      </w:r>
      <w:r w:rsidRPr="00E47AA9">
        <w:rPr>
          <w:rFonts w:ascii="Times New Roman" w:hAnsi="Times New Roman" w:cs="Times New Roman"/>
          <w:sz w:val="28"/>
          <w:szCs w:val="28"/>
        </w:rPr>
        <w:lastRenderedPageBreak/>
        <w:t>молодежный форум "Молодежь Приморья без наркотиков"</w:t>
      </w:r>
      <w:r w:rsidR="000C2DCC" w:rsidRPr="00E47AA9">
        <w:rPr>
          <w:rFonts w:ascii="Times New Roman" w:hAnsi="Times New Roman" w:cs="Times New Roman"/>
          <w:sz w:val="28"/>
          <w:szCs w:val="28"/>
        </w:rPr>
        <w:t>,</w:t>
      </w:r>
      <w:r w:rsidRPr="00E47AA9">
        <w:rPr>
          <w:rFonts w:ascii="Times New Roman" w:hAnsi="Times New Roman" w:cs="Times New Roman"/>
          <w:sz w:val="28"/>
          <w:szCs w:val="28"/>
        </w:rPr>
        <w:t xml:space="preserve"> семинара по подготовке тренеров по профилактике наркомании;</w:t>
      </w:r>
    </w:p>
    <w:p w14:paraId="7960C0A9" w14:textId="3D3ADB5A" w:rsidR="0012451A" w:rsidRPr="00E47AA9" w:rsidRDefault="0012451A" w:rsidP="0012451A">
      <w:pPr>
        <w:widowControl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bCs/>
          <w:i/>
          <w:sz w:val="28"/>
          <w:szCs w:val="28"/>
        </w:rPr>
        <w:t>КПМ "Формирование в обществе нетерпимого отношения к проявлениям терроризма и экстремизма, повышение уровня антитеррористической защищенности на территории Приморского края"</w:t>
      </w:r>
      <w:r w:rsidRPr="00E47AA9">
        <w:rPr>
          <w:rFonts w:ascii="Times New Roman" w:hAnsi="Times New Roman" w:cs="Times New Roman"/>
          <w:sz w:val="28"/>
          <w:szCs w:val="28"/>
        </w:rPr>
        <w:t xml:space="preserve"> – 10,01 млн рублей, или 97,98 %</w:t>
      </w:r>
      <w:r w:rsidR="000C2DCC" w:rsidRPr="00E47AA9">
        <w:rPr>
          <w:rFonts w:ascii="Times New Roman" w:hAnsi="Times New Roman" w:cs="Times New Roman"/>
          <w:sz w:val="28"/>
          <w:szCs w:val="28"/>
        </w:rPr>
        <w:t>,</w:t>
      </w:r>
      <w:r w:rsidRPr="00E47AA9">
        <w:rPr>
          <w:rFonts w:ascii="Times New Roman" w:hAnsi="Times New Roman" w:cs="Times New Roman"/>
          <w:sz w:val="28"/>
          <w:szCs w:val="28"/>
        </w:rPr>
        <w:t xml:space="preserve"> от плана 10,22 млн рублей, из них:</w:t>
      </w:r>
    </w:p>
    <w:p w14:paraId="0FCC12DA" w14:textId="2F1B3103" w:rsidR="0012451A" w:rsidRPr="00E47AA9" w:rsidRDefault="0012451A" w:rsidP="0012451A">
      <w:pPr>
        <w:widowControl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u w:val="single"/>
        </w:rPr>
        <w:t>департаментом информационной политики Приморского края</w:t>
      </w:r>
      <w:r w:rsidRPr="00E47AA9">
        <w:rPr>
          <w:rFonts w:ascii="Times New Roman" w:hAnsi="Times New Roman" w:cs="Times New Roman"/>
          <w:sz w:val="28"/>
          <w:szCs w:val="28"/>
        </w:rPr>
        <w:t xml:space="preserve"> – 3,00 млн рублей. Заключены и исполнены 3 контракта (ООО "</w:t>
      </w:r>
      <w:proofErr w:type="spellStart"/>
      <w:r w:rsidRPr="00E47AA9">
        <w:rPr>
          <w:rFonts w:ascii="Times New Roman" w:hAnsi="Times New Roman" w:cs="Times New Roman"/>
          <w:sz w:val="28"/>
          <w:szCs w:val="28"/>
        </w:rPr>
        <w:t>Интерейтинг</w:t>
      </w:r>
      <w:proofErr w:type="spellEnd"/>
      <w:r w:rsidRPr="00E47AA9">
        <w:rPr>
          <w:rFonts w:ascii="Times New Roman" w:hAnsi="Times New Roman" w:cs="Times New Roman"/>
          <w:sz w:val="28"/>
          <w:szCs w:val="28"/>
        </w:rPr>
        <w:t>", ФГУП ВГТРК ГТРК "Владивосток", ООО "ДАЛЬНЕВОСТОЧНЫЙ МЕДИА ЦЕНТР") на подготовку и размещение в средствах массовой информации, на объектах наружной рекламы информационной продукции, направленной на профилактику терроризма и экстремизма;</w:t>
      </w:r>
    </w:p>
    <w:p w14:paraId="22FBE7A0" w14:textId="023EC5E7" w:rsidR="0012451A" w:rsidRPr="00E47AA9" w:rsidRDefault="0012451A" w:rsidP="0012451A">
      <w:pPr>
        <w:widowControl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u w:val="single"/>
        </w:rPr>
        <w:t>департамент по координации правоохранительной деятельности Приморского края</w:t>
      </w:r>
      <w:r w:rsidRPr="00E47AA9">
        <w:rPr>
          <w:rFonts w:ascii="Times New Roman" w:hAnsi="Times New Roman" w:cs="Times New Roman"/>
          <w:sz w:val="28"/>
          <w:szCs w:val="28"/>
        </w:rPr>
        <w:t xml:space="preserve"> – 7,01 млн рублей, или 97,14 %</w:t>
      </w:r>
      <w:r w:rsidR="000C2DCC" w:rsidRPr="00E47AA9">
        <w:rPr>
          <w:rFonts w:ascii="Times New Roman" w:hAnsi="Times New Roman" w:cs="Times New Roman"/>
          <w:sz w:val="28"/>
          <w:szCs w:val="28"/>
        </w:rPr>
        <w:t>,</w:t>
      </w:r>
      <w:r w:rsidRPr="00E47AA9">
        <w:rPr>
          <w:rFonts w:ascii="Times New Roman" w:hAnsi="Times New Roman" w:cs="Times New Roman"/>
          <w:sz w:val="28"/>
          <w:szCs w:val="28"/>
        </w:rPr>
        <w:t xml:space="preserve"> от плана 7,22 млн рублей, в том числе: </w:t>
      </w:r>
    </w:p>
    <w:p w14:paraId="34F1A1F8" w14:textId="15FDDA86" w:rsidR="0012451A" w:rsidRPr="00E47AA9" w:rsidRDefault="0012451A" w:rsidP="0012451A">
      <w:pPr>
        <w:widowControl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на содержание и эксплуатацию стационарных </w:t>
      </w:r>
      <w:proofErr w:type="spellStart"/>
      <w:r w:rsidRPr="00E47AA9">
        <w:rPr>
          <w:rFonts w:ascii="Times New Roman" w:hAnsi="Times New Roman" w:cs="Times New Roman"/>
          <w:sz w:val="28"/>
          <w:szCs w:val="28"/>
        </w:rPr>
        <w:t>металлодетекторов</w:t>
      </w:r>
      <w:proofErr w:type="spellEnd"/>
      <w:r w:rsidRPr="00E47AA9">
        <w:rPr>
          <w:rFonts w:ascii="Times New Roman" w:hAnsi="Times New Roman" w:cs="Times New Roman"/>
          <w:sz w:val="28"/>
          <w:szCs w:val="28"/>
        </w:rPr>
        <w:t>, включая их монтаж, демонтаж и транспортировку при проведении массовых мероприятий – 1,30 млн рублей, или 86,28 %</w:t>
      </w:r>
      <w:r w:rsidR="000C2DCC" w:rsidRPr="00E47AA9">
        <w:rPr>
          <w:rFonts w:ascii="Times New Roman" w:hAnsi="Times New Roman" w:cs="Times New Roman"/>
          <w:sz w:val="28"/>
          <w:szCs w:val="28"/>
        </w:rPr>
        <w:t>,</w:t>
      </w:r>
      <w:r w:rsidRPr="00E47AA9">
        <w:rPr>
          <w:rFonts w:ascii="Times New Roman" w:hAnsi="Times New Roman" w:cs="Times New Roman"/>
          <w:sz w:val="28"/>
          <w:szCs w:val="28"/>
        </w:rPr>
        <w:t xml:space="preserve"> от плана 1,51 млн рублей). </w:t>
      </w:r>
      <w:proofErr w:type="spellStart"/>
      <w:r w:rsidRPr="00E47AA9">
        <w:rPr>
          <w:rFonts w:ascii="Times New Roman" w:hAnsi="Times New Roman" w:cs="Times New Roman"/>
          <w:sz w:val="28"/>
          <w:szCs w:val="28"/>
        </w:rPr>
        <w:t>Металлодетекторы</w:t>
      </w:r>
      <w:proofErr w:type="spellEnd"/>
      <w:r w:rsidRPr="00E47AA9">
        <w:rPr>
          <w:rFonts w:ascii="Times New Roman" w:hAnsi="Times New Roman" w:cs="Times New Roman"/>
          <w:sz w:val="28"/>
          <w:szCs w:val="28"/>
        </w:rPr>
        <w:t xml:space="preserve"> установлены и использовались на избирательных участках во время проведения выборов;</w:t>
      </w:r>
    </w:p>
    <w:p w14:paraId="34DF6D74" w14:textId="77777777" w:rsidR="0012451A" w:rsidRPr="00E47AA9" w:rsidRDefault="0012451A" w:rsidP="0012451A">
      <w:pPr>
        <w:widowControl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на приобретение стационарных </w:t>
      </w:r>
      <w:proofErr w:type="spellStart"/>
      <w:r w:rsidRPr="00E47AA9">
        <w:rPr>
          <w:rFonts w:ascii="Times New Roman" w:hAnsi="Times New Roman" w:cs="Times New Roman"/>
          <w:sz w:val="28"/>
          <w:szCs w:val="28"/>
        </w:rPr>
        <w:t>металлодетекторов</w:t>
      </w:r>
      <w:proofErr w:type="spellEnd"/>
      <w:r w:rsidRPr="00E47AA9">
        <w:rPr>
          <w:rFonts w:ascii="Times New Roman" w:hAnsi="Times New Roman" w:cs="Times New Roman"/>
          <w:sz w:val="28"/>
          <w:szCs w:val="28"/>
        </w:rPr>
        <w:t xml:space="preserve"> для проведения массовых мероприятий – 5,72 млн рублей (в полном объеме плановых назначений). Контракт на поставку сборно-разборных </w:t>
      </w:r>
      <w:proofErr w:type="spellStart"/>
      <w:r w:rsidRPr="00E47AA9">
        <w:rPr>
          <w:rFonts w:ascii="Times New Roman" w:hAnsi="Times New Roman" w:cs="Times New Roman"/>
          <w:sz w:val="28"/>
          <w:szCs w:val="28"/>
        </w:rPr>
        <w:t>металлодетекторов</w:t>
      </w:r>
      <w:proofErr w:type="spellEnd"/>
      <w:r w:rsidRPr="00E47AA9">
        <w:rPr>
          <w:rFonts w:ascii="Times New Roman" w:hAnsi="Times New Roman" w:cs="Times New Roman"/>
          <w:sz w:val="28"/>
          <w:szCs w:val="28"/>
        </w:rPr>
        <w:t xml:space="preserve"> арочного типа для обеспечения безопасности при проведении массовых мероприятий в г. Владивостоке выполнен в полном объеме.  Поставлено в срок 20 </w:t>
      </w:r>
      <w:proofErr w:type="spellStart"/>
      <w:r w:rsidRPr="00E47AA9">
        <w:rPr>
          <w:rFonts w:ascii="Times New Roman" w:hAnsi="Times New Roman" w:cs="Times New Roman"/>
          <w:sz w:val="28"/>
          <w:szCs w:val="28"/>
        </w:rPr>
        <w:t>металлодетекторов</w:t>
      </w:r>
      <w:proofErr w:type="spellEnd"/>
      <w:r w:rsidRPr="00E47AA9">
        <w:rPr>
          <w:rFonts w:ascii="Times New Roman" w:hAnsi="Times New Roman" w:cs="Times New Roman"/>
          <w:sz w:val="28"/>
          <w:szCs w:val="28"/>
        </w:rPr>
        <w:t xml:space="preserve">. </w:t>
      </w:r>
    </w:p>
    <w:p w14:paraId="7A76C41E" w14:textId="77777777" w:rsidR="0012451A" w:rsidRPr="00E47AA9" w:rsidRDefault="0012451A" w:rsidP="0012451A">
      <w:pPr>
        <w:widowControl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b/>
          <w:sz w:val="28"/>
          <w:szCs w:val="28"/>
        </w:rPr>
        <w:t>Подпрограмма "Обеспечение деятельности мировой юстиции и государственного управления в сфере обеспечения общественной безопасности и правопорядка в Приморском крае"</w:t>
      </w:r>
    </w:p>
    <w:p w14:paraId="394EAFF4" w14:textId="77777777" w:rsidR="0012451A" w:rsidRPr="00E47AA9" w:rsidRDefault="0012451A" w:rsidP="0012451A">
      <w:pPr>
        <w:widowControl w:val="0"/>
        <w:spacing w:after="0" w:line="240" w:lineRule="auto"/>
        <w:ind w:firstLine="709"/>
        <w:jc w:val="both"/>
        <w:rPr>
          <w:rFonts w:ascii="Times New Roman" w:hAnsi="Times New Roman" w:cs="Times New Roman"/>
          <w:bCs/>
          <w:sz w:val="28"/>
          <w:szCs w:val="28"/>
        </w:rPr>
      </w:pPr>
      <w:r w:rsidRPr="00E47AA9">
        <w:rPr>
          <w:rFonts w:ascii="Times New Roman" w:hAnsi="Times New Roman" w:cs="Times New Roman"/>
          <w:bCs/>
          <w:iCs/>
          <w:sz w:val="28"/>
          <w:szCs w:val="28"/>
        </w:rPr>
        <w:t>В отчетном году выполнены</w:t>
      </w:r>
      <w:r w:rsidRPr="00E47AA9">
        <w:rPr>
          <w:rFonts w:ascii="Times New Roman" w:hAnsi="Times New Roman" w:cs="Times New Roman"/>
          <w:bCs/>
          <w:i/>
          <w:sz w:val="28"/>
          <w:szCs w:val="28"/>
        </w:rPr>
        <w:t xml:space="preserve"> </w:t>
      </w:r>
      <w:r w:rsidRPr="00E47AA9">
        <w:rPr>
          <w:rFonts w:ascii="Times New Roman" w:hAnsi="Times New Roman" w:cs="Times New Roman"/>
          <w:bCs/>
          <w:sz w:val="28"/>
          <w:szCs w:val="28"/>
        </w:rPr>
        <w:t>комплексы процессных мероприятий:</w:t>
      </w:r>
    </w:p>
    <w:p w14:paraId="1AC103A0" w14:textId="203631CF" w:rsidR="0012451A" w:rsidRPr="00E47AA9" w:rsidRDefault="0012451A" w:rsidP="0012451A">
      <w:pPr>
        <w:widowControl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hAnsi="Times New Roman" w:cs="Times New Roman"/>
          <w:bCs/>
          <w:i/>
          <w:sz w:val="28"/>
          <w:szCs w:val="28"/>
        </w:rPr>
        <w:t>КПМ "Обеспечение деятельности мировой юстиции в Приморском крае"</w:t>
      </w:r>
      <w:r w:rsidRPr="00E47AA9">
        <w:rPr>
          <w:rFonts w:ascii="Times New Roman" w:hAnsi="Times New Roman" w:cs="Times New Roman"/>
          <w:b/>
          <w:sz w:val="28"/>
          <w:szCs w:val="28"/>
        </w:rPr>
        <w:t xml:space="preserve"> </w:t>
      </w:r>
      <w:r w:rsidRPr="00E47AA9">
        <w:rPr>
          <w:rFonts w:ascii="Times New Roman" w:hAnsi="Times New Roman" w:cs="Times New Roman"/>
          <w:sz w:val="28"/>
          <w:szCs w:val="28"/>
        </w:rPr>
        <w:t>– 804,09 млн рублей</w:t>
      </w:r>
      <w:r w:rsidR="000C2DCC" w:rsidRPr="00E47AA9">
        <w:rPr>
          <w:rFonts w:ascii="Times New Roman" w:eastAsia="Times New Roman" w:hAnsi="Times New Roman" w:cs="Times New Roman"/>
          <w:sz w:val="28"/>
          <w:szCs w:val="28"/>
          <w:lang w:eastAsia="ru-RU"/>
        </w:rPr>
        <w:t xml:space="preserve"> (план</w:t>
      </w:r>
      <w:r w:rsidR="00E02DD2" w:rsidRPr="00E47AA9">
        <w:rPr>
          <w:rFonts w:ascii="Times New Roman" w:eastAsia="Times New Roman" w:hAnsi="Times New Roman" w:cs="Times New Roman"/>
          <w:sz w:val="28"/>
          <w:szCs w:val="28"/>
          <w:lang w:eastAsia="ru-RU"/>
        </w:rPr>
        <w:t xml:space="preserve"> – </w:t>
      </w:r>
      <w:r w:rsidRPr="00E47AA9">
        <w:rPr>
          <w:rFonts w:ascii="Times New Roman" w:eastAsia="Times New Roman" w:hAnsi="Times New Roman" w:cs="Times New Roman"/>
          <w:sz w:val="28"/>
          <w:szCs w:val="28"/>
          <w:lang w:eastAsia="ru-RU"/>
        </w:rPr>
        <w:t>805,90 млн рублей). Средства направлены на обеспечение деятельности мировых судей;</w:t>
      </w:r>
    </w:p>
    <w:p w14:paraId="79B4DEBF" w14:textId="573F5F69" w:rsidR="0012451A" w:rsidRPr="00E47AA9" w:rsidRDefault="0012451A" w:rsidP="0012451A">
      <w:pPr>
        <w:widowControl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bCs/>
          <w:i/>
          <w:sz w:val="28"/>
          <w:szCs w:val="28"/>
        </w:rPr>
        <w:t xml:space="preserve">КПМ "Финансовое обеспечение переданных федеральных полномочий" </w:t>
      </w:r>
      <w:r w:rsidRPr="00E47AA9">
        <w:rPr>
          <w:rFonts w:ascii="Times New Roman" w:hAnsi="Times New Roman" w:cs="Times New Roman"/>
          <w:i/>
          <w:sz w:val="28"/>
          <w:szCs w:val="28"/>
        </w:rPr>
        <w:t xml:space="preserve">– </w:t>
      </w:r>
      <w:r w:rsidRPr="00E47AA9">
        <w:rPr>
          <w:rFonts w:ascii="Times New Roman" w:hAnsi="Times New Roman" w:cs="Times New Roman"/>
          <w:sz w:val="28"/>
          <w:szCs w:val="28"/>
        </w:rPr>
        <w:t xml:space="preserve">средства федерального и краевого бюджета освоены в сумме 94,32 млн рублей (план </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94,37 млн рублей), из них:</w:t>
      </w:r>
    </w:p>
    <w:p w14:paraId="2AD24C7C" w14:textId="77777777" w:rsidR="0012451A" w:rsidRPr="00E47AA9" w:rsidRDefault="0012451A" w:rsidP="0012451A">
      <w:pPr>
        <w:widowControl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50,00 млн рублей (в полном объеме плановых назначений) – на </w:t>
      </w:r>
      <w:proofErr w:type="spellStart"/>
      <w:r w:rsidRPr="00E47AA9">
        <w:rPr>
          <w:rFonts w:ascii="Times New Roman" w:hAnsi="Times New Roman" w:cs="Times New Roman"/>
          <w:sz w:val="28"/>
          <w:szCs w:val="28"/>
        </w:rPr>
        <w:t>цифровизацию</w:t>
      </w:r>
      <w:proofErr w:type="spellEnd"/>
      <w:r w:rsidRPr="00E47AA9">
        <w:rPr>
          <w:rFonts w:ascii="Times New Roman" w:hAnsi="Times New Roman" w:cs="Times New Roman"/>
          <w:sz w:val="28"/>
          <w:szCs w:val="28"/>
        </w:rPr>
        <w:t xml:space="preserve"> судебных участков. Проведена аттестация 335 автоматизированных рабочих мест (75 % судебных участков мировых судей из 109) с выдачей аттестата соответствия информационной системы требованиям по защите информации; заключены контракты на</w:t>
      </w:r>
      <w:r w:rsidRPr="00E47AA9">
        <w:rPr>
          <w:rFonts w:ascii="Times New Roman" w:hAnsi="Times New Roman"/>
          <w:sz w:val="28"/>
          <w:szCs w:val="28"/>
        </w:rPr>
        <w:t xml:space="preserve"> поставку программно-аппаратных комплексов в защищенном исполнении с серверными стойками и источниками бесперебойного питания на судебные участки мировых судей Приморского края,</w:t>
      </w:r>
      <w:r w:rsidRPr="00E47AA9">
        <w:t xml:space="preserve"> </w:t>
      </w:r>
      <w:r w:rsidRPr="00E47AA9">
        <w:rPr>
          <w:rFonts w:ascii="Times New Roman" w:hAnsi="Times New Roman"/>
          <w:sz w:val="28"/>
          <w:szCs w:val="28"/>
        </w:rPr>
        <w:t xml:space="preserve">на оказание услуг по обновлению </w:t>
      </w:r>
      <w:r w:rsidRPr="00E47AA9">
        <w:rPr>
          <w:rFonts w:ascii="Times New Roman" w:hAnsi="Times New Roman"/>
          <w:sz w:val="28"/>
          <w:szCs w:val="28"/>
        </w:rPr>
        <w:lastRenderedPageBreak/>
        <w:t>и сопровождению специального программного обеспечения для обеспечения деятельности судебных участков мировых судей Приморского края и прочее</w:t>
      </w:r>
      <w:r w:rsidRPr="00E47AA9">
        <w:rPr>
          <w:rFonts w:ascii="Times New Roman" w:hAnsi="Times New Roman" w:cs="Times New Roman"/>
          <w:sz w:val="28"/>
          <w:szCs w:val="28"/>
        </w:rPr>
        <w:t>;</w:t>
      </w:r>
    </w:p>
    <w:p w14:paraId="60CCF7B4" w14:textId="77777777" w:rsidR="0012451A" w:rsidRPr="00E47AA9" w:rsidRDefault="0012451A" w:rsidP="0012451A">
      <w:pPr>
        <w:widowControl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hAnsi="Times New Roman" w:cs="Times New Roman"/>
          <w:sz w:val="28"/>
          <w:szCs w:val="28"/>
        </w:rPr>
        <w:t xml:space="preserve">42,87 млн рублей (в полном объеме плановых назначений) предоставлены субвенции на осуществление </w:t>
      </w:r>
      <w:r w:rsidRPr="00E47AA9">
        <w:rPr>
          <w:rFonts w:ascii="Times New Roman" w:eastAsia="Times New Roman" w:hAnsi="Times New Roman" w:cs="Times New Roman"/>
          <w:sz w:val="28"/>
          <w:szCs w:val="28"/>
          <w:lang w:eastAsia="ru-RU"/>
        </w:rPr>
        <w:t>первичного воинского учета на территориях, где отсутствуют военные комиссариаты;</w:t>
      </w:r>
    </w:p>
    <w:p w14:paraId="3247993F" w14:textId="77777777" w:rsidR="0012451A" w:rsidRPr="00E47AA9" w:rsidRDefault="0012451A" w:rsidP="0012451A">
      <w:pPr>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i/>
          <w:sz w:val="28"/>
          <w:szCs w:val="28"/>
        </w:rPr>
        <w:t>КПМ "Обеспечение государственного управления в сфере реализации государственной программы"</w:t>
      </w:r>
      <w:r w:rsidRPr="00E47AA9">
        <w:rPr>
          <w:rFonts w:ascii="Times New Roman" w:hAnsi="Times New Roman" w:cs="Times New Roman"/>
          <w:sz w:val="28"/>
          <w:szCs w:val="28"/>
        </w:rPr>
        <w:t xml:space="preserve"> – 210,19 млн рублей (98,91 % от плана 212,51 млн рублей), в том числе расходы на обеспечение деятельности:</w:t>
      </w:r>
    </w:p>
    <w:p w14:paraId="7FCECC17" w14:textId="69BEFB5C" w:rsidR="0012451A" w:rsidRPr="00E47AA9" w:rsidRDefault="0012451A" w:rsidP="0012451A">
      <w:pPr>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 xml:space="preserve">департамента по координации правоохранительной деятельности Приморского края </w:t>
      </w:r>
      <w:r w:rsidR="00192E4A" w:rsidRPr="00E47AA9">
        <w:rPr>
          <w:rFonts w:ascii="Times New Roman" w:hAnsi="Times New Roman" w:cs="Times New Roman"/>
          <w:sz w:val="28"/>
          <w:szCs w:val="28"/>
        </w:rPr>
        <w:t>–</w:t>
      </w:r>
      <w:r w:rsidRPr="00E47AA9">
        <w:rPr>
          <w:rFonts w:ascii="Times New Roman" w:hAnsi="Times New Roman" w:cs="Times New Roman"/>
          <w:sz w:val="28"/>
          <w:szCs w:val="28"/>
        </w:rPr>
        <w:t xml:space="preserve"> 85,40 млн рублей (план</w:t>
      </w:r>
      <w:r w:rsidR="00E02DD2" w:rsidRPr="00E47AA9">
        <w:rPr>
          <w:rFonts w:ascii="Times New Roman" w:hAnsi="Times New Roman" w:cs="Times New Roman"/>
          <w:sz w:val="28"/>
          <w:szCs w:val="28"/>
        </w:rPr>
        <w:t xml:space="preserve"> – </w:t>
      </w:r>
      <w:r w:rsidRPr="00E47AA9">
        <w:rPr>
          <w:rFonts w:ascii="Times New Roman" w:hAnsi="Times New Roman" w:cs="Times New Roman"/>
          <w:sz w:val="28"/>
          <w:szCs w:val="28"/>
        </w:rPr>
        <w:t xml:space="preserve">85,52 млн рублей); </w:t>
      </w:r>
    </w:p>
    <w:p w14:paraId="3B789620" w14:textId="52687CB7" w:rsidR="0012451A" w:rsidRPr="00E47AA9" w:rsidRDefault="0012451A" w:rsidP="0012451A">
      <w:pPr>
        <w:spacing w:after="0" w:line="240" w:lineRule="auto"/>
        <w:ind w:firstLine="708"/>
        <w:jc w:val="both"/>
        <w:rPr>
          <w:rFonts w:ascii="Times New Roman" w:hAnsi="Times New Roman" w:cs="Times New Roman"/>
          <w:sz w:val="28"/>
          <w:szCs w:val="28"/>
        </w:rPr>
      </w:pPr>
      <w:r w:rsidRPr="00E47AA9">
        <w:rPr>
          <w:rFonts w:ascii="Times New Roman" w:hAnsi="Times New Roman" w:cs="Times New Roman"/>
          <w:sz w:val="28"/>
          <w:szCs w:val="28"/>
        </w:rPr>
        <w:t>КГКУ "</w:t>
      </w:r>
      <w:proofErr w:type="spellStart"/>
      <w:r w:rsidRPr="00E47AA9">
        <w:rPr>
          <w:rFonts w:ascii="Times New Roman" w:hAnsi="Times New Roman" w:cs="Times New Roman"/>
          <w:sz w:val="28"/>
          <w:szCs w:val="28"/>
        </w:rPr>
        <w:t>Примгосавтонадзор</w:t>
      </w:r>
      <w:proofErr w:type="spellEnd"/>
      <w:r w:rsidRPr="00E47AA9">
        <w:rPr>
          <w:rFonts w:ascii="Times New Roman" w:hAnsi="Times New Roman" w:cs="Times New Roman"/>
          <w:sz w:val="28"/>
          <w:szCs w:val="28"/>
        </w:rPr>
        <w:t xml:space="preserve">" </w:t>
      </w:r>
      <w:r w:rsidR="00192E4A" w:rsidRPr="00E47AA9">
        <w:rPr>
          <w:rFonts w:ascii="Times New Roman" w:hAnsi="Times New Roman" w:cs="Times New Roman"/>
          <w:sz w:val="28"/>
          <w:szCs w:val="28"/>
        </w:rPr>
        <w:t>–</w:t>
      </w:r>
      <w:r w:rsidRPr="00E47AA9">
        <w:rPr>
          <w:rFonts w:ascii="Times New Roman" w:hAnsi="Times New Roman" w:cs="Times New Roman"/>
          <w:sz w:val="28"/>
          <w:szCs w:val="28"/>
        </w:rPr>
        <w:t xml:space="preserve"> 124,79 млн рублей (98,27 % от плана 126,99 млн рублей).</w:t>
      </w:r>
    </w:p>
    <w:p w14:paraId="3234D51C" w14:textId="77777777" w:rsidR="000711E6" w:rsidRPr="00E47AA9" w:rsidRDefault="000711E6" w:rsidP="00515109">
      <w:pPr>
        <w:spacing w:after="0" w:line="240" w:lineRule="auto"/>
        <w:jc w:val="center"/>
        <w:rPr>
          <w:rFonts w:ascii="Times New Roman" w:eastAsia="Times New Roman" w:hAnsi="Times New Roman" w:cs="Times New Roman"/>
          <w:b/>
          <w:sz w:val="28"/>
          <w:szCs w:val="28"/>
          <w:lang w:eastAsia="ru-RU"/>
        </w:rPr>
      </w:pPr>
      <w:r w:rsidRPr="00E47AA9">
        <w:rPr>
          <w:rFonts w:ascii="Times New Roman" w:hAnsi="Times New Roman" w:cs="Times New Roman"/>
          <w:noProof/>
          <w:lang w:eastAsia="ru-RU"/>
        </w:rPr>
        <w:drawing>
          <wp:anchor distT="0" distB="0" distL="114300" distR="114300" simplePos="0" relativeHeight="251682816" behindDoc="0" locked="0" layoutInCell="1" allowOverlap="1" wp14:anchorId="75596B53" wp14:editId="02773D27">
            <wp:simplePos x="0" y="0"/>
            <wp:positionH relativeFrom="column">
              <wp:posOffset>-635</wp:posOffset>
            </wp:positionH>
            <wp:positionV relativeFrom="paragraph">
              <wp:posOffset>25490</wp:posOffset>
            </wp:positionV>
            <wp:extent cx="1332865" cy="1062355"/>
            <wp:effectExtent l="0" t="0" r="635" b="4445"/>
            <wp:wrapSquare wrapText="bothSides"/>
            <wp:docPr id="45" name="Рисунок 45" descr="https://ds05.infourok.ru/uploads/ex/066a/000e1029-694a8dbd/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5.infourok.ru/uploads/ex/066a/000e1029-694a8dbd/img1.jpg"/>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55469" t="27698" r="1264" b="10993"/>
                    <a:stretch/>
                  </pic:blipFill>
                  <pic:spPr bwMode="auto">
                    <a:xfrm>
                      <a:off x="0" y="0"/>
                      <a:ext cx="1332865" cy="10623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47AA9">
        <w:rPr>
          <w:rFonts w:ascii="Times New Roman" w:eastAsia="Times New Roman" w:hAnsi="Times New Roman" w:cs="Times New Roman"/>
          <w:b/>
          <w:sz w:val="28"/>
          <w:szCs w:val="28"/>
          <w:lang w:eastAsia="ru-RU"/>
        </w:rPr>
        <w:t>5.2.19. Государственная программа Приморского края "Патриотическое воспитание граждан, реализация государственной национальной политики и развитие институтов гражданского общества на территории Приморского края"</w:t>
      </w:r>
    </w:p>
    <w:p w14:paraId="2FE060E0" w14:textId="77777777" w:rsidR="00F726FC" w:rsidRPr="00E47AA9" w:rsidRDefault="00F726FC" w:rsidP="00F726FC">
      <w:pPr>
        <w:spacing w:after="0" w:line="240" w:lineRule="auto"/>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Уточненные бюджетные назначения на 2024 год на реализацию ГП составили 352,67 млн рублей. Исполнено 352,58 млн рублей, в том числе:</w:t>
      </w:r>
      <w:r w:rsidRPr="00E47AA9">
        <w:rPr>
          <w:rFonts w:ascii="Times New Roman" w:eastAsia="Times New Roman" w:hAnsi="Times New Roman" w:cs="Times New Roman"/>
          <w:sz w:val="28"/>
          <w:szCs w:val="28"/>
          <w:lang w:eastAsia="ru-RU"/>
        </w:rPr>
        <w:t xml:space="preserve"> за счет средств федерального бюджета – 17,36 млн рублей, краевого бюджета – 302,53 млн рублей, иных внебюджетных источников (Фонда-оператора президентских грантов по развитию гражданского общества) – 32,69 млн рублей.</w:t>
      </w:r>
    </w:p>
    <w:p w14:paraId="4DF132B6" w14:textId="7809233A" w:rsidR="00025845" w:rsidRPr="00E47AA9" w:rsidRDefault="00025845" w:rsidP="00025845">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Согласно паспорту ГП ответственный исполнитель </w:t>
      </w:r>
      <w:r w:rsidR="00192E4A"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департамент внутренней политики Приморского края, соисполнители: министерство физической культуры и спорта Приморского края</w:t>
      </w:r>
      <w:r w:rsidR="00192E4A"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агентство по делам молодежи Приморского края</w:t>
      </w:r>
      <w:r w:rsidR="00192E4A"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инспекция по охране объектов культурного наследия Приморского края</w:t>
      </w:r>
      <w:r w:rsidR="00192E4A"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министерство культуры и архивного дела Приморского края</w:t>
      </w:r>
      <w:r w:rsidR="00192E4A"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министерство образования Приморского края.</w:t>
      </w:r>
    </w:p>
    <w:p w14:paraId="393358F1" w14:textId="77777777" w:rsidR="00F726FC" w:rsidRPr="00E47AA9" w:rsidRDefault="00F726FC" w:rsidP="00F726FC">
      <w:pPr>
        <w:spacing w:after="0" w:line="240" w:lineRule="auto"/>
        <w:ind w:firstLine="708"/>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Исполнение ГП в 2024 году в разрезе главных распорядителей бюджетных средств приведено в таблице.</w:t>
      </w:r>
    </w:p>
    <w:tbl>
      <w:tblPr>
        <w:tblW w:w="9659"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8"/>
        <w:gridCol w:w="1418"/>
        <w:gridCol w:w="1276"/>
        <w:gridCol w:w="1417"/>
        <w:gridCol w:w="1105"/>
      </w:tblGrid>
      <w:tr w:rsidR="00E47AA9" w:rsidRPr="00E47AA9" w14:paraId="7CDC6C7E" w14:textId="77777777" w:rsidTr="00916F77">
        <w:trPr>
          <w:trHeight w:val="20"/>
          <w:tblHeader/>
        </w:trPr>
        <w:tc>
          <w:tcPr>
            <w:tcW w:w="3735" w:type="dxa"/>
            <w:tcBorders>
              <w:top w:val="nil"/>
              <w:left w:val="nil"/>
              <w:bottom w:val="single" w:sz="4" w:space="0" w:color="auto"/>
              <w:right w:val="nil"/>
            </w:tcBorders>
            <w:shd w:val="clear" w:color="auto" w:fill="auto"/>
            <w:vAlign w:val="center"/>
          </w:tcPr>
          <w:p w14:paraId="01E7F3D1"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p>
        </w:tc>
        <w:tc>
          <w:tcPr>
            <w:tcW w:w="708" w:type="dxa"/>
            <w:tcBorders>
              <w:top w:val="nil"/>
              <w:left w:val="nil"/>
              <w:bottom w:val="single" w:sz="4" w:space="0" w:color="auto"/>
              <w:right w:val="nil"/>
            </w:tcBorders>
          </w:tcPr>
          <w:p w14:paraId="3A81395F"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p>
        </w:tc>
        <w:tc>
          <w:tcPr>
            <w:tcW w:w="1418" w:type="dxa"/>
            <w:tcBorders>
              <w:top w:val="nil"/>
              <w:left w:val="nil"/>
              <w:bottom w:val="single" w:sz="4" w:space="0" w:color="auto"/>
              <w:right w:val="nil"/>
            </w:tcBorders>
            <w:shd w:val="clear" w:color="auto" w:fill="auto"/>
            <w:vAlign w:val="center"/>
          </w:tcPr>
          <w:p w14:paraId="0A82BDF2"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p>
        </w:tc>
        <w:tc>
          <w:tcPr>
            <w:tcW w:w="1276" w:type="dxa"/>
            <w:tcBorders>
              <w:top w:val="nil"/>
              <w:left w:val="nil"/>
              <w:bottom w:val="single" w:sz="4" w:space="0" w:color="auto"/>
              <w:right w:val="nil"/>
            </w:tcBorders>
            <w:shd w:val="clear" w:color="auto" w:fill="auto"/>
            <w:vAlign w:val="center"/>
          </w:tcPr>
          <w:p w14:paraId="54BD9B85"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p>
        </w:tc>
        <w:tc>
          <w:tcPr>
            <w:tcW w:w="2522" w:type="dxa"/>
            <w:gridSpan w:val="2"/>
            <w:tcBorders>
              <w:top w:val="nil"/>
              <w:left w:val="nil"/>
              <w:bottom w:val="single" w:sz="4" w:space="0" w:color="auto"/>
              <w:right w:val="nil"/>
            </w:tcBorders>
            <w:shd w:val="clear" w:color="auto" w:fill="auto"/>
            <w:vAlign w:val="center"/>
          </w:tcPr>
          <w:p w14:paraId="09041669" w14:textId="77777777" w:rsidR="00F726FC" w:rsidRPr="00E47AA9" w:rsidRDefault="00F726FC" w:rsidP="00F77241">
            <w:pPr>
              <w:spacing w:after="0" w:line="240" w:lineRule="auto"/>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rPr>
              <w:t xml:space="preserve">  (млн рублей)</w:t>
            </w:r>
          </w:p>
        </w:tc>
      </w:tr>
      <w:tr w:rsidR="00E47AA9" w:rsidRPr="00E47AA9" w14:paraId="5C17068D" w14:textId="77777777" w:rsidTr="00916F77">
        <w:trPr>
          <w:cantSplit/>
          <w:trHeight w:val="20"/>
          <w:tblHeader/>
        </w:trPr>
        <w:tc>
          <w:tcPr>
            <w:tcW w:w="3735" w:type="dxa"/>
            <w:tcBorders>
              <w:top w:val="single" w:sz="4" w:space="0" w:color="auto"/>
            </w:tcBorders>
            <w:shd w:val="clear" w:color="auto" w:fill="auto"/>
            <w:vAlign w:val="center"/>
            <w:hideMark/>
          </w:tcPr>
          <w:p w14:paraId="2F3B2060"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показателя</w:t>
            </w:r>
          </w:p>
        </w:tc>
        <w:tc>
          <w:tcPr>
            <w:tcW w:w="708" w:type="dxa"/>
            <w:tcBorders>
              <w:top w:val="single" w:sz="4" w:space="0" w:color="auto"/>
            </w:tcBorders>
            <w:textDirection w:val="btLr"/>
            <w:vAlign w:val="center"/>
          </w:tcPr>
          <w:p w14:paraId="0A55CD6F" w14:textId="77777777" w:rsidR="00F726FC" w:rsidRPr="00E47AA9" w:rsidRDefault="00F726FC" w:rsidP="00F77241">
            <w:pPr>
              <w:spacing w:after="0" w:line="240" w:lineRule="auto"/>
              <w:ind w:left="113" w:right="113"/>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Ведомства</w:t>
            </w:r>
          </w:p>
        </w:tc>
        <w:tc>
          <w:tcPr>
            <w:tcW w:w="1418" w:type="dxa"/>
            <w:tcBorders>
              <w:top w:val="single" w:sz="4" w:space="0" w:color="auto"/>
            </w:tcBorders>
            <w:vAlign w:val="center"/>
          </w:tcPr>
          <w:p w14:paraId="18B6C48A"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Уточненные бюджетные назначения </w:t>
            </w:r>
          </w:p>
          <w:p w14:paraId="369E91DD"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 2024 год</w:t>
            </w:r>
          </w:p>
        </w:tc>
        <w:tc>
          <w:tcPr>
            <w:tcW w:w="1276" w:type="dxa"/>
            <w:tcBorders>
              <w:top w:val="single" w:sz="4" w:space="0" w:color="auto"/>
            </w:tcBorders>
            <w:shd w:val="clear" w:color="auto" w:fill="auto"/>
            <w:vAlign w:val="center"/>
          </w:tcPr>
          <w:p w14:paraId="7C4E99CF"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417" w:type="dxa"/>
            <w:tcBorders>
              <w:top w:val="single" w:sz="4" w:space="0" w:color="auto"/>
            </w:tcBorders>
            <w:shd w:val="clear" w:color="auto" w:fill="auto"/>
            <w:vAlign w:val="center"/>
          </w:tcPr>
          <w:p w14:paraId="6E6F81D3"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c>
          <w:tcPr>
            <w:tcW w:w="1105" w:type="dxa"/>
            <w:tcBorders>
              <w:top w:val="single" w:sz="4" w:space="0" w:color="auto"/>
            </w:tcBorders>
            <w:shd w:val="clear" w:color="auto" w:fill="auto"/>
            <w:vAlign w:val="center"/>
          </w:tcPr>
          <w:p w14:paraId="46D45D95"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 </w:t>
            </w:r>
            <w:proofErr w:type="spellStart"/>
            <w:proofErr w:type="gramStart"/>
            <w:r w:rsidRPr="00E47AA9">
              <w:rPr>
                <w:rFonts w:ascii="Times New Roman" w:eastAsia="Times New Roman" w:hAnsi="Times New Roman" w:cs="Times New Roman"/>
                <w:sz w:val="20"/>
                <w:szCs w:val="20"/>
                <w:lang w:eastAsia="ru-RU"/>
              </w:rPr>
              <w:t>исполне-ния</w:t>
            </w:r>
            <w:proofErr w:type="spellEnd"/>
            <w:proofErr w:type="gramEnd"/>
          </w:p>
        </w:tc>
      </w:tr>
      <w:tr w:rsidR="00E47AA9" w:rsidRPr="00E47AA9" w14:paraId="30F64F40" w14:textId="77777777" w:rsidTr="00916F77">
        <w:trPr>
          <w:trHeight w:val="20"/>
        </w:trPr>
        <w:tc>
          <w:tcPr>
            <w:tcW w:w="3735" w:type="dxa"/>
            <w:tcBorders>
              <w:top w:val="single" w:sz="4" w:space="0" w:color="auto"/>
              <w:bottom w:val="single" w:sz="4" w:space="0" w:color="auto"/>
              <w:right w:val="single" w:sz="4" w:space="0" w:color="auto"/>
            </w:tcBorders>
            <w:shd w:val="clear" w:color="auto" w:fill="auto"/>
          </w:tcPr>
          <w:p w14:paraId="7A633EDD" w14:textId="77777777" w:rsidR="00F726FC" w:rsidRPr="00E47AA9" w:rsidRDefault="00F726FC" w:rsidP="00F77241">
            <w:pPr>
              <w:spacing w:after="0" w:line="240" w:lineRule="auto"/>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
                <w:bCs/>
                <w:sz w:val="20"/>
                <w:szCs w:val="20"/>
                <w:lang w:eastAsia="ru-RU"/>
              </w:rPr>
              <w:t xml:space="preserve">Расходы по ГП всего, </w:t>
            </w:r>
          </w:p>
          <w:p w14:paraId="4C6F96DA" w14:textId="11996355" w:rsidR="00F726FC" w:rsidRPr="00E47AA9" w:rsidRDefault="00F726FC" w:rsidP="00192E4A">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Cs/>
                <w:sz w:val="20"/>
                <w:szCs w:val="20"/>
                <w:lang w:eastAsia="ru-RU"/>
              </w:rPr>
              <w:t>в том числе по ведомствам</w:t>
            </w:r>
          </w:p>
        </w:tc>
        <w:tc>
          <w:tcPr>
            <w:tcW w:w="708" w:type="dxa"/>
            <w:tcBorders>
              <w:top w:val="single" w:sz="4" w:space="0" w:color="auto"/>
              <w:left w:val="single" w:sz="4" w:space="0" w:color="auto"/>
              <w:bottom w:val="single" w:sz="4" w:space="0" w:color="auto"/>
              <w:right w:val="single" w:sz="4" w:space="0" w:color="auto"/>
            </w:tcBorders>
            <w:vAlign w:val="bottom"/>
          </w:tcPr>
          <w:p w14:paraId="6FFAF8B1" w14:textId="77777777" w:rsidR="00F726FC" w:rsidRPr="00E47AA9" w:rsidRDefault="00F726FC" w:rsidP="00F77241">
            <w:pPr>
              <w:spacing w:after="0" w:line="240" w:lineRule="auto"/>
              <w:jc w:val="right"/>
              <w:rPr>
                <w:rFonts w:ascii="Times New Roman" w:hAnsi="Times New Roman" w:cs="Times New Roman"/>
                <w:b/>
                <w:bCs/>
                <w:sz w:val="20"/>
                <w:szCs w:val="20"/>
              </w:rPr>
            </w:pPr>
          </w:p>
        </w:tc>
        <w:tc>
          <w:tcPr>
            <w:tcW w:w="1418" w:type="dxa"/>
            <w:tcBorders>
              <w:top w:val="nil"/>
              <w:left w:val="nil"/>
              <w:bottom w:val="single" w:sz="8" w:space="0" w:color="auto"/>
              <w:right w:val="single" w:sz="8" w:space="0" w:color="auto"/>
            </w:tcBorders>
            <w:shd w:val="clear" w:color="auto" w:fill="auto"/>
            <w:noWrap/>
            <w:vAlign w:val="bottom"/>
          </w:tcPr>
          <w:p w14:paraId="0A2393CB" w14:textId="77777777" w:rsidR="00F726FC" w:rsidRPr="00E47AA9" w:rsidRDefault="00F726FC" w:rsidP="00F77241">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352,67</w:t>
            </w:r>
          </w:p>
        </w:tc>
        <w:tc>
          <w:tcPr>
            <w:tcW w:w="1276" w:type="dxa"/>
            <w:tcBorders>
              <w:top w:val="nil"/>
              <w:left w:val="nil"/>
              <w:bottom w:val="single" w:sz="8" w:space="0" w:color="auto"/>
              <w:right w:val="single" w:sz="8" w:space="0" w:color="auto"/>
            </w:tcBorders>
            <w:shd w:val="clear" w:color="auto" w:fill="auto"/>
            <w:noWrap/>
            <w:vAlign w:val="bottom"/>
          </w:tcPr>
          <w:p w14:paraId="11E97F08" w14:textId="77777777" w:rsidR="00F726FC" w:rsidRPr="00E47AA9" w:rsidRDefault="00F726FC" w:rsidP="00F77241">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352,58</w:t>
            </w:r>
          </w:p>
        </w:tc>
        <w:tc>
          <w:tcPr>
            <w:tcW w:w="1417" w:type="dxa"/>
            <w:tcBorders>
              <w:top w:val="nil"/>
              <w:left w:val="nil"/>
              <w:bottom w:val="single" w:sz="8" w:space="0" w:color="auto"/>
              <w:right w:val="single" w:sz="8" w:space="0" w:color="auto"/>
            </w:tcBorders>
            <w:shd w:val="clear" w:color="auto" w:fill="auto"/>
            <w:noWrap/>
            <w:vAlign w:val="bottom"/>
          </w:tcPr>
          <w:p w14:paraId="45BB16CB" w14:textId="77777777" w:rsidR="00F726FC" w:rsidRPr="00E47AA9" w:rsidRDefault="00F726FC" w:rsidP="00F77241">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0,09</w:t>
            </w:r>
          </w:p>
        </w:tc>
        <w:tc>
          <w:tcPr>
            <w:tcW w:w="1105" w:type="dxa"/>
            <w:tcBorders>
              <w:top w:val="nil"/>
              <w:left w:val="nil"/>
              <w:bottom w:val="single" w:sz="8" w:space="0" w:color="auto"/>
              <w:right w:val="single" w:sz="8" w:space="0" w:color="auto"/>
            </w:tcBorders>
            <w:shd w:val="clear" w:color="auto" w:fill="auto"/>
            <w:vAlign w:val="bottom"/>
          </w:tcPr>
          <w:p w14:paraId="35664F20" w14:textId="77777777" w:rsidR="00F726FC" w:rsidRPr="00E47AA9" w:rsidRDefault="00F726FC" w:rsidP="00F77241">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99,97</w:t>
            </w:r>
          </w:p>
        </w:tc>
      </w:tr>
      <w:tr w:rsidR="00E47AA9" w:rsidRPr="00E47AA9" w14:paraId="2DFDD14F" w14:textId="77777777" w:rsidTr="00916F77">
        <w:trPr>
          <w:trHeight w:val="20"/>
        </w:trPr>
        <w:tc>
          <w:tcPr>
            <w:tcW w:w="3735" w:type="dxa"/>
            <w:tcBorders>
              <w:top w:val="single" w:sz="4" w:space="0" w:color="auto"/>
              <w:left w:val="single" w:sz="4" w:space="0" w:color="auto"/>
              <w:bottom w:val="single" w:sz="4" w:space="0" w:color="auto"/>
              <w:right w:val="single" w:sz="4" w:space="0" w:color="auto"/>
            </w:tcBorders>
            <w:shd w:val="clear" w:color="auto" w:fill="auto"/>
          </w:tcPr>
          <w:p w14:paraId="744B0ECE" w14:textId="77777777" w:rsidR="00F726FC" w:rsidRPr="00E47AA9" w:rsidRDefault="00F726FC" w:rsidP="00F77241">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министерство физической культуры и спорта Приморского края</w:t>
            </w:r>
          </w:p>
        </w:tc>
        <w:tc>
          <w:tcPr>
            <w:tcW w:w="708" w:type="dxa"/>
            <w:tcBorders>
              <w:top w:val="single" w:sz="4" w:space="0" w:color="auto"/>
              <w:left w:val="single" w:sz="4" w:space="0" w:color="auto"/>
              <w:bottom w:val="single" w:sz="4" w:space="0" w:color="auto"/>
              <w:right w:val="single" w:sz="4" w:space="0" w:color="auto"/>
            </w:tcBorders>
            <w:vAlign w:val="bottom"/>
          </w:tcPr>
          <w:p w14:paraId="7E83FCC1"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764</w:t>
            </w:r>
          </w:p>
        </w:tc>
        <w:tc>
          <w:tcPr>
            <w:tcW w:w="1418" w:type="dxa"/>
            <w:tcBorders>
              <w:top w:val="nil"/>
              <w:left w:val="nil"/>
              <w:bottom w:val="single" w:sz="8" w:space="0" w:color="auto"/>
              <w:right w:val="single" w:sz="8" w:space="0" w:color="auto"/>
            </w:tcBorders>
            <w:shd w:val="clear" w:color="auto" w:fill="auto"/>
            <w:noWrap/>
            <w:vAlign w:val="bottom"/>
          </w:tcPr>
          <w:p w14:paraId="28846523"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1,07</w:t>
            </w:r>
          </w:p>
        </w:tc>
        <w:tc>
          <w:tcPr>
            <w:tcW w:w="1276" w:type="dxa"/>
            <w:tcBorders>
              <w:top w:val="nil"/>
              <w:left w:val="nil"/>
              <w:bottom w:val="single" w:sz="8" w:space="0" w:color="auto"/>
              <w:right w:val="single" w:sz="8" w:space="0" w:color="auto"/>
            </w:tcBorders>
            <w:shd w:val="clear" w:color="auto" w:fill="auto"/>
            <w:noWrap/>
            <w:vAlign w:val="bottom"/>
          </w:tcPr>
          <w:p w14:paraId="7A28AE47"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1,07</w:t>
            </w:r>
          </w:p>
        </w:tc>
        <w:tc>
          <w:tcPr>
            <w:tcW w:w="1417" w:type="dxa"/>
            <w:tcBorders>
              <w:top w:val="nil"/>
              <w:left w:val="nil"/>
              <w:bottom w:val="single" w:sz="8" w:space="0" w:color="auto"/>
              <w:right w:val="single" w:sz="8" w:space="0" w:color="auto"/>
            </w:tcBorders>
            <w:shd w:val="clear" w:color="auto" w:fill="auto"/>
            <w:noWrap/>
            <w:vAlign w:val="bottom"/>
          </w:tcPr>
          <w:p w14:paraId="05B2CD56"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105" w:type="dxa"/>
            <w:tcBorders>
              <w:top w:val="nil"/>
              <w:left w:val="nil"/>
              <w:bottom w:val="single" w:sz="8" w:space="0" w:color="auto"/>
              <w:right w:val="single" w:sz="8" w:space="0" w:color="auto"/>
            </w:tcBorders>
            <w:shd w:val="clear" w:color="auto" w:fill="auto"/>
            <w:vAlign w:val="bottom"/>
          </w:tcPr>
          <w:p w14:paraId="377C1351"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99,82</w:t>
            </w:r>
          </w:p>
        </w:tc>
      </w:tr>
      <w:tr w:rsidR="00E47AA9" w:rsidRPr="00E47AA9" w14:paraId="50B6FD70" w14:textId="77777777" w:rsidTr="00916F77">
        <w:trPr>
          <w:trHeight w:val="20"/>
        </w:trPr>
        <w:tc>
          <w:tcPr>
            <w:tcW w:w="3735" w:type="dxa"/>
            <w:tcBorders>
              <w:top w:val="single" w:sz="4" w:space="0" w:color="auto"/>
              <w:left w:val="single" w:sz="4" w:space="0" w:color="auto"/>
              <w:bottom w:val="single" w:sz="4" w:space="0" w:color="auto"/>
              <w:right w:val="single" w:sz="4" w:space="0" w:color="auto"/>
            </w:tcBorders>
            <w:shd w:val="clear" w:color="auto" w:fill="auto"/>
          </w:tcPr>
          <w:p w14:paraId="7D539717" w14:textId="77777777" w:rsidR="00F726FC" w:rsidRPr="00E47AA9" w:rsidRDefault="00F726FC" w:rsidP="00F77241">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агентство по делам молодежи Приморского края</w:t>
            </w:r>
          </w:p>
        </w:tc>
        <w:tc>
          <w:tcPr>
            <w:tcW w:w="708" w:type="dxa"/>
            <w:tcBorders>
              <w:top w:val="single" w:sz="4" w:space="0" w:color="auto"/>
              <w:left w:val="single" w:sz="4" w:space="0" w:color="auto"/>
              <w:bottom w:val="single" w:sz="4" w:space="0" w:color="auto"/>
              <w:right w:val="single" w:sz="4" w:space="0" w:color="auto"/>
            </w:tcBorders>
            <w:vAlign w:val="bottom"/>
          </w:tcPr>
          <w:p w14:paraId="0AD853EE"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774</w:t>
            </w:r>
          </w:p>
        </w:tc>
        <w:tc>
          <w:tcPr>
            <w:tcW w:w="1418" w:type="dxa"/>
            <w:tcBorders>
              <w:top w:val="nil"/>
              <w:left w:val="nil"/>
              <w:bottom w:val="single" w:sz="8" w:space="0" w:color="auto"/>
              <w:right w:val="single" w:sz="8" w:space="0" w:color="auto"/>
            </w:tcBorders>
            <w:shd w:val="clear" w:color="auto" w:fill="auto"/>
            <w:noWrap/>
            <w:vAlign w:val="bottom"/>
          </w:tcPr>
          <w:p w14:paraId="28188DA1"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52,64</w:t>
            </w:r>
          </w:p>
        </w:tc>
        <w:tc>
          <w:tcPr>
            <w:tcW w:w="1276" w:type="dxa"/>
            <w:tcBorders>
              <w:top w:val="nil"/>
              <w:left w:val="nil"/>
              <w:bottom w:val="single" w:sz="8" w:space="0" w:color="auto"/>
              <w:right w:val="single" w:sz="8" w:space="0" w:color="auto"/>
            </w:tcBorders>
            <w:shd w:val="clear" w:color="auto" w:fill="auto"/>
            <w:noWrap/>
            <w:vAlign w:val="bottom"/>
          </w:tcPr>
          <w:p w14:paraId="50FE2DDB"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52,64</w:t>
            </w:r>
          </w:p>
        </w:tc>
        <w:tc>
          <w:tcPr>
            <w:tcW w:w="1417" w:type="dxa"/>
            <w:tcBorders>
              <w:top w:val="nil"/>
              <w:left w:val="nil"/>
              <w:bottom w:val="single" w:sz="8" w:space="0" w:color="auto"/>
              <w:right w:val="single" w:sz="8" w:space="0" w:color="auto"/>
            </w:tcBorders>
            <w:shd w:val="clear" w:color="auto" w:fill="auto"/>
            <w:noWrap/>
            <w:vAlign w:val="bottom"/>
          </w:tcPr>
          <w:p w14:paraId="423218A1"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105" w:type="dxa"/>
            <w:tcBorders>
              <w:top w:val="nil"/>
              <w:left w:val="nil"/>
              <w:bottom w:val="single" w:sz="8" w:space="0" w:color="auto"/>
              <w:right w:val="single" w:sz="8" w:space="0" w:color="auto"/>
            </w:tcBorders>
            <w:shd w:val="clear" w:color="auto" w:fill="auto"/>
            <w:vAlign w:val="bottom"/>
          </w:tcPr>
          <w:p w14:paraId="16E7ABD0"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37DAB2EB" w14:textId="77777777" w:rsidTr="00916F77">
        <w:trPr>
          <w:trHeight w:val="20"/>
        </w:trPr>
        <w:tc>
          <w:tcPr>
            <w:tcW w:w="3735" w:type="dxa"/>
            <w:tcBorders>
              <w:top w:val="single" w:sz="4" w:space="0" w:color="auto"/>
              <w:left w:val="single" w:sz="4" w:space="0" w:color="auto"/>
              <w:bottom w:val="single" w:sz="4" w:space="0" w:color="auto"/>
              <w:right w:val="single" w:sz="4" w:space="0" w:color="auto"/>
            </w:tcBorders>
            <w:shd w:val="clear" w:color="auto" w:fill="auto"/>
          </w:tcPr>
          <w:p w14:paraId="17259858" w14:textId="77777777" w:rsidR="00F726FC" w:rsidRPr="00E47AA9" w:rsidRDefault="00F726FC" w:rsidP="00F77241">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департамент внутренней политики Приморского края</w:t>
            </w:r>
          </w:p>
        </w:tc>
        <w:tc>
          <w:tcPr>
            <w:tcW w:w="708" w:type="dxa"/>
            <w:tcBorders>
              <w:top w:val="single" w:sz="4" w:space="0" w:color="auto"/>
              <w:left w:val="single" w:sz="4" w:space="0" w:color="auto"/>
              <w:bottom w:val="single" w:sz="4" w:space="0" w:color="auto"/>
              <w:right w:val="single" w:sz="4" w:space="0" w:color="auto"/>
            </w:tcBorders>
            <w:vAlign w:val="bottom"/>
          </w:tcPr>
          <w:p w14:paraId="1852159A"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789</w:t>
            </w:r>
          </w:p>
        </w:tc>
        <w:tc>
          <w:tcPr>
            <w:tcW w:w="1418" w:type="dxa"/>
            <w:tcBorders>
              <w:top w:val="nil"/>
              <w:left w:val="nil"/>
              <w:bottom w:val="single" w:sz="8" w:space="0" w:color="auto"/>
              <w:right w:val="single" w:sz="8" w:space="0" w:color="auto"/>
            </w:tcBorders>
            <w:shd w:val="clear" w:color="auto" w:fill="auto"/>
            <w:noWrap/>
            <w:vAlign w:val="bottom"/>
          </w:tcPr>
          <w:p w14:paraId="2013802D"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290,10</w:t>
            </w:r>
          </w:p>
        </w:tc>
        <w:tc>
          <w:tcPr>
            <w:tcW w:w="1276" w:type="dxa"/>
            <w:tcBorders>
              <w:top w:val="nil"/>
              <w:left w:val="nil"/>
              <w:bottom w:val="single" w:sz="8" w:space="0" w:color="auto"/>
              <w:right w:val="single" w:sz="8" w:space="0" w:color="auto"/>
            </w:tcBorders>
            <w:shd w:val="clear" w:color="auto" w:fill="auto"/>
            <w:noWrap/>
            <w:vAlign w:val="bottom"/>
          </w:tcPr>
          <w:p w14:paraId="2728FFE9"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290,01</w:t>
            </w:r>
          </w:p>
        </w:tc>
        <w:tc>
          <w:tcPr>
            <w:tcW w:w="1417" w:type="dxa"/>
            <w:tcBorders>
              <w:top w:val="nil"/>
              <w:left w:val="nil"/>
              <w:bottom w:val="single" w:sz="8" w:space="0" w:color="auto"/>
              <w:right w:val="single" w:sz="8" w:space="0" w:color="auto"/>
            </w:tcBorders>
            <w:shd w:val="clear" w:color="auto" w:fill="auto"/>
            <w:noWrap/>
            <w:vAlign w:val="bottom"/>
          </w:tcPr>
          <w:p w14:paraId="6AEE6502"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0,09</w:t>
            </w:r>
          </w:p>
        </w:tc>
        <w:tc>
          <w:tcPr>
            <w:tcW w:w="1105" w:type="dxa"/>
            <w:tcBorders>
              <w:top w:val="nil"/>
              <w:left w:val="nil"/>
              <w:bottom w:val="single" w:sz="8" w:space="0" w:color="auto"/>
              <w:right w:val="single" w:sz="8" w:space="0" w:color="auto"/>
            </w:tcBorders>
            <w:shd w:val="clear" w:color="auto" w:fill="auto"/>
            <w:vAlign w:val="bottom"/>
          </w:tcPr>
          <w:p w14:paraId="56A5F5FC"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99,97</w:t>
            </w:r>
          </w:p>
        </w:tc>
      </w:tr>
      <w:tr w:rsidR="00E47AA9" w:rsidRPr="00E47AA9" w14:paraId="374D3759" w14:textId="77777777" w:rsidTr="00916F77">
        <w:trPr>
          <w:trHeight w:val="20"/>
        </w:trPr>
        <w:tc>
          <w:tcPr>
            <w:tcW w:w="3735" w:type="dxa"/>
            <w:tcBorders>
              <w:top w:val="single" w:sz="4" w:space="0" w:color="auto"/>
              <w:left w:val="single" w:sz="4" w:space="0" w:color="auto"/>
              <w:bottom w:val="single" w:sz="4" w:space="0" w:color="auto"/>
              <w:right w:val="single" w:sz="4" w:space="0" w:color="auto"/>
            </w:tcBorders>
            <w:shd w:val="clear" w:color="auto" w:fill="auto"/>
          </w:tcPr>
          <w:p w14:paraId="5C0EAA33" w14:textId="77777777" w:rsidR="00F726FC" w:rsidRPr="00E47AA9" w:rsidRDefault="00F726FC" w:rsidP="00F77241">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инспекция по охране объектов культурного наследия Приморского края</w:t>
            </w:r>
          </w:p>
        </w:tc>
        <w:tc>
          <w:tcPr>
            <w:tcW w:w="708" w:type="dxa"/>
            <w:tcBorders>
              <w:top w:val="single" w:sz="4" w:space="0" w:color="auto"/>
              <w:left w:val="single" w:sz="4" w:space="0" w:color="auto"/>
              <w:bottom w:val="single" w:sz="4" w:space="0" w:color="auto"/>
              <w:right w:val="single" w:sz="4" w:space="0" w:color="auto"/>
            </w:tcBorders>
            <w:vAlign w:val="bottom"/>
          </w:tcPr>
          <w:p w14:paraId="39A455A6"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799</w:t>
            </w:r>
          </w:p>
        </w:tc>
        <w:tc>
          <w:tcPr>
            <w:tcW w:w="1418" w:type="dxa"/>
            <w:tcBorders>
              <w:top w:val="nil"/>
              <w:left w:val="nil"/>
              <w:bottom w:val="single" w:sz="8" w:space="0" w:color="auto"/>
              <w:right w:val="single" w:sz="8" w:space="0" w:color="auto"/>
            </w:tcBorders>
            <w:shd w:val="clear" w:color="auto" w:fill="auto"/>
            <w:noWrap/>
            <w:vAlign w:val="bottom"/>
          </w:tcPr>
          <w:p w14:paraId="70768317"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7,22</w:t>
            </w:r>
          </w:p>
        </w:tc>
        <w:tc>
          <w:tcPr>
            <w:tcW w:w="1276" w:type="dxa"/>
            <w:tcBorders>
              <w:top w:val="nil"/>
              <w:left w:val="nil"/>
              <w:bottom w:val="single" w:sz="8" w:space="0" w:color="auto"/>
              <w:right w:val="single" w:sz="8" w:space="0" w:color="auto"/>
            </w:tcBorders>
            <w:shd w:val="clear" w:color="auto" w:fill="auto"/>
            <w:noWrap/>
            <w:vAlign w:val="bottom"/>
          </w:tcPr>
          <w:p w14:paraId="0D8FF5A1"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7,22</w:t>
            </w:r>
          </w:p>
        </w:tc>
        <w:tc>
          <w:tcPr>
            <w:tcW w:w="1417" w:type="dxa"/>
            <w:tcBorders>
              <w:top w:val="nil"/>
              <w:left w:val="nil"/>
              <w:bottom w:val="single" w:sz="8" w:space="0" w:color="auto"/>
              <w:right w:val="single" w:sz="8" w:space="0" w:color="auto"/>
            </w:tcBorders>
            <w:shd w:val="clear" w:color="auto" w:fill="auto"/>
            <w:noWrap/>
            <w:vAlign w:val="bottom"/>
          </w:tcPr>
          <w:p w14:paraId="66CEE718"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105" w:type="dxa"/>
            <w:tcBorders>
              <w:top w:val="nil"/>
              <w:left w:val="nil"/>
              <w:bottom w:val="single" w:sz="8" w:space="0" w:color="auto"/>
              <w:right w:val="single" w:sz="8" w:space="0" w:color="auto"/>
            </w:tcBorders>
            <w:shd w:val="clear" w:color="auto" w:fill="auto"/>
            <w:vAlign w:val="bottom"/>
          </w:tcPr>
          <w:p w14:paraId="2A847A1B"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916F77" w:rsidRPr="00E47AA9" w14:paraId="74334454" w14:textId="77777777" w:rsidTr="00916F77">
        <w:trPr>
          <w:trHeight w:val="20"/>
        </w:trPr>
        <w:tc>
          <w:tcPr>
            <w:tcW w:w="3735" w:type="dxa"/>
            <w:tcBorders>
              <w:top w:val="single" w:sz="4" w:space="0" w:color="auto"/>
              <w:left w:val="single" w:sz="4" w:space="0" w:color="auto"/>
              <w:bottom w:val="single" w:sz="4" w:space="0" w:color="auto"/>
              <w:right w:val="single" w:sz="4" w:space="0" w:color="auto"/>
            </w:tcBorders>
            <w:shd w:val="clear" w:color="auto" w:fill="auto"/>
          </w:tcPr>
          <w:p w14:paraId="28512D7F" w14:textId="77777777" w:rsidR="00F726FC" w:rsidRPr="00E47AA9" w:rsidRDefault="00F726FC" w:rsidP="00F77241">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министерство культуры и архивного дела Приморского края</w:t>
            </w:r>
          </w:p>
        </w:tc>
        <w:tc>
          <w:tcPr>
            <w:tcW w:w="708" w:type="dxa"/>
            <w:tcBorders>
              <w:top w:val="single" w:sz="4" w:space="0" w:color="auto"/>
              <w:left w:val="single" w:sz="4" w:space="0" w:color="auto"/>
              <w:bottom w:val="single" w:sz="4" w:space="0" w:color="auto"/>
              <w:right w:val="single" w:sz="4" w:space="0" w:color="auto"/>
            </w:tcBorders>
            <w:vAlign w:val="bottom"/>
          </w:tcPr>
          <w:p w14:paraId="4D4B24A6"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806</w:t>
            </w:r>
          </w:p>
        </w:tc>
        <w:tc>
          <w:tcPr>
            <w:tcW w:w="1418" w:type="dxa"/>
            <w:tcBorders>
              <w:top w:val="nil"/>
              <w:left w:val="nil"/>
              <w:bottom w:val="single" w:sz="8" w:space="0" w:color="auto"/>
              <w:right w:val="single" w:sz="8" w:space="0" w:color="auto"/>
            </w:tcBorders>
            <w:shd w:val="clear" w:color="auto" w:fill="auto"/>
            <w:noWrap/>
            <w:vAlign w:val="bottom"/>
          </w:tcPr>
          <w:p w14:paraId="56C9C108"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1,65</w:t>
            </w:r>
          </w:p>
        </w:tc>
        <w:tc>
          <w:tcPr>
            <w:tcW w:w="1276" w:type="dxa"/>
            <w:tcBorders>
              <w:top w:val="nil"/>
              <w:left w:val="nil"/>
              <w:bottom w:val="single" w:sz="8" w:space="0" w:color="auto"/>
              <w:right w:val="single" w:sz="8" w:space="0" w:color="auto"/>
            </w:tcBorders>
            <w:shd w:val="clear" w:color="auto" w:fill="auto"/>
            <w:noWrap/>
            <w:vAlign w:val="bottom"/>
          </w:tcPr>
          <w:p w14:paraId="14FF29C0"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1,65</w:t>
            </w:r>
          </w:p>
        </w:tc>
        <w:tc>
          <w:tcPr>
            <w:tcW w:w="1417" w:type="dxa"/>
            <w:tcBorders>
              <w:top w:val="nil"/>
              <w:left w:val="nil"/>
              <w:bottom w:val="single" w:sz="8" w:space="0" w:color="auto"/>
              <w:right w:val="single" w:sz="8" w:space="0" w:color="auto"/>
            </w:tcBorders>
            <w:shd w:val="clear" w:color="auto" w:fill="auto"/>
            <w:noWrap/>
            <w:vAlign w:val="bottom"/>
          </w:tcPr>
          <w:p w14:paraId="1BF15610"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105" w:type="dxa"/>
            <w:tcBorders>
              <w:top w:val="nil"/>
              <w:left w:val="nil"/>
              <w:bottom w:val="single" w:sz="8" w:space="0" w:color="auto"/>
              <w:right w:val="single" w:sz="8" w:space="0" w:color="auto"/>
            </w:tcBorders>
            <w:shd w:val="clear" w:color="auto" w:fill="auto"/>
            <w:vAlign w:val="bottom"/>
          </w:tcPr>
          <w:p w14:paraId="147F56D7"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bl>
    <w:p w14:paraId="6DD13CA1" w14:textId="77777777" w:rsidR="00F726FC" w:rsidRPr="00E47AA9" w:rsidRDefault="00F726FC" w:rsidP="00F726FC">
      <w:pPr>
        <w:spacing w:after="0" w:line="240" w:lineRule="auto"/>
        <w:ind w:firstLine="708"/>
        <w:jc w:val="both"/>
        <w:rPr>
          <w:rFonts w:ascii="Times New Roman" w:eastAsia="Times New Roman" w:hAnsi="Times New Roman" w:cs="Times New Roman"/>
          <w:sz w:val="28"/>
          <w:szCs w:val="28"/>
          <w:lang w:eastAsia="ru-RU"/>
        </w:rPr>
      </w:pPr>
    </w:p>
    <w:p w14:paraId="0F0FDEE8" w14:textId="77777777" w:rsidR="00F726FC" w:rsidRPr="00E47AA9" w:rsidRDefault="00F726FC" w:rsidP="00F726FC">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Исполнение расходов в 2024 году по структурным элементам ГП представлено в таблице.</w:t>
      </w:r>
    </w:p>
    <w:tbl>
      <w:tblPr>
        <w:tblW w:w="9679" w:type="dxa"/>
        <w:tblInd w:w="-142" w:type="dxa"/>
        <w:tblLayout w:type="fixed"/>
        <w:tblLook w:val="04A0" w:firstRow="1" w:lastRow="0" w:firstColumn="1" w:lastColumn="0" w:noHBand="0" w:noVBand="1"/>
      </w:tblPr>
      <w:tblGrid>
        <w:gridCol w:w="3686"/>
        <w:gridCol w:w="1667"/>
        <w:gridCol w:w="1452"/>
        <w:gridCol w:w="1412"/>
        <w:gridCol w:w="1462"/>
      </w:tblGrid>
      <w:tr w:rsidR="00E47AA9" w:rsidRPr="00E47AA9" w14:paraId="2BE7A53C" w14:textId="77777777" w:rsidTr="00916F77">
        <w:trPr>
          <w:trHeight w:val="227"/>
          <w:tblHeader/>
        </w:trPr>
        <w:tc>
          <w:tcPr>
            <w:tcW w:w="3686" w:type="dxa"/>
            <w:tcBorders>
              <w:bottom w:val="single" w:sz="4" w:space="0" w:color="auto"/>
            </w:tcBorders>
            <w:shd w:val="clear" w:color="auto" w:fill="auto"/>
            <w:vAlign w:val="center"/>
          </w:tcPr>
          <w:p w14:paraId="6EE72BD7"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p>
        </w:tc>
        <w:tc>
          <w:tcPr>
            <w:tcW w:w="1667" w:type="dxa"/>
            <w:tcBorders>
              <w:bottom w:val="single" w:sz="4" w:space="0" w:color="auto"/>
            </w:tcBorders>
            <w:shd w:val="clear" w:color="auto" w:fill="auto"/>
            <w:vAlign w:val="center"/>
          </w:tcPr>
          <w:p w14:paraId="3589D4D6"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p>
        </w:tc>
        <w:tc>
          <w:tcPr>
            <w:tcW w:w="1452" w:type="dxa"/>
            <w:tcBorders>
              <w:bottom w:val="single" w:sz="4" w:space="0" w:color="auto"/>
            </w:tcBorders>
            <w:shd w:val="clear" w:color="auto" w:fill="auto"/>
            <w:vAlign w:val="center"/>
          </w:tcPr>
          <w:p w14:paraId="03B6E7CB"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p>
        </w:tc>
        <w:tc>
          <w:tcPr>
            <w:tcW w:w="2874" w:type="dxa"/>
            <w:gridSpan w:val="2"/>
            <w:tcBorders>
              <w:bottom w:val="single" w:sz="4" w:space="0" w:color="auto"/>
            </w:tcBorders>
            <w:shd w:val="clear" w:color="auto" w:fill="auto"/>
            <w:vAlign w:val="center"/>
          </w:tcPr>
          <w:p w14:paraId="1AE70641" w14:textId="77777777" w:rsidR="00F726FC" w:rsidRPr="00E47AA9" w:rsidRDefault="00F726FC" w:rsidP="00F77241">
            <w:pPr>
              <w:spacing w:after="0" w:line="240" w:lineRule="auto"/>
              <w:jc w:val="right"/>
              <w:rPr>
                <w:rFonts w:ascii="Times New Roman" w:eastAsia="Times New Roman" w:hAnsi="Times New Roman" w:cs="Times New Roman"/>
                <w:sz w:val="24"/>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3A2E8E5B" w14:textId="77777777" w:rsidTr="00916F77">
        <w:trPr>
          <w:trHeight w:val="227"/>
          <w:tblHeader/>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ABC6C"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показателя</w:t>
            </w:r>
          </w:p>
        </w:tc>
        <w:tc>
          <w:tcPr>
            <w:tcW w:w="1667" w:type="dxa"/>
            <w:tcBorders>
              <w:top w:val="single" w:sz="4" w:space="0" w:color="auto"/>
              <w:left w:val="nil"/>
              <w:bottom w:val="single" w:sz="4" w:space="0" w:color="auto"/>
              <w:right w:val="single" w:sz="4" w:space="0" w:color="auto"/>
            </w:tcBorders>
            <w:shd w:val="clear" w:color="auto" w:fill="auto"/>
            <w:vAlign w:val="center"/>
            <w:hideMark/>
          </w:tcPr>
          <w:p w14:paraId="46DB5BF7"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Уточненные бюджетные назначения </w:t>
            </w:r>
          </w:p>
          <w:p w14:paraId="6863FFC0"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 2024 год</w:t>
            </w:r>
          </w:p>
        </w:tc>
        <w:tc>
          <w:tcPr>
            <w:tcW w:w="1452" w:type="dxa"/>
            <w:tcBorders>
              <w:top w:val="single" w:sz="4" w:space="0" w:color="auto"/>
              <w:left w:val="nil"/>
              <w:bottom w:val="single" w:sz="4" w:space="0" w:color="auto"/>
              <w:right w:val="single" w:sz="4" w:space="0" w:color="auto"/>
            </w:tcBorders>
            <w:shd w:val="clear" w:color="auto" w:fill="auto"/>
            <w:vAlign w:val="center"/>
            <w:hideMark/>
          </w:tcPr>
          <w:p w14:paraId="5F574D9A"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412" w:type="dxa"/>
            <w:tcBorders>
              <w:top w:val="single" w:sz="4" w:space="0" w:color="auto"/>
              <w:left w:val="nil"/>
              <w:bottom w:val="single" w:sz="4" w:space="0" w:color="auto"/>
              <w:right w:val="single" w:sz="4" w:space="0" w:color="auto"/>
            </w:tcBorders>
            <w:shd w:val="clear" w:color="auto" w:fill="auto"/>
            <w:vAlign w:val="center"/>
            <w:hideMark/>
          </w:tcPr>
          <w:p w14:paraId="3348F984"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c>
          <w:tcPr>
            <w:tcW w:w="1462" w:type="dxa"/>
            <w:tcBorders>
              <w:top w:val="single" w:sz="4" w:space="0" w:color="auto"/>
              <w:left w:val="nil"/>
              <w:bottom w:val="single" w:sz="4" w:space="0" w:color="auto"/>
              <w:right w:val="single" w:sz="4" w:space="0" w:color="auto"/>
            </w:tcBorders>
            <w:shd w:val="clear" w:color="auto" w:fill="auto"/>
            <w:vAlign w:val="center"/>
            <w:hideMark/>
          </w:tcPr>
          <w:p w14:paraId="11991E5D" w14:textId="77777777" w:rsidR="00F726FC" w:rsidRPr="00E47AA9" w:rsidRDefault="00F726FC" w:rsidP="00F77241">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исполнения</w:t>
            </w:r>
          </w:p>
        </w:tc>
      </w:tr>
      <w:tr w:rsidR="00E47AA9" w:rsidRPr="00E47AA9" w14:paraId="370D75B7" w14:textId="77777777" w:rsidTr="00916F77">
        <w:trPr>
          <w:trHeight w:val="227"/>
        </w:trPr>
        <w:tc>
          <w:tcPr>
            <w:tcW w:w="3686" w:type="dxa"/>
            <w:tcBorders>
              <w:top w:val="single" w:sz="4" w:space="0" w:color="auto"/>
              <w:left w:val="single" w:sz="4" w:space="0" w:color="auto"/>
              <w:bottom w:val="single" w:sz="4" w:space="0" w:color="auto"/>
              <w:right w:val="single" w:sz="4" w:space="0" w:color="auto"/>
            </w:tcBorders>
            <w:shd w:val="clear" w:color="auto" w:fill="auto"/>
          </w:tcPr>
          <w:p w14:paraId="27181838" w14:textId="77777777" w:rsidR="00F726FC" w:rsidRPr="00E47AA9" w:rsidRDefault="00F726FC" w:rsidP="00F77241">
            <w:pPr>
              <w:spacing w:after="0" w:line="240" w:lineRule="auto"/>
              <w:rPr>
                <w:rFonts w:ascii="Times New Roman" w:hAnsi="Times New Roman" w:cs="Times New Roman"/>
                <w:b/>
                <w:bCs/>
                <w:sz w:val="20"/>
                <w:szCs w:val="20"/>
              </w:rPr>
            </w:pPr>
            <w:r w:rsidRPr="00E47AA9">
              <w:rPr>
                <w:rFonts w:ascii="Times New Roman" w:hAnsi="Times New Roman" w:cs="Times New Roman"/>
                <w:b/>
                <w:bCs/>
                <w:sz w:val="20"/>
                <w:szCs w:val="20"/>
              </w:rPr>
              <w:t>Расходы по ГП всего,</w:t>
            </w:r>
          </w:p>
          <w:p w14:paraId="6265EA0B" w14:textId="44845FB6" w:rsidR="00F726FC" w:rsidRPr="00E47AA9" w:rsidRDefault="00F726FC" w:rsidP="00192E4A">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в том числе</w:t>
            </w:r>
          </w:p>
        </w:tc>
        <w:tc>
          <w:tcPr>
            <w:tcW w:w="16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08FB2" w14:textId="77777777" w:rsidR="00F726FC" w:rsidRPr="00E47AA9" w:rsidRDefault="00F726FC" w:rsidP="00F77241">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352,67</w:t>
            </w:r>
          </w:p>
        </w:tc>
        <w:tc>
          <w:tcPr>
            <w:tcW w:w="14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5887D" w14:textId="77777777" w:rsidR="00F726FC" w:rsidRPr="00E47AA9" w:rsidRDefault="00F726FC" w:rsidP="00F77241">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352,58</w:t>
            </w:r>
          </w:p>
        </w:tc>
        <w:tc>
          <w:tcPr>
            <w:tcW w:w="14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201BE" w14:textId="77777777" w:rsidR="00F726FC" w:rsidRPr="00E47AA9" w:rsidRDefault="00F726FC" w:rsidP="00F77241">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0,09</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0F39CA2A" w14:textId="77777777" w:rsidR="00F726FC" w:rsidRPr="00E47AA9" w:rsidRDefault="00F726FC" w:rsidP="00F77241">
            <w:pPr>
              <w:spacing w:after="0" w:line="240" w:lineRule="auto"/>
              <w:jc w:val="right"/>
              <w:rPr>
                <w:rFonts w:ascii="Times New Roman" w:hAnsi="Times New Roman" w:cs="Times New Roman"/>
                <w:b/>
                <w:bCs/>
                <w:sz w:val="20"/>
                <w:szCs w:val="20"/>
              </w:rPr>
            </w:pPr>
            <w:r w:rsidRPr="00E47AA9">
              <w:rPr>
                <w:rFonts w:ascii="Times New Roman" w:hAnsi="Times New Roman" w:cs="Times New Roman"/>
                <w:b/>
                <w:bCs/>
                <w:sz w:val="20"/>
                <w:szCs w:val="20"/>
              </w:rPr>
              <w:t>99,97</w:t>
            </w:r>
          </w:p>
        </w:tc>
      </w:tr>
      <w:tr w:rsidR="00E47AA9" w:rsidRPr="00E47AA9" w14:paraId="1B1865DB" w14:textId="77777777" w:rsidTr="00916F77">
        <w:trPr>
          <w:trHeight w:val="227"/>
        </w:trPr>
        <w:tc>
          <w:tcPr>
            <w:tcW w:w="3686" w:type="dxa"/>
            <w:tcBorders>
              <w:top w:val="single" w:sz="4" w:space="0" w:color="auto"/>
              <w:left w:val="single" w:sz="4" w:space="0" w:color="auto"/>
              <w:bottom w:val="single" w:sz="4" w:space="0" w:color="auto"/>
              <w:right w:val="single" w:sz="4" w:space="0" w:color="auto"/>
            </w:tcBorders>
            <w:shd w:val="clear" w:color="000000" w:fill="FFFFFF"/>
          </w:tcPr>
          <w:p w14:paraId="1A69B9C3" w14:textId="77777777" w:rsidR="00F726FC" w:rsidRPr="00E47AA9" w:rsidRDefault="00F726FC" w:rsidP="00F77241">
            <w:pPr>
              <w:spacing w:after="0" w:line="240" w:lineRule="auto"/>
              <w:rPr>
                <w:rFonts w:ascii="Times New Roman" w:hAnsi="Times New Roman" w:cs="Times New Roman"/>
                <w:b/>
                <w:bCs/>
                <w:sz w:val="20"/>
                <w:szCs w:val="20"/>
              </w:rPr>
            </w:pPr>
            <w:r w:rsidRPr="00E47AA9">
              <w:rPr>
                <w:rFonts w:ascii="Times New Roman" w:hAnsi="Times New Roman" w:cs="Times New Roman"/>
                <w:b/>
                <w:bCs/>
                <w:sz w:val="20"/>
                <w:szCs w:val="20"/>
              </w:rPr>
              <w:t>проектные мероприятия</w:t>
            </w:r>
          </w:p>
        </w:tc>
        <w:tc>
          <w:tcPr>
            <w:tcW w:w="16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81DDE"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116,99</w:t>
            </w:r>
          </w:p>
        </w:tc>
        <w:tc>
          <w:tcPr>
            <w:tcW w:w="1452" w:type="dxa"/>
            <w:tcBorders>
              <w:top w:val="single" w:sz="4" w:space="0" w:color="auto"/>
              <w:left w:val="nil"/>
              <w:bottom w:val="single" w:sz="4" w:space="0" w:color="auto"/>
              <w:right w:val="single" w:sz="4" w:space="0" w:color="auto"/>
            </w:tcBorders>
            <w:shd w:val="clear" w:color="auto" w:fill="auto"/>
            <w:noWrap/>
            <w:vAlign w:val="center"/>
          </w:tcPr>
          <w:p w14:paraId="036EB80D"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116,99</w:t>
            </w:r>
          </w:p>
        </w:tc>
        <w:tc>
          <w:tcPr>
            <w:tcW w:w="14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77B80"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5369C0DB"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2876D9C7" w14:textId="77777777" w:rsidTr="00916F77">
        <w:trPr>
          <w:trHeight w:val="227"/>
        </w:trPr>
        <w:tc>
          <w:tcPr>
            <w:tcW w:w="3686" w:type="dxa"/>
            <w:tcBorders>
              <w:top w:val="single" w:sz="4" w:space="0" w:color="auto"/>
              <w:left w:val="single" w:sz="4" w:space="0" w:color="auto"/>
              <w:bottom w:val="single" w:sz="4" w:space="0" w:color="auto"/>
              <w:right w:val="single" w:sz="4" w:space="0" w:color="auto"/>
            </w:tcBorders>
            <w:shd w:val="clear" w:color="000000" w:fill="FFFFFF"/>
          </w:tcPr>
          <w:p w14:paraId="1208434D" w14:textId="77777777" w:rsidR="00F726FC" w:rsidRPr="00E47AA9" w:rsidRDefault="00F726FC" w:rsidP="00F77241">
            <w:pPr>
              <w:spacing w:after="0" w:line="240" w:lineRule="auto"/>
              <w:rPr>
                <w:rFonts w:ascii="Times New Roman" w:hAnsi="Times New Roman" w:cs="Times New Roman"/>
                <w:b/>
                <w:bCs/>
                <w:i/>
                <w:iCs/>
                <w:sz w:val="20"/>
                <w:szCs w:val="20"/>
              </w:rPr>
            </w:pPr>
            <w:r w:rsidRPr="00E47AA9">
              <w:rPr>
                <w:rFonts w:ascii="Times New Roman" w:hAnsi="Times New Roman" w:cs="Times New Roman"/>
                <w:b/>
                <w:bCs/>
                <w:i/>
                <w:iCs/>
                <w:sz w:val="20"/>
                <w:szCs w:val="20"/>
              </w:rPr>
              <w:t>РП, входящие в состав НП</w:t>
            </w:r>
          </w:p>
        </w:tc>
        <w:tc>
          <w:tcPr>
            <w:tcW w:w="16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A920D"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116,99</w:t>
            </w:r>
          </w:p>
        </w:tc>
        <w:tc>
          <w:tcPr>
            <w:tcW w:w="1452" w:type="dxa"/>
            <w:tcBorders>
              <w:top w:val="single" w:sz="4" w:space="0" w:color="auto"/>
              <w:left w:val="nil"/>
              <w:bottom w:val="single" w:sz="4" w:space="0" w:color="auto"/>
              <w:right w:val="single" w:sz="4" w:space="0" w:color="auto"/>
            </w:tcBorders>
            <w:shd w:val="clear" w:color="auto" w:fill="auto"/>
            <w:noWrap/>
            <w:vAlign w:val="center"/>
          </w:tcPr>
          <w:p w14:paraId="4A91D596"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116,99</w:t>
            </w:r>
          </w:p>
        </w:tc>
        <w:tc>
          <w:tcPr>
            <w:tcW w:w="14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BC5AA"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599AF35B"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140C8704" w14:textId="77777777" w:rsidTr="00916F77">
        <w:trPr>
          <w:trHeight w:val="227"/>
        </w:trPr>
        <w:tc>
          <w:tcPr>
            <w:tcW w:w="3686" w:type="dxa"/>
            <w:tcBorders>
              <w:top w:val="single" w:sz="4" w:space="0" w:color="auto"/>
              <w:left w:val="single" w:sz="4" w:space="0" w:color="auto"/>
              <w:bottom w:val="single" w:sz="4" w:space="0" w:color="auto"/>
              <w:right w:val="single" w:sz="4" w:space="0" w:color="auto"/>
            </w:tcBorders>
            <w:shd w:val="clear" w:color="000000" w:fill="FFFFFF"/>
          </w:tcPr>
          <w:p w14:paraId="728D7A76" w14:textId="77777777" w:rsidR="00F726FC" w:rsidRPr="00E47AA9" w:rsidRDefault="00F726FC" w:rsidP="00F77241">
            <w:pPr>
              <w:spacing w:after="0" w:line="240" w:lineRule="auto"/>
              <w:rPr>
                <w:rFonts w:ascii="Times New Roman" w:hAnsi="Times New Roman" w:cs="Times New Roman"/>
                <w:i/>
                <w:iCs/>
                <w:sz w:val="20"/>
                <w:szCs w:val="20"/>
              </w:rPr>
            </w:pPr>
            <w:r w:rsidRPr="00E47AA9">
              <w:rPr>
                <w:rFonts w:ascii="Times New Roman" w:hAnsi="Times New Roman" w:cs="Times New Roman"/>
                <w:i/>
                <w:iCs/>
                <w:sz w:val="20"/>
                <w:szCs w:val="20"/>
              </w:rPr>
              <w:t>НП "Образование"</w:t>
            </w:r>
          </w:p>
        </w:tc>
        <w:tc>
          <w:tcPr>
            <w:tcW w:w="16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9FF289"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52,64</w:t>
            </w:r>
          </w:p>
        </w:tc>
        <w:tc>
          <w:tcPr>
            <w:tcW w:w="1452" w:type="dxa"/>
            <w:tcBorders>
              <w:top w:val="single" w:sz="4" w:space="0" w:color="auto"/>
              <w:left w:val="nil"/>
              <w:bottom w:val="single" w:sz="4" w:space="0" w:color="auto"/>
              <w:right w:val="single" w:sz="4" w:space="0" w:color="auto"/>
            </w:tcBorders>
            <w:shd w:val="clear" w:color="auto" w:fill="auto"/>
            <w:noWrap/>
            <w:vAlign w:val="center"/>
          </w:tcPr>
          <w:p w14:paraId="6B283A5F"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52,64</w:t>
            </w:r>
          </w:p>
        </w:tc>
        <w:tc>
          <w:tcPr>
            <w:tcW w:w="14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44F18"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1A6AF382"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0E95378C" w14:textId="77777777" w:rsidTr="00916F77">
        <w:trPr>
          <w:trHeight w:val="227"/>
        </w:trPr>
        <w:tc>
          <w:tcPr>
            <w:tcW w:w="3686" w:type="dxa"/>
            <w:tcBorders>
              <w:top w:val="single" w:sz="4" w:space="0" w:color="auto"/>
              <w:left w:val="single" w:sz="4" w:space="0" w:color="auto"/>
              <w:bottom w:val="single" w:sz="4" w:space="0" w:color="auto"/>
              <w:right w:val="single" w:sz="4" w:space="0" w:color="auto"/>
            </w:tcBorders>
            <w:shd w:val="clear" w:color="000000" w:fill="FFFFFF"/>
          </w:tcPr>
          <w:p w14:paraId="3FA459B1" w14:textId="77777777" w:rsidR="00F726FC" w:rsidRPr="00E47AA9" w:rsidRDefault="00F726FC" w:rsidP="00F77241">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РП "Социальная активность"</w:t>
            </w:r>
          </w:p>
        </w:tc>
        <w:tc>
          <w:tcPr>
            <w:tcW w:w="16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1A419"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52,64</w:t>
            </w:r>
          </w:p>
        </w:tc>
        <w:tc>
          <w:tcPr>
            <w:tcW w:w="1452" w:type="dxa"/>
            <w:tcBorders>
              <w:top w:val="single" w:sz="4" w:space="0" w:color="auto"/>
              <w:left w:val="nil"/>
              <w:bottom w:val="single" w:sz="4" w:space="0" w:color="auto"/>
              <w:right w:val="single" w:sz="4" w:space="0" w:color="auto"/>
            </w:tcBorders>
            <w:shd w:val="clear" w:color="auto" w:fill="auto"/>
            <w:noWrap/>
            <w:vAlign w:val="center"/>
          </w:tcPr>
          <w:p w14:paraId="02D10523"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52,64</w:t>
            </w:r>
          </w:p>
        </w:tc>
        <w:tc>
          <w:tcPr>
            <w:tcW w:w="14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ED014"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5E416A3B"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250AB2E3" w14:textId="77777777" w:rsidTr="00916F77">
        <w:trPr>
          <w:trHeight w:val="227"/>
        </w:trPr>
        <w:tc>
          <w:tcPr>
            <w:tcW w:w="3686" w:type="dxa"/>
            <w:tcBorders>
              <w:top w:val="single" w:sz="4" w:space="0" w:color="auto"/>
              <w:left w:val="single" w:sz="4" w:space="0" w:color="auto"/>
              <w:bottom w:val="single" w:sz="4" w:space="0" w:color="auto"/>
              <w:right w:val="single" w:sz="4" w:space="0" w:color="auto"/>
            </w:tcBorders>
            <w:shd w:val="clear" w:color="auto" w:fill="auto"/>
          </w:tcPr>
          <w:p w14:paraId="0D80AEBC" w14:textId="77777777" w:rsidR="00F726FC" w:rsidRPr="00E47AA9" w:rsidRDefault="00F726FC" w:rsidP="00F77241">
            <w:pPr>
              <w:spacing w:after="0" w:line="240" w:lineRule="auto"/>
              <w:rPr>
                <w:rFonts w:ascii="Times New Roman" w:hAnsi="Times New Roman" w:cs="Times New Roman"/>
                <w:b/>
                <w:bCs/>
                <w:i/>
                <w:iCs/>
                <w:sz w:val="20"/>
                <w:szCs w:val="20"/>
              </w:rPr>
            </w:pPr>
            <w:r w:rsidRPr="00E47AA9">
              <w:rPr>
                <w:rFonts w:ascii="Times New Roman" w:hAnsi="Times New Roman" w:cs="Times New Roman"/>
                <w:b/>
                <w:bCs/>
                <w:i/>
                <w:iCs/>
                <w:sz w:val="20"/>
                <w:szCs w:val="20"/>
              </w:rPr>
              <w:t>РП, не входящие в состав НП</w:t>
            </w:r>
          </w:p>
        </w:tc>
        <w:tc>
          <w:tcPr>
            <w:tcW w:w="16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C109B"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64,35</w:t>
            </w:r>
          </w:p>
        </w:tc>
        <w:tc>
          <w:tcPr>
            <w:tcW w:w="14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5C786"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64,35</w:t>
            </w:r>
          </w:p>
        </w:tc>
        <w:tc>
          <w:tcPr>
            <w:tcW w:w="14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448E2"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2D7CBA7A"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152C2DA0" w14:textId="77777777" w:rsidTr="00916F77">
        <w:trPr>
          <w:trHeight w:val="227"/>
        </w:trPr>
        <w:tc>
          <w:tcPr>
            <w:tcW w:w="3686" w:type="dxa"/>
            <w:tcBorders>
              <w:top w:val="single" w:sz="4" w:space="0" w:color="auto"/>
              <w:left w:val="single" w:sz="4" w:space="0" w:color="auto"/>
              <w:bottom w:val="single" w:sz="4" w:space="0" w:color="auto"/>
              <w:right w:val="single" w:sz="4" w:space="0" w:color="auto"/>
            </w:tcBorders>
            <w:shd w:val="clear" w:color="auto" w:fill="auto"/>
          </w:tcPr>
          <w:p w14:paraId="267D7CC4" w14:textId="77777777" w:rsidR="00F726FC" w:rsidRPr="00E47AA9" w:rsidRDefault="00F726FC" w:rsidP="00F77241">
            <w:pPr>
              <w:spacing w:after="0" w:line="240" w:lineRule="auto"/>
              <w:rPr>
                <w:rFonts w:ascii="Times New Roman" w:hAnsi="Times New Roman" w:cs="Times New Roman"/>
                <w:sz w:val="20"/>
                <w:szCs w:val="20"/>
              </w:rPr>
            </w:pPr>
            <w:r w:rsidRPr="00E47AA9">
              <w:rPr>
                <w:rFonts w:ascii="Times New Roman" w:hAnsi="Times New Roman" w:cs="Times New Roman"/>
                <w:sz w:val="20"/>
                <w:szCs w:val="20"/>
              </w:rPr>
              <w:t>РП "Социальная активность"</w:t>
            </w:r>
          </w:p>
        </w:tc>
        <w:tc>
          <w:tcPr>
            <w:tcW w:w="16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283DED"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64,35</w:t>
            </w:r>
          </w:p>
        </w:tc>
        <w:tc>
          <w:tcPr>
            <w:tcW w:w="14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C74F5"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64,35</w:t>
            </w:r>
          </w:p>
        </w:tc>
        <w:tc>
          <w:tcPr>
            <w:tcW w:w="14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F95E6"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0,00</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12A6698E"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100,00</w:t>
            </w:r>
          </w:p>
        </w:tc>
      </w:tr>
      <w:tr w:rsidR="00E47AA9" w:rsidRPr="00E47AA9" w14:paraId="052B05C5" w14:textId="77777777" w:rsidTr="00916F77">
        <w:trPr>
          <w:trHeight w:val="227"/>
        </w:trPr>
        <w:tc>
          <w:tcPr>
            <w:tcW w:w="3686" w:type="dxa"/>
            <w:tcBorders>
              <w:top w:val="single" w:sz="4" w:space="0" w:color="auto"/>
              <w:left w:val="single" w:sz="4" w:space="0" w:color="auto"/>
              <w:bottom w:val="single" w:sz="4" w:space="0" w:color="auto"/>
              <w:right w:val="single" w:sz="4" w:space="0" w:color="auto"/>
            </w:tcBorders>
            <w:shd w:val="clear" w:color="000000" w:fill="FFFFFF"/>
          </w:tcPr>
          <w:p w14:paraId="5ADF2013" w14:textId="77777777" w:rsidR="00F726FC" w:rsidRPr="00E47AA9" w:rsidRDefault="00F726FC" w:rsidP="00F77241">
            <w:pPr>
              <w:spacing w:after="0" w:line="240" w:lineRule="auto"/>
              <w:rPr>
                <w:rFonts w:ascii="Times New Roman" w:hAnsi="Times New Roman" w:cs="Times New Roman"/>
                <w:b/>
                <w:bCs/>
                <w:sz w:val="20"/>
                <w:szCs w:val="20"/>
              </w:rPr>
            </w:pPr>
            <w:r w:rsidRPr="00E47AA9">
              <w:rPr>
                <w:rFonts w:ascii="Times New Roman" w:hAnsi="Times New Roman" w:cs="Times New Roman"/>
                <w:b/>
                <w:bCs/>
                <w:sz w:val="20"/>
                <w:szCs w:val="20"/>
              </w:rPr>
              <w:t>комплексы процессных мероприятий</w:t>
            </w:r>
          </w:p>
        </w:tc>
        <w:tc>
          <w:tcPr>
            <w:tcW w:w="16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E67A6"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235,68</w:t>
            </w:r>
          </w:p>
        </w:tc>
        <w:tc>
          <w:tcPr>
            <w:tcW w:w="14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B109D"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235,59</w:t>
            </w:r>
          </w:p>
        </w:tc>
        <w:tc>
          <w:tcPr>
            <w:tcW w:w="14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9318C"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0,09</w:t>
            </w:r>
          </w:p>
        </w:tc>
        <w:tc>
          <w:tcPr>
            <w:tcW w:w="1462" w:type="dxa"/>
            <w:tcBorders>
              <w:top w:val="single" w:sz="4" w:space="0" w:color="auto"/>
              <w:left w:val="single" w:sz="4" w:space="0" w:color="auto"/>
              <w:bottom w:val="single" w:sz="4" w:space="0" w:color="auto"/>
              <w:right w:val="single" w:sz="4" w:space="0" w:color="auto"/>
            </w:tcBorders>
            <w:shd w:val="clear" w:color="auto" w:fill="auto"/>
            <w:vAlign w:val="center"/>
          </w:tcPr>
          <w:p w14:paraId="69EEB1E1" w14:textId="77777777" w:rsidR="00F726FC" w:rsidRPr="00E47AA9" w:rsidRDefault="00F726FC" w:rsidP="00F77241">
            <w:pPr>
              <w:spacing w:after="0" w:line="240" w:lineRule="auto"/>
              <w:jc w:val="right"/>
              <w:rPr>
                <w:rFonts w:ascii="Times New Roman" w:hAnsi="Times New Roman" w:cs="Times New Roman"/>
                <w:sz w:val="20"/>
                <w:szCs w:val="20"/>
              </w:rPr>
            </w:pPr>
            <w:r w:rsidRPr="00E47AA9">
              <w:rPr>
                <w:rFonts w:ascii="Times New Roman" w:hAnsi="Times New Roman" w:cs="Times New Roman"/>
                <w:sz w:val="20"/>
                <w:szCs w:val="20"/>
              </w:rPr>
              <w:t>99,96</w:t>
            </w:r>
          </w:p>
        </w:tc>
      </w:tr>
    </w:tbl>
    <w:p w14:paraId="5E8901CC" w14:textId="77777777" w:rsidR="00F726FC" w:rsidRPr="00E47AA9" w:rsidRDefault="00F726FC" w:rsidP="00F726FC">
      <w:pPr>
        <w:spacing w:after="0" w:line="240" w:lineRule="auto"/>
        <w:ind w:firstLine="708"/>
        <w:jc w:val="both"/>
        <w:rPr>
          <w:rFonts w:ascii="Times New Roman" w:eastAsia="Times New Roman" w:hAnsi="Times New Roman" w:cs="Times New Roman"/>
          <w:sz w:val="28"/>
          <w:szCs w:val="28"/>
          <w:lang w:eastAsia="ru-RU"/>
        </w:rPr>
      </w:pPr>
    </w:p>
    <w:p w14:paraId="7C290902" w14:textId="776261DF" w:rsidR="00E33632" w:rsidRPr="00E47AA9" w:rsidRDefault="00E33632" w:rsidP="00F726FC">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Согласно Сводно</w:t>
      </w:r>
      <w:r w:rsidR="00460DD3" w:rsidRPr="00E47AA9">
        <w:rPr>
          <w:rFonts w:ascii="Times New Roman" w:eastAsia="Times New Roman" w:hAnsi="Times New Roman" w:cs="Times New Roman"/>
          <w:sz w:val="28"/>
          <w:szCs w:val="28"/>
          <w:lang w:eastAsia="ru-RU"/>
        </w:rPr>
        <w:t>му</w:t>
      </w:r>
      <w:r w:rsidRPr="00E47AA9">
        <w:rPr>
          <w:rFonts w:ascii="Times New Roman" w:eastAsia="Times New Roman" w:hAnsi="Times New Roman" w:cs="Times New Roman"/>
          <w:sz w:val="28"/>
          <w:szCs w:val="28"/>
          <w:lang w:eastAsia="ru-RU"/>
        </w:rPr>
        <w:t xml:space="preserve"> годово</w:t>
      </w:r>
      <w:r w:rsidR="00460DD3" w:rsidRPr="00E47AA9">
        <w:rPr>
          <w:rFonts w:ascii="Times New Roman" w:eastAsia="Times New Roman" w:hAnsi="Times New Roman" w:cs="Times New Roman"/>
          <w:sz w:val="28"/>
          <w:szCs w:val="28"/>
          <w:lang w:eastAsia="ru-RU"/>
        </w:rPr>
        <w:t>му</w:t>
      </w:r>
      <w:r w:rsidRPr="00E47AA9">
        <w:rPr>
          <w:rFonts w:ascii="Times New Roman" w:eastAsia="Times New Roman" w:hAnsi="Times New Roman" w:cs="Times New Roman"/>
          <w:sz w:val="28"/>
          <w:szCs w:val="28"/>
          <w:lang w:eastAsia="ru-RU"/>
        </w:rPr>
        <w:t xml:space="preserve"> доклад</w:t>
      </w:r>
      <w:r w:rsidR="00460DD3" w:rsidRPr="00E47AA9">
        <w:rPr>
          <w:rFonts w:ascii="Times New Roman" w:eastAsia="Times New Roman" w:hAnsi="Times New Roman" w:cs="Times New Roman"/>
          <w:sz w:val="28"/>
          <w:szCs w:val="28"/>
          <w:lang w:eastAsia="ru-RU"/>
        </w:rPr>
        <w:t>у</w:t>
      </w:r>
      <w:r w:rsidRPr="00E47AA9">
        <w:rPr>
          <w:rFonts w:ascii="Times New Roman" w:eastAsia="Times New Roman" w:hAnsi="Times New Roman" w:cs="Times New Roman"/>
          <w:sz w:val="28"/>
          <w:szCs w:val="28"/>
          <w:lang w:eastAsia="ru-RU"/>
        </w:rPr>
        <w:t>:</w:t>
      </w:r>
    </w:p>
    <w:p w14:paraId="4D4B8BB6" w14:textId="2B433FFB" w:rsidR="00E33632" w:rsidRPr="00E47AA9" w:rsidRDefault="00E33632" w:rsidP="00E33632">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из 29 мероприятий государственной программы, запланированных в 2024 году, выполнены в полном объеме 28 мероприятий, 1 мероприятие выполнено не в полном объеме;</w:t>
      </w:r>
    </w:p>
    <w:p w14:paraId="2A64DC3B" w14:textId="4EB7B6D5" w:rsidR="00E33632" w:rsidRPr="00E47AA9" w:rsidRDefault="00E33632" w:rsidP="00E33632">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из 22 показателей государственной программы 19 достигли планового значения, 3 показателя достигнуты не в полном объеме, при этом по </w:t>
      </w:r>
      <w:r w:rsidR="00E37858" w:rsidRPr="00E47AA9">
        <w:rPr>
          <w:rFonts w:ascii="Times New Roman" w:eastAsia="Times New Roman" w:hAnsi="Times New Roman" w:cs="Times New Roman"/>
          <w:sz w:val="28"/>
          <w:szCs w:val="28"/>
          <w:lang w:eastAsia="ru-RU"/>
        </w:rPr>
        <w:br/>
      </w:r>
      <w:r w:rsidRPr="00E47AA9">
        <w:rPr>
          <w:rFonts w:ascii="Times New Roman" w:eastAsia="Times New Roman" w:hAnsi="Times New Roman" w:cs="Times New Roman"/>
          <w:sz w:val="28"/>
          <w:szCs w:val="28"/>
          <w:lang w:eastAsia="ru-RU"/>
        </w:rPr>
        <w:t>9 показателям не представлены документы, подтверждающие их фактически достигнутые значения;</w:t>
      </w:r>
    </w:p>
    <w:p w14:paraId="152FDB32" w14:textId="78EDE7EF" w:rsidR="00E33632" w:rsidRPr="00E47AA9" w:rsidRDefault="00E33632" w:rsidP="00F726FC">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эффективность реализации государственной программы составила 98,2</w:t>
      </w:r>
      <w:r w:rsidR="00FD1970"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(высокая).</w:t>
      </w:r>
    </w:p>
    <w:p w14:paraId="4916E7E5" w14:textId="67F8C270" w:rsidR="00F726FC" w:rsidRPr="00E47AA9" w:rsidRDefault="00F726FC" w:rsidP="00F726FC">
      <w:pPr>
        <w:spacing w:after="0" w:line="240" w:lineRule="auto"/>
        <w:ind w:firstLine="708"/>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 xml:space="preserve">Подпрограмма "Патриотическое воспитание </w:t>
      </w:r>
      <w:r w:rsidR="001C215C" w:rsidRPr="00E47AA9">
        <w:rPr>
          <w:rFonts w:ascii="Times New Roman" w:eastAsia="Times New Roman" w:hAnsi="Times New Roman" w:cs="Times New Roman"/>
          <w:b/>
          <w:sz w:val="28"/>
          <w:szCs w:val="28"/>
          <w:lang w:eastAsia="ru-RU"/>
        </w:rPr>
        <w:t>жителей</w:t>
      </w:r>
      <w:r w:rsidRPr="00E47AA9">
        <w:rPr>
          <w:rFonts w:ascii="Times New Roman" w:eastAsia="Times New Roman" w:hAnsi="Times New Roman" w:cs="Times New Roman"/>
          <w:b/>
          <w:sz w:val="28"/>
          <w:szCs w:val="28"/>
          <w:lang w:eastAsia="ru-RU"/>
        </w:rPr>
        <w:t xml:space="preserve"> Приморско</w:t>
      </w:r>
      <w:r w:rsidR="001C215C" w:rsidRPr="00E47AA9">
        <w:rPr>
          <w:rFonts w:ascii="Times New Roman" w:eastAsia="Times New Roman" w:hAnsi="Times New Roman" w:cs="Times New Roman"/>
          <w:b/>
          <w:sz w:val="28"/>
          <w:szCs w:val="28"/>
          <w:lang w:eastAsia="ru-RU"/>
        </w:rPr>
        <w:t>го</w:t>
      </w:r>
      <w:r w:rsidRPr="00E47AA9">
        <w:rPr>
          <w:rFonts w:ascii="Times New Roman" w:eastAsia="Times New Roman" w:hAnsi="Times New Roman" w:cs="Times New Roman"/>
          <w:b/>
          <w:sz w:val="28"/>
          <w:szCs w:val="28"/>
          <w:lang w:eastAsia="ru-RU"/>
        </w:rPr>
        <w:t xml:space="preserve"> кра</w:t>
      </w:r>
      <w:r w:rsidR="001C215C" w:rsidRPr="00E47AA9">
        <w:rPr>
          <w:rFonts w:ascii="Times New Roman" w:eastAsia="Times New Roman" w:hAnsi="Times New Roman" w:cs="Times New Roman"/>
          <w:b/>
          <w:sz w:val="28"/>
          <w:szCs w:val="28"/>
          <w:lang w:eastAsia="ru-RU"/>
        </w:rPr>
        <w:t>я</w:t>
      </w:r>
      <w:r w:rsidRPr="00E47AA9">
        <w:rPr>
          <w:rFonts w:ascii="Times New Roman" w:eastAsia="Times New Roman" w:hAnsi="Times New Roman" w:cs="Times New Roman"/>
          <w:b/>
          <w:sz w:val="28"/>
          <w:szCs w:val="28"/>
          <w:lang w:eastAsia="ru-RU"/>
        </w:rPr>
        <w:t xml:space="preserve">" </w:t>
      </w:r>
    </w:p>
    <w:p w14:paraId="0ECB0E8A" w14:textId="2B785B08" w:rsidR="00F726FC" w:rsidRPr="00E47AA9" w:rsidRDefault="00F726FC" w:rsidP="00F726FC">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sz w:val="28"/>
          <w:szCs w:val="28"/>
          <w:lang w:eastAsia="ru-RU"/>
        </w:rPr>
        <w:t>РП "Социальная активность"</w:t>
      </w:r>
      <w:r w:rsidRPr="00E47AA9">
        <w:rPr>
          <w:rFonts w:ascii="Times New Roman" w:eastAsia="Times New Roman" w:hAnsi="Times New Roman" w:cs="Times New Roman"/>
          <w:sz w:val="28"/>
          <w:szCs w:val="28"/>
          <w:lang w:eastAsia="ru-RU"/>
        </w:rPr>
        <w:t xml:space="preserve">, входящий в состав </w:t>
      </w:r>
      <w:r w:rsidRPr="00E47AA9">
        <w:rPr>
          <w:rFonts w:ascii="Times New Roman" w:eastAsia="Times New Roman" w:hAnsi="Times New Roman" w:cs="Times New Roman"/>
          <w:i/>
          <w:sz w:val="28"/>
          <w:szCs w:val="28"/>
          <w:lang w:eastAsia="ru-RU"/>
        </w:rPr>
        <w:t>НП "Образование"</w:t>
      </w:r>
      <w:r w:rsidRPr="00E47AA9">
        <w:rPr>
          <w:rFonts w:ascii="Times New Roman" w:eastAsia="Times New Roman" w:hAnsi="Times New Roman" w:cs="Times New Roman"/>
          <w:sz w:val="28"/>
          <w:szCs w:val="28"/>
          <w:lang w:eastAsia="ru-RU"/>
        </w:rPr>
        <w:t>, в</w:t>
      </w:r>
      <w:r w:rsidR="00FD1970"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2024 году исполнен в сумме 52,64 млн рублей (в полном объеме плановых назначений). Подробная информация представлена в приложении 3 к Заключению.</w:t>
      </w:r>
    </w:p>
    <w:p w14:paraId="1EF98F83" w14:textId="77777777" w:rsidR="00F726FC" w:rsidRPr="00E47AA9" w:rsidRDefault="00F726FC" w:rsidP="00F726FC">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Cs/>
          <w:i/>
          <w:sz w:val="28"/>
          <w:szCs w:val="28"/>
          <w:lang w:eastAsia="ru-RU"/>
        </w:rPr>
        <w:t>КПМ "Мероприятия историко-патриотической, культурно-патриотической, спортивно-патриотической направленности"</w:t>
      </w:r>
      <w:r w:rsidRPr="00E47AA9">
        <w:rPr>
          <w:rFonts w:ascii="Times New Roman" w:eastAsia="Times New Roman" w:hAnsi="Times New Roman" w:cs="Times New Roman"/>
          <w:i/>
          <w:sz w:val="28"/>
          <w:szCs w:val="28"/>
          <w:lang w:eastAsia="ru-RU"/>
        </w:rPr>
        <w:t xml:space="preserve"> </w:t>
      </w:r>
      <w:r w:rsidRPr="00E47AA9">
        <w:rPr>
          <w:rFonts w:ascii="Times New Roman" w:eastAsia="Times New Roman" w:hAnsi="Times New Roman" w:cs="Times New Roman"/>
          <w:sz w:val="28"/>
          <w:szCs w:val="28"/>
          <w:lang w:eastAsia="ru-RU"/>
        </w:rPr>
        <w:t>исполнен в полном объеме 9,46 млн рублей, из них и</w:t>
      </w:r>
      <w:r w:rsidRPr="00E47AA9">
        <w:rPr>
          <w:rFonts w:ascii="Times New Roman" w:eastAsia="Times New Roman" w:hAnsi="Times New Roman" w:cs="Times New Roman"/>
          <w:sz w:val="28"/>
          <w:szCs w:val="28"/>
          <w:u w:val="single"/>
          <w:lang w:eastAsia="ru-RU"/>
        </w:rPr>
        <w:t>нспекцией по охране объектов культурного наследия Приморского края</w:t>
      </w:r>
      <w:r w:rsidRPr="00E47AA9">
        <w:rPr>
          <w:rFonts w:ascii="Times New Roman" w:eastAsia="Times New Roman" w:hAnsi="Times New Roman" w:cs="Times New Roman"/>
          <w:sz w:val="28"/>
          <w:szCs w:val="28"/>
          <w:lang w:eastAsia="ru-RU"/>
        </w:rPr>
        <w:t xml:space="preserve"> предоставлены субсидии бюджетам 10 муниципальных образований Приморского края в сумме 7,22 млн рублей на проведение работ по восстановлению 35 воинских захоронений, находящихся в муниципальной собственности. </w:t>
      </w:r>
    </w:p>
    <w:p w14:paraId="67036416" w14:textId="77777777" w:rsidR="00F726FC" w:rsidRPr="00E47AA9" w:rsidRDefault="00F726FC" w:rsidP="00F726FC">
      <w:pPr>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 xml:space="preserve">Подпрограмма "Этнокультурное развитие народов Приморского края и гармонизация межнациональных отношений" </w:t>
      </w:r>
    </w:p>
    <w:p w14:paraId="0823957C" w14:textId="52CC7D5A" w:rsidR="00F726FC" w:rsidRPr="00E47AA9" w:rsidRDefault="00F726FC" w:rsidP="00F726FC">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Cs/>
          <w:i/>
          <w:sz w:val="28"/>
          <w:szCs w:val="28"/>
          <w:lang w:eastAsia="ru-RU"/>
        </w:rPr>
        <w:t>КПМ "Реализация мероприятий по укреплению единства российской нации и этнокультурному развитию народов России"</w:t>
      </w:r>
      <w:r w:rsidRPr="00E47AA9">
        <w:rPr>
          <w:rFonts w:ascii="Times New Roman" w:eastAsia="Times New Roman" w:hAnsi="Times New Roman" w:cs="Times New Roman"/>
          <w:sz w:val="28"/>
          <w:szCs w:val="28"/>
          <w:lang w:eastAsia="ru-RU"/>
        </w:rPr>
        <w:t xml:space="preserve"> реализован практически в полном объеме плановых назначений </w:t>
      </w:r>
      <w:r w:rsidR="00192E4A"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18,36 млн рублей, в том числе: мероприятия по укреплению единства российской нации и этнокультурному развитию народов России (4,91 млн рублей) и предоставление единой субсидии на достижение показателей государственной программы Российской </w:t>
      </w:r>
      <w:r w:rsidRPr="00E47AA9">
        <w:rPr>
          <w:rFonts w:ascii="Times New Roman" w:eastAsia="Times New Roman" w:hAnsi="Times New Roman" w:cs="Times New Roman"/>
          <w:sz w:val="28"/>
          <w:szCs w:val="28"/>
          <w:lang w:eastAsia="ru-RU"/>
        </w:rPr>
        <w:lastRenderedPageBreak/>
        <w:t>Федерации "Реализация государственной национальной политики" (13,45 млн рублей).</w:t>
      </w:r>
    </w:p>
    <w:p w14:paraId="582A6254" w14:textId="77777777" w:rsidR="00F726FC" w:rsidRPr="00E47AA9" w:rsidRDefault="00F726FC" w:rsidP="00F726FC">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 xml:space="preserve">Подпрограмма "Поддержка социально ориентированных некоммерческих и иных некоммерческих организаций Приморского края" </w:t>
      </w:r>
    </w:p>
    <w:p w14:paraId="6D0B17C4" w14:textId="77777777" w:rsidR="00F726FC" w:rsidRPr="00E47AA9" w:rsidRDefault="00F726FC" w:rsidP="00F726FC">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Мероприятия подпрограммы исполнены </w:t>
      </w:r>
      <w:r w:rsidRPr="00E47AA9">
        <w:rPr>
          <w:rFonts w:ascii="Times New Roman" w:eastAsia="Times New Roman" w:hAnsi="Times New Roman" w:cs="Times New Roman"/>
          <w:sz w:val="28"/>
          <w:szCs w:val="28"/>
          <w:u w:val="single"/>
          <w:lang w:eastAsia="ru-RU"/>
        </w:rPr>
        <w:t>департаментом внутренней политики Приморского края</w:t>
      </w:r>
      <w:r w:rsidRPr="00E47AA9">
        <w:rPr>
          <w:rFonts w:ascii="Times New Roman" w:eastAsia="Times New Roman" w:hAnsi="Times New Roman" w:cs="Times New Roman"/>
          <w:sz w:val="28"/>
          <w:szCs w:val="28"/>
          <w:lang w:eastAsia="ru-RU"/>
        </w:rPr>
        <w:t>.</w:t>
      </w:r>
    </w:p>
    <w:p w14:paraId="5D9B9F94" w14:textId="77777777" w:rsidR="00F726FC" w:rsidRPr="00E47AA9" w:rsidRDefault="00F726FC" w:rsidP="00F726FC">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Cs/>
          <w:i/>
          <w:sz w:val="28"/>
          <w:szCs w:val="28"/>
          <w:lang w:eastAsia="ru-RU"/>
        </w:rPr>
        <w:t>Региональный проект "Социальная активность", не входящий в состав национальных проектов,</w:t>
      </w:r>
      <w:r w:rsidRPr="00E47AA9">
        <w:rPr>
          <w:rFonts w:ascii="Times New Roman" w:eastAsia="Times New Roman" w:hAnsi="Times New Roman" w:cs="Times New Roman"/>
          <w:sz w:val="28"/>
          <w:szCs w:val="28"/>
          <w:lang w:eastAsia="ru-RU"/>
        </w:rPr>
        <w:t xml:space="preserve"> в 2024 году исполнен в полном объеме 65,35 млн рублей. Предоставлены субсидии из краевого бюджета 52 социально ориентированным некоммерческим организациям Приморского края (далее – СО НКО) на финансовое обеспечение затрат, связанных с реализацией общественно значимых программ (проектов) по направлениям деятельности. Подробная информация отражена в приложении 3 к Заключению.</w:t>
      </w:r>
    </w:p>
    <w:p w14:paraId="3645E7D4" w14:textId="09F1CFCC" w:rsidR="00F726FC" w:rsidRPr="00E47AA9" w:rsidRDefault="00F726FC" w:rsidP="00F726FC">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bCs/>
          <w:i/>
          <w:sz w:val="28"/>
          <w:szCs w:val="28"/>
          <w:lang w:eastAsia="ru-RU"/>
        </w:rPr>
        <w:t>КПМ "Поддержка социально ориентированных некоммерческих организаций Приморского края"</w:t>
      </w:r>
      <w:r w:rsidRPr="00E47AA9">
        <w:rPr>
          <w:rFonts w:ascii="Times New Roman" w:eastAsia="Times New Roman" w:hAnsi="Times New Roman" w:cs="Times New Roman"/>
          <w:sz w:val="28"/>
          <w:szCs w:val="28"/>
          <w:lang w:eastAsia="ru-RU"/>
        </w:rPr>
        <w:t xml:space="preserve"> реализован на сумму 32,69 млн рублей (в полном объеме). Субсидии направлены 17 социально ориентированным некоммерческим организациям Приморского края на финансовое обеспечение затрат, связанных с реализацией общественно значимых программ (проектов) по направлениям деятельности, за счет средств, поступивших из Фонда-оператора президентских грантов по развитию гражданского общества</w:t>
      </w:r>
      <w:r w:rsidR="00192E4A" w:rsidRPr="00E47AA9">
        <w:rPr>
          <w:rFonts w:ascii="Times New Roman" w:eastAsia="Times New Roman" w:hAnsi="Times New Roman" w:cs="Times New Roman"/>
          <w:sz w:val="28"/>
          <w:szCs w:val="28"/>
          <w:lang w:eastAsia="ru-RU"/>
        </w:rPr>
        <w:t>.</w:t>
      </w:r>
    </w:p>
    <w:p w14:paraId="32DB7B8B" w14:textId="77777777" w:rsidR="00F726FC" w:rsidRPr="00E47AA9" w:rsidRDefault="00F726FC" w:rsidP="00F726FC">
      <w:pPr>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bCs/>
          <w:iCs/>
          <w:sz w:val="28"/>
          <w:szCs w:val="28"/>
          <w:lang w:eastAsia="ru-RU"/>
        </w:rPr>
        <w:t>По</w:t>
      </w:r>
      <w:r w:rsidRPr="00E47AA9">
        <w:rPr>
          <w:rFonts w:ascii="Times New Roman" w:eastAsia="Times New Roman" w:hAnsi="Times New Roman" w:cs="Times New Roman"/>
          <w:b/>
          <w:i/>
          <w:sz w:val="28"/>
          <w:szCs w:val="28"/>
          <w:lang w:eastAsia="ru-RU"/>
        </w:rPr>
        <w:t xml:space="preserve"> </w:t>
      </w:r>
      <w:r w:rsidRPr="00E47AA9">
        <w:rPr>
          <w:rFonts w:ascii="Times New Roman" w:eastAsia="Times New Roman" w:hAnsi="Times New Roman" w:cs="Times New Roman"/>
          <w:i/>
          <w:sz w:val="28"/>
          <w:szCs w:val="28"/>
          <w:lang w:eastAsia="ru-RU"/>
        </w:rPr>
        <w:t>КПМ</w:t>
      </w:r>
      <w:r w:rsidRPr="00E47AA9">
        <w:rPr>
          <w:rFonts w:ascii="Times New Roman" w:hAnsi="Times New Roman" w:cs="Times New Roman"/>
          <w:i/>
          <w:sz w:val="28"/>
          <w:szCs w:val="28"/>
        </w:rPr>
        <w:t xml:space="preserve"> "Поддержка иных общественных организаций в Приморском крае"</w:t>
      </w:r>
      <w:r w:rsidRPr="00E47AA9">
        <w:rPr>
          <w:rFonts w:ascii="Times New Roman" w:hAnsi="Times New Roman" w:cs="Times New Roman"/>
          <w:b/>
          <w:i/>
          <w:sz w:val="28"/>
          <w:szCs w:val="28"/>
        </w:rPr>
        <w:t xml:space="preserve"> </w:t>
      </w:r>
      <w:r w:rsidRPr="00E47AA9">
        <w:rPr>
          <w:rFonts w:ascii="Times New Roman" w:hAnsi="Times New Roman" w:cs="Times New Roman"/>
          <w:sz w:val="28"/>
          <w:szCs w:val="28"/>
        </w:rPr>
        <w:t xml:space="preserve">в полном объеме плановых назначений </w:t>
      </w:r>
      <w:r w:rsidRPr="00E47AA9">
        <w:rPr>
          <w:rFonts w:ascii="Times New Roman" w:hAnsi="Times New Roman" w:cs="Times New Roman"/>
          <w:bCs/>
          <w:iCs/>
          <w:sz w:val="28"/>
          <w:szCs w:val="28"/>
        </w:rPr>
        <w:t>н</w:t>
      </w:r>
      <w:r w:rsidRPr="00E47AA9">
        <w:rPr>
          <w:rFonts w:ascii="Times New Roman" w:hAnsi="Times New Roman" w:cs="Times New Roman"/>
          <w:sz w:val="28"/>
          <w:szCs w:val="28"/>
        </w:rPr>
        <w:t>аправлены субсидии в объеме 165,15 млн рублей, из них:</w:t>
      </w:r>
    </w:p>
    <w:p w14:paraId="291F60EF" w14:textId="77777777" w:rsidR="00F726FC" w:rsidRPr="00E47AA9" w:rsidRDefault="00F726FC" w:rsidP="00F726FC">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автономной некоммерческой организации "Приморское добровольческое движение поддержки участников специальной военной операции – добровольческого батальона "Тигр" (72,06 млн рублей). Проведено 18 акций и мероприятий, в которых приняли участи 50651 житель края;</w:t>
      </w:r>
    </w:p>
    <w:p w14:paraId="33D677B5" w14:textId="2CF2D6B7" w:rsidR="00F726FC" w:rsidRPr="00E47AA9" w:rsidRDefault="00192E4A" w:rsidP="00F726FC">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р</w:t>
      </w:r>
      <w:r w:rsidR="00F726FC" w:rsidRPr="00E47AA9">
        <w:rPr>
          <w:rFonts w:ascii="Times New Roman" w:hAnsi="Times New Roman" w:cs="Times New Roman"/>
          <w:sz w:val="28"/>
          <w:szCs w:val="28"/>
        </w:rPr>
        <w:t>егиональному отделению Общероссийской общественно-государственной организации "Добровольное общество содействия армии, авиации и флоту России" Приморского края (17,69 млн рублей). Проведено 11 патриотических акций и мероприятий, в которых приняли участие 55740 жителей края;</w:t>
      </w:r>
    </w:p>
    <w:p w14:paraId="45BB2E26" w14:textId="2EB85B9E" w:rsidR="00F726FC" w:rsidRPr="00E47AA9" w:rsidRDefault="00192E4A" w:rsidP="00F726FC">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н</w:t>
      </w:r>
      <w:r w:rsidR="00F726FC" w:rsidRPr="00E47AA9">
        <w:rPr>
          <w:rFonts w:ascii="Times New Roman" w:hAnsi="Times New Roman" w:cs="Times New Roman"/>
          <w:sz w:val="28"/>
          <w:szCs w:val="28"/>
        </w:rPr>
        <w:t xml:space="preserve">екоммерческому партнерству "Дальневосточный музей авиации" (19,36 млн рублей). Больше 15700 жителей Приморского края приняли участие в проведении социально значимых мероприятий, акций, проектов в целях популяризации авиации среди широких слоев населения и молодежи, авиационной профориентации подрастающего поколения и его патриотического воспитания, развитие технического творческого потенциала у детей и молодежи, престижности </w:t>
      </w:r>
      <w:proofErr w:type="spellStart"/>
      <w:r w:rsidR="00F726FC" w:rsidRPr="00E47AA9">
        <w:rPr>
          <w:rFonts w:ascii="Times New Roman" w:hAnsi="Times New Roman" w:cs="Times New Roman"/>
          <w:sz w:val="28"/>
          <w:szCs w:val="28"/>
        </w:rPr>
        <w:t>авиапрофессий</w:t>
      </w:r>
      <w:proofErr w:type="spellEnd"/>
      <w:r w:rsidR="00F726FC" w:rsidRPr="00E47AA9">
        <w:rPr>
          <w:rFonts w:ascii="Times New Roman" w:hAnsi="Times New Roman" w:cs="Times New Roman"/>
          <w:sz w:val="28"/>
          <w:szCs w:val="28"/>
        </w:rPr>
        <w:t>;</w:t>
      </w:r>
    </w:p>
    <w:p w14:paraId="38E64803" w14:textId="77777777" w:rsidR="00F726FC" w:rsidRPr="00E47AA9" w:rsidRDefault="00F726FC" w:rsidP="00F726FC">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Приморской краевой общественной организации ветеранов (пенсионеров) войны, труда, Вооруженных Сил и правоохранительных органов (25,03 млн рублей).</w:t>
      </w:r>
      <w:r w:rsidRPr="00E47AA9">
        <w:rPr>
          <w:rFonts w:ascii="Times New Roman" w:hAnsi="Times New Roman" w:cs="Times New Roman"/>
        </w:rPr>
        <w:t xml:space="preserve"> </w:t>
      </w:r>
      <w:r w:rsidRPr="00E47AA9">
        <w:rPr>
          <w:rFonts w:ascii="Times New Roman" w:hAnsi="Times New Roman" w:cs="Times New Roman"/>
          <w:sz w:val="28"/>
          <w:szCs w:val="28"/>
        </w:rPr>
        <w:t xml:space="preserve">Общественной организацией с использованием </w:t>
      </w:r>
      <w:r w:rsidRPr="00E47AA9">
        <w:rPr>
          <w:rFonts w:ascii="Times New Roman" w:hAnsi="Times New Roman" w:cs="Times New Roman"/>
          <w:sz w:val="28"/>
          <w:szCs w:val="28"/>
        </w:rPr>
        <w:lastRenderedPageBreak/>
        <w:t>средств адресной субсидии проведено 2440 акций и мероприятий патриотической направленности;</w:t>
      </w:r>
    </w:p>
    <w:p w14:paraId="75657D9E" w14:textId="77777777" w:rsidR="00F726FC" w:rsidRPr="00E47AA9" w:rsidRDefault="00F726FC" w:rsidP="00F726FC">
      <w:pPr>
        <w:spacing w:after="0" w:line="240" w:lineRule="auto"/>
        <w:ind w:firstLine="709"/>
        <w:jc w:val="both"/>
      </w:pPr>
      <w:r w:rsidRPr="00E47AA9">
        <w:rPr>
          <w:rFonts w:ascii="Times New Roman" w:hAnsi="Times New Roman" w:cs="Times New Roman"/>
          <w:sz w:val="28"/>
          <w:szCs w:val="28"/>
        </w:rPr>
        <w:t>Приморской региональной общественной организации "Поисковое объединение "</w:t>
      </w:r>
      <w:proofErr w:type="spellStart"/>
      <w:r w:rsidRPr="00E47AA9">
        <w:rPr>
          <w:rFonts w:ascii="Times New Roman" w:hAnsi="Times New Roman" w:cs="Times New Roman"/>
          <w:sz w:val="28"/>
          <w:szCs w:val="28"/>
        </w:rPr>
        <w:t>АвиаПоиск</w:t>
      </w:r>
      <w:proofErr w:type="spellEnd"/>
      <w:r w:rsidRPr="00E47AA9">
        <w:rPr>
          <w:rFonts w:ascii="Times New Roman" w:hAnsi="Times New Roman" w:cs="Times New Roman"/>
          <w:sz w:val="28"/>
          <w:szCs w:val="28"/>
        </w:rPr>
        <w:t>" имени майора Романа Филиппова" (7,83 млн рублей). Приняли участие 1710 жителей Приморского края в 6 акциях и мероприятиях, проведенных организацией.</w:t>
      </w:r>
    </w:p>
    <w:p w14:paraId="51911121" w14:textId="77777777" w:rsidR="000711E6" w:rsidRPr="00E47AA9" w:rsidRDefault="000711E6" w:rsidP="000711E6">
      <w:pPr>
        <w:spacing w:after="0" w:line="240" w:lineRule="auto"/>
        <w:rPr>
          <w:rFonts w:ascii="Times New Roman" w:hAnsi="Times New Roman" w:cs="Times New Roman"/>
          <w:sz w:val="28"/>
          <w:szCs w:val="28"/>
        </w:rPr>
      </w:pPr>
    </w:p>
    <w:p w14:paraId="454B0D35" w14:textId="77777777" w:rsidR="000711E6" w:rsidRPr="00E47AA9" w:rsidRDefault="000711E6" w:rsidP="000711E6">
      <w:pPr>
        <w:spacing w:after="0" w:line="240" w:lineRule="auto"/>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noProof/>
          <w:sz w:val="20"/>
          <w:szCs w:val="20"/>
          <w:lang w:eastAsia="ru-RU"/>
        </w:rPr>
        <w:drawing>
          <wp:anchor distT="0" distB="0" distL="114300" distR="114300" simplePos="0" relativeHeight="251687936" behindDoc="0" locked="0" layoutInCell="1" allowOverlap="1" wp14:anchorId="3371BE3C" wp14:editId="2D9BDF10">
            <wp:simplePos x="0" y="0"/>
            <wp:positionH relativeFrom="column">
              <wp:posOffset>-105138</wp:posOffset>
            </wp:positionH>
            <wp:positionV relativeFrom="paragraph">
              <wp:posOffset>200751</wp:posOffset>
            </wp:positionV>
            <wp:extent cx="1492885" cy="1057275"/>
            <wp:effectExtent l="0" t="0" r="0" b="9525"/>
            <wp:wrapSquare wrapText="bothSides"/>
            <wp:docPr id="64" name="Рисунок 64" descr="C:\Users\zavzyataya_sv\Desktop\Картинки к исполнению\clp3982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avzyataya_sv\Desktop\Картинки к исполнению\clp3982166.jpg"/>
                    <pic:cNvPicPr>
                      <a:picLocks noChangeAspect="1" noChangeArrowheads="1"/>
                    </pic:cNvPicPr>
                  </pic:nvPicPr>
                  <pic:blipFill rotWithShape="1">
                    <a:blip r:embed="rId71">
                      <a:extLst>
                        <a:ext uri="{28A0092B-C50C-407E-A947-70E740481C1C}">
                          <a14:useLocalDpi xmlns:a14="http://schemas.microsoft.com/office/drawing/2010/main" val="0"/>
                        </a:ext>
                      </a:extLst>
                    </a:blip>
                    <a:srcRect t="14219" b="11273"/>
                    <a:stretch/>
                  </pic:blipFill>
                  <pic:spPr bwMode="auto">
                    <a:xfrm>
                      <a:off x="0" y="0"/>
                      <a:ext cx="1492885" cy="1057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47AA9">
        <w:rPr>
          <w:rFonts w:ascii="Times New Roman" w:eastAsia="Times New Roman" w:hAnsi="Times New Roman" w:cs="Times New Roman"/>
          <w:b/>
          <w:sz w:val="28"/>
          <w:szCs w:val="28"/>
          <w:lang w:eastAsia="ru-RU"/>
        </w:rPr>
        <w:t>5.2.20. Государственная программа Приморского края "Формирование современной городской среды муниципальных образований Приморского края"</w:t>
      </w:r>
    </w:p>
    <w:p w14:paraId="6B468B82" w14:textId="77777777" w:rsidR="00967A6F" w:rsidRPr="00E47AA9" w:rsidRDefault="00967A6F" w:rsidP="00967A6F">
      <w:pPr>
        <w:spacing w:after="0" w:line="240" w:lineRule="auto"/>
        <w:ind w:firstLine="708"/>
        <w:contextualSpacing/>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За 2024 год годовые уточненные бюджетные ассигнования (3231,10 млн рублей) исполнены на уровне 98,51 %, или 3183,05 млн рублей, в том числе за счет средств федерального</w:t>
      </w:r>
      <w:r w:rsidRPr="00E47AA9">
        <w:rPr>
          <w:rFonts w:ascii="Times New Roman" w:eastAsia="Calibri" w:hAnsi="Times New Roman" w:cs="Times New Roman"/>
        </w:rPr>
        <w:t xml:space="preserve"> </w:t>
      </w:r>
      <w:r w:rsidRPr="00E47AA9">
        <w:rPr>
          <w:rFonts w:ascii="Times New Roman" w:eastAsia="Calibri" w:hAnsi="Times New Roman" w:cs="Times New Roman"/>
          <w:sz w:val="28"/>
          <w:szCs w:val="28"/>
        </w:rPr>
        <w:t>бюджета – 1748,44 млн рублей, краевого бюджета – 1434,61 млн рублей.</w:t>
      </w:r>
    </w:p>
    <w:p w14:paraId="0C62F197" w14:textId="7D7FC171" w:rsidR="00967A6F" w:rsidRPr="00E47AA9" w:rsidRDefault="00967A6F" w:rsidP="0044587C">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Расходы программы осуществлялись министерством жилищно-коммунального хозяйства Приморского края (далее – министерство), являющегося ответственным исполнителем ГП. Согласно паспорту ГП соисполнитель </w:t>
      </w:r>
      <w:r w:rsidR="00192E4A"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департамент информационной политики Приморского края не имеет ресурсного обеспечения.</w:t>
      </w:r>
      <w:r w:rsidR="0044587C" w:rsidRPr="00E47AA9">
        <w:rPr>
          <w:rFonts w:ascii="Times New Roman" w:eastAsia="Calibri" w:hAnsi="Times New Roman" w:cs="Times New Roman"/>
          <w:sz w:val="28"/>
          <w:szCs w:val="28"/>
        </w:rPr>
        <w:t xml:space="preserve"> </w:t>
      </w:r>
    </w:p>
    <w:p w14:paraId="4ADAEEF8" w14:textId="77777777" w:rsidR="00967A6F" w:rsidRPr="00E47AA9" w:rsidRDefault="00967A6F" w:rsidP="00967A6F">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Исполнение ГП по структурным элементам представлено в таблице.</w:t>
      </w:r>
    </w:p>
    <w:p w14:paraId="4C0E7403" w14:textId="77777777" w:rsidR="00967A6F" w:rsidRPr="00E47AA9" w:rsidRDefault="00967A6F" w:rsidP="00967A6F">
      <w:pPr>
        <w:autoSpaceDE w:val="0"/>
        <w:autoSpaceDN w:val="0"/>
        <w:adjustRightInd w:val="0"/>
        <w:spacing w:after="0" w:line="240" w:lineRule="auto"/>
        <w:ind w:firstLine="709"/>
        <w:jc w:val="right"/>
        <w:rPr>
          <w:rFonts w:ascii="Times New Roman" w:eastAsia="Calibri" w:hAnsi="Times New Roman" w:cs="Times New Roman"/>
        </w:rPr>
      </w:pPr>
    </w:p>
    <w:tbl>
      <w:tblPr>
        <w:tblW w:w="9373" w:type="dxa"/>
        <w:tblInd w:w="-5" w:type="dxa"/>
        <w:tblLook w:val="04A0" w:firstRow="1" w:lastRow="0" w:firstColumn="1" w:lastColumn="0" w:noHBand="0" w:noVBand="1"/>
      </w:tblPr>
      <w:tblGrid>
        <w:gridCol w:w="3120"/>
        <w:gridCol w:w="1417"/>
        <w:gridCol w:w="1159"/>
        <w:gridCol w:w="1255"/>
        <w:gridCol w:w="1134"/>
        <w:gridCol w:w="1288"/>
      </w:tblGrid>
      <w:tr w:rsidR="00E47AA9" w:rsidRPr="00E47AA9" w14:paraId="2E12D462" w14:textId="77777777" w:rsidTr="00D717FF">
        <w:trPr>
          <w:trHeight w:val="102"/>
          <w:tblHeader/>
        </w:trPr>
        <w:tc>
          <w:tcPr>
            <w:tcW w:w="3120" w:type="dxa"/>
            <w:tcBorders>
              <w:bottom w:val="single" w:sz="4" w:space="0" w:color="auto"/>
            </w:tcBorders>
            <w:shd w:val="clear" w:color="auto" w:fill="auto"/>
            <w:vAlign w:val="center"/>
          </w:tcPr>
          <w:p w14:paraId="618581B6" w14:textId="77777777" w:rsidR="00967A6F" w:rsidRPr="00E47AA9" w:rsidRDefault="00967A6F" w:rsidP="00D717FF">
            <w:pPr>
              <w:spacing w:after="0" w:line="240" w:lineRule="auto"/>
              <w:jc w:val="center"/>
              <w:rPr>
                <w:rFonts w:ascii="Times New Roman" w:eastAsia="Times New Roman" w:hAnsi="Times New Roman" w:cs="Times New Roman"/>
                <w:sz w:val="20"/>
                <w:szCs w:val="20"/>
                <w:lang w:eastAsia="ru-RU"/>
              </w:rPr>
            </w:pPr>
          </w:p>
        </w:tc>
        <w:tc>
          <w:tcPr>
            <w:tcW w:w="1417" w:type="dxa"/>
            <w:tcBorders>
              <w:bottom w:val="single" w:sz="4" w:space="0" w:color="auto"/>
            </w:tcBorders>
            <w:shd w:val="clear" w:color="auto" w:fill="auto"/>
            <w:vAlign w:val="center"/>
          </w:tcPr>
          <w:p w14:paraId="59CE0F2A" w14:textId="77777777" w:rsidR="00967A6F" w:rsidRPr="00E47AA9" w:rsidRDefault="00967A6F" w:rsidP="00D717FF">
            <w:pPr>
              <w:spacing w:after="0" w:line="240" w:lineRule="auto"/>
              <w:jc w:val="center"/>
              <w:rPr>
                <w:rFonts w:ascii="Times New Roman" w:eastAsia="Times New Roman" w:hAnsi="Times New Roman" w:cs="Times New Roman"/>
                <w:sz w:val="20"/>
                <w:szCs w:val="20"/>
                <w:lang w:eastAsia="ru-RU"/>
              </w:rPr>
            </w:pPr>
          </w:p>
        </w:tc>
        <w:tc>
          <w:tcPr>
            <w:tcW w:w="1159" w:type="dxa"/>
            <w:tcBorders>
              <w:bottom w:val="single" w:sz="4" w:space="0" w:color="auto"/>
            </w:tcBorders>
            <w:shd w:val="clear" w:color="auto" w:fill="auto"/>
            <w:vAlign w:val="center"/>
          </w:tcPr>
          <w:p w14:paraId="51289540" w14:textId="77777777" w:rsidR="00967A6F" w:rsidRPr="00E47AA9" w:rsidRDefault="00967A6F" w:rsidP="00D717FF">
            <w:pPr>
              <w:spacing w:after="0" w:line="240" w:lineRule="auto"/>
              <w:jc w:val="center"/>
              <w:rPr>
                <w:rFonts w:ascii="Times New Roman" w:eastAsia="Times New Roman" w:hAnsi="Times New Roman" w:cs="Times New Roman"/>
                <w:sz w:val="20"/>
                <w:szCs w:val="20"/>
                <w:lang w:eastAsia="ru-RU"/>
              </w:rPr>
            </w:pPr>
          </w:p>
        </w:tc>
        <w:tc>
          <w:tcPr>
            <w:tcW w:w="1255" w:type="dxa"/>
            <w:tcBorders>
              <w:bottom w:val="single" w:sz="4" w:space="0" w:color="auto"/>
            </w:tcBorders>
            <w:shd w:val="clear" w:color="auto" w:fill="auto"/>
            <w:vAlign w:val="center"/>
          </w:tcPr>
          <w:p w14:paraId="1CF28DAC" w14:textId="77777777" w:rsidR="00967A6F" w:rsidRPr="00E47AA9" w:rsidRDefault="00967A6F" w:rsidP="00D717FF">
            <w:pPr>
              <w:spacing w:after="0" w:line="240" w:lineRule="auto"/>
              <w:jc w:val="center"/>
              <w:rPr>
                <w:rFonts w:ascii="Times New Roman" w:eastAsia="Times New Roman" w:hAnsi="Times New Roman" w:cs="Times New Roman"/>
                <w:sz w:val="20"/>
                <w:szCs w:val="20"/>
                <w:lang w:eastAsia="ru-RU"/>
              </w:rPr>
            </w:pPr>
          </w:p>
        </w:tc>
        <w:tc>
          <w:tcPr>
            <w:tcW w:w="2422" w:type="dxa"/>
            <w:gridSpan w:val="2"/>
            <w:tcBorders>
              <w:bottom w:val="single" w:sz="4" w:space="0" w:color="auto"/>
            </w:tcBorders>
            <w:shd w:val="clear" w:color="auto" w:fill="auto"/>
            <w:vAlign w:val="center"/>
          </w:tcPr>
          <w:p w14:paraId="2031B5A9" w14:textId="77777777" w:rsidR="00967A6F" w:rsidRPr="00E47AA9" w:rsidRDefault="00967A6F" w:rsidP="00D717FF">
            <w:pPr>
              <w:spacing w:after="0" w:line="240" w:lineRule="auto"/>
              <w:jc w:val="right"/>
              <w:rPr>
                <w:rFonts w:ascii="Times New Roman" w:eastAsia="Times New Roman" w:hAnsi="Times New Roman" w:cs="Times New Roman"/>
                <w:sz w:val="20"/>
                <w:szCs w:val="20"/>
                <w:lang w:eastAsia="ru-RU"/>
              </w:rPr>
            </w:pPr>
            <w:r w:rsidRPr="00E47AA9">
              <w:rPr>
                <w:rFonts w:ascii="Times New Roman" w:eastAsia="Calibri" w:hAnsi="Times New Roman" w:cs="Times New Roman"/>
                <w:sz w:val="20"/>
                <w:szCs w:val="20"/>
              </w:rPr>
              <w:t>(млн рублей)</w:t>
            </w:r>
          </w:p>
        </w:tc>
      </w:tr>
      <w:tr w:rsidR="00E47AA9" w:rsidRPr="00E47AA9" w14:paraId="63EC8074" w14:textId="77777777" w:rsidTr="00D717FF">
        <w:trPr>
          <w:trHeight w:val="1020"/>
          <w:tblHeader/>
        </w:trPr>
        <w:tc>
          <w:tcPr>
            <w:tcW w:w="31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6A9217" w14:textId="77777777" w:rsidR="00967A6F" w:rsidRPr="00E47AA9" w:rsidRDefault="00967A6F" w:rsidP="00D717FF">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Наименование показателя</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A7331B4" w14:textId="77777777" w:rsidR="00967A6F" w:rsidRPr="00E47AA9" w:rsidRDefault="00967A6F" w:rsidP="00D717FF">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Уточненные бюджетные назначения </w:t>
            </w:r>
          </w:p>
          <w:p w14:paraId="4046ACD1" w14:textId="77777777" w:rsidR="00967A6F" w:rsidRPr="00E47AA9" w:rsidRDefault="00967A6F" w:rsidP="00D717FF">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на 2024 год</w:t>
            </w:r>
          </w:p>
        </w:tc>
        <w:tc>
          <w:tcPr>
            <w:tcW w:w="1159" w:type="dxa"/>
            <w:tcBorders>
              <w:top w:val="single" w:sz="4" w:space="0" w:color="auto"/>
              <w:left w:val="nil"/>
              <w:bottom w:val="single" w:sz="4" w:space="0" w:color="auto"/>
              <w:right w:val="single" w:sz="4" w:space="0" w:color="auto"/>
            </w:tcBorders>
            <w:shd w:val="clear" w:color="auto" w:fill="auto"/>
            <w:vAlign w:val="center"/>
            <w:hideMark/>
          </w:tcPr>
          <w:p w14:paraId="7260B360" w14:textId="77777777" w:rsidR="00967A6F" w:rsidRPr="00E47AA9" w:rsidRDefault="00967A6F" w:rsidP="00D717FF">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Исполнено за </w:t>
            </w:r>
          </w:p>
          <w:p w14:paraId="02CE67D5" w14:textId="77777777" w:rsidR="00967A6F" w:rsidRPr="00E47AA9" w:rsidRDefault="00967A6F" w:rsidP="00D717FF">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2024 год</w:t>
            </w:r>
          </w:p>
        </w:tc>
        <w:tc>
          <w:tcPr>
            <w:tcW w:w="1255" w:type="dxa"/>
            <w:tcBorders>
              <w:top w:val="single" w:sz="4" w:space="0" w:color="auto"/>
              <w:left w:val="nil"/>
              <w:bottom w:val="single" w:sz="4" w:space="0" w:color="auto"/>
              <w:right w:val="single" w:sz="4" w:space="0" w:color="auto"/>
            </w:tcBorders>
            <w:shd w:val="clear" w:color="auto" w:fill="auto"/>
            <w:vAlign w:val="center"/>
            <w:hideMark/>
          </w:tcPr>
          <w:p w14:paraId="437216E4" w14:textId="77777777" w:rsidR="00967A6F" w:rsidRPr="00E47AA9" w:rsidRDefault="00967A6F" w:rsidP="00D717FF">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исполнения</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E511BC" w14:textId="77777777" w:rsidR="00967A6F" w:rsidRPr="00E47AA9" w:rsidRDefault="00967A6F" w:rsidP="00D717FF">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удельный вес, %</w:t>
            </w:r>
          </w:p>
        </w:tc>
        <w:tc>
          <w:tcPr>
            <w:tcW w:w="1288" w:type="dxa"/>
            <w:tcBorders>
              <w:top w:val="single" w:sz="4" w:space="0" w:color="auto"/>
              <w:left w:val="nil"/>
              <w:bottom w:val="single" w:sz="4" w:space="0" w:color="auto"/>
              <w:right w:val="single" w:sz="4" w:space="0" w:color="auto"/>
            </w:tcBorders>
            <w:shd w:val="clear" w:color="auto" w:fill="auto"/>
            <w:vAlign w:val="center"/>
            <w:hideMark/>
          </w:tcPr>
          <w:p w14:paraId="10E608CE" w14:textId="77777777" w:rsidR="00967A6F" w:rsidRPr="00E47AA9" w:rsidRDefault="00967A6F" w:rsidP="00D717FF">
            <w:pPr>
              <w:spacing w:after="0" w:line="240" w:lineRule="auto"/>
              <w:jc w:val="center"/>
              <w:rPr>
                <w:rFonts w:ascii="Times New Roman" w:eastAsia="Times New Roman" w:hAnsi="Times New Roman" w:cs="Times New Roman"/>
                <w:sz w:val="20"/>
                <w:szCs w:val="20"/>
                <w:lang w:eastAsia="ru-RU"/>
              </w:rPr>
            </w:pPr>
            <w:proofErr w:type="spellStart"/>
            <w:proofErr w:type="gramStart"/>
            <w:r w:rsidRPr="00E47AA9">
              <w:rPr>
                <w:rFonts w:ascii="Times New Roman" w:eastAsia="Times New Roman" w:hAnsi="Times New Roman" w:cs="Times New Roman"/>
                <w:sz w:val="20"/>
                <w:szCs w:val="20"/>
                <w:lang w:eastAsia="ru-RU"/>
              </w:rPr>
              <w:t>Неиспол-ненные</w:t>
            </w:r>
            <w:proofErr w:type="spellEnd"/>
            <w:proofErr w:type="gramEnd"/>
            <w:r w:rsidRPr="00E47AA9">
              <w:rPr>
                <w:rFonts w:ascii="Times New Roman" w:eastAsia="Times New Roman" w:hAnsi="Times New Roman" w:cs="Times New Roman"/>
                <w:sz w:val="20"/>
                <w:szCs w:val="20"/>
                <w:lang w:eastAsia="ru-RU"/>
              </w:rPr>
              <w:t xml:space="preserve"> назначения</w:t>
            </w:r>
          </w:p>
        </w:tc>
      </w:tr>
      <w:tr w:rsidR="00E47AA9" w:rsidRPr="00E47AA9" w14:paraId="6A23B67D" w14:textId="77777777" w:rsidTr="00D717FF">
        <w:trPr>
          <w:trHeight w:val="30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0308D622" w14:textId="77777777" w:rsidR="00967A6F" w:rsidRPr="00E47AA9" w:rsidRDefault="00967A6F" w:rsidP="00D717FF">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Расходы по ГП всего,</w:t>
            </w:r>
          </w:p>
          <w:p w14:paraId="050B90BA" w14:textId="77777777" w:rsidR="00967A6F" w:rsidRPr="00E47AA9" w:rsidRDefault="00967A6F" w:rsidP="00D717FF">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i/>
                <w:iCs/>
                <w:sz w:val="20"/>
                <w:szCs w:val="20"/>
                <w:lang w:eastAsia="ru-RU"/>
              </w:rPr>
              <w:t>в том числе</w:t>
            </w:r>
          </w:p>
        </w:tc>
        <w:tc>
          <w:tcPr>
            <w:tcW w:w="1417" w:type="dxa"/>
            <w:tcBorders>
              <w:top w:val="nil"/>
              <w:left w:val="nil"/>
              <w:bottom w:val="single" w:sz="4" w:space="0" w:color="auto"/>
              <w:right w:val="single" w:sz="4" w:space="0" w:color="auto"/>
            </w:tcBorders>
            <w:shd w:val="clear" w:color="auto" w:fill="auto"/>
            <w:vAlign w:val="center"/>
            <w:hideMark/>
          </w:tcPr>
          <w:p w14:paraId="27BBCFCB"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3231,10</w:t>
            </w:r>
          </w:p>
        </w:tc>
        <w:tc>
          <w:tcPr>
            <w:tcW w:w="1159" w:type="dxa"/>
            <w:tcBorders>
              <w:top w:val="nil"/>
              <w:left w:val="nil"/>
              <w:bottom w:val="single" w:sz="4" w:space="0" w:color="auto"/>
              <w:right w:val="single" w:sz="4" w:space="0" w:color="auto"/>
            </w:tcBorders>
            <w:shd w:val="clear" w:color="auto" w:fill="auto"/>
            <w:vAlign w:val="center"/>
            <w:hideMark/>
          </w:tcPr>
          <w:p w14:paraId="6B1F6D42"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3183,05</w:t>
            </w:r>
          </w:p>
        </w:tc>
        <w:tc>
          <w:tcPr>
            <w:tcW w:w="1255" w:type="dxa"/>
            <w:tcBorders>
              <w:top w:val="nil"/>
              <w:left w:val="nil"/>
              <w:bottom w:val="single" w:sz="4" w:space="0" w:color="auto"/>
              <w:right w:val="single" w:sz="4" w:space="0" w:color="auto"/>
            </w:tcBorders>
            <w:shd w:val="clear" w:color="auto" w:fill="auto"/>
            <w:vAlign w:val="center"/>
            <w:hideMark/>
          </w:tcPr>
          <w:p w14:paraId="2FAF7BB8"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98,51</w:t>
            </w:r>
          </w:p>
        </w:tc>
        <w:tc>
          <w:tcPr>
            <w:tcW w:w="1134" w:type="dxa"/>
            <w:tcBorders>
              <w:top w:val="nil"/>
              <w:left w:val="nil"/>
              <w:bottom w:val="single" w:sz="4" w:space="0" w:color="auto"/>
              <w:right w:val="single" w:sz="4" w:space="0" w:color="auto"/>
            </w:tcBorders>
            <w:shd w:val="clear" w:color="auto" w:fill="auto"/>
            <w:vAlign w:val="center"/>
            <w:hideMark/>
          </w:tcPr>
          <w:p w14:paraId="7A2A11F0"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100,00</w:t>
            </w:r>
          </w:p>
        </w:tc>
        <w:tc>
          <w:tcPr>
            <w:tcW w:w="1288" w:type="dxa"/>
            <w:tcBorders>
              <w:top w:val="nil"/>
              <w:left w:val="nil"/>
              <w:bottom w:val="single" w:sz="4" w:space="0" w:color="auto"/>
              <w:right w:val="single" w:sz="4" w:space="0" w:color="auto"/>
            </w:tcBorders>
            <w:shd w:val="clear" w:color="auto" w:fill="auto"/>
            <w:vAlign w:val="center"/>
            <w:hideMark/>
          </w:tcPr>
          <w:p w14:paraId="3AFF2B0F"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48,05</w:t>
            </w:r>
          </w:p>
        </w:tc>
      </w:tr>
      <w:tr w:rsidR="00E47AA9" w:rsidRPr="00E47AA9" w14:paraId="596AD2B8" w14:textId="77777777" w:rsidTr="00D717FF">
        <w:trPr>
          <w:trHeight w:val="30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771CC3A8" w14:textId="77777777" w:rsidR="00967A6F" w:rsidRPr="00E47AA9" w:rsidRDefault="00967A6F" w:rsidP="00D717FF">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 xml:space="preserve">проектные мероприятия, </w:t>
            </w:r>
          </w:p>
          <w:p w14:paraId="258AF39A" w14:textId="77777777" w:rsidR="00967A6F" w:rsidRPr="00E47AA9" w:rsidRDefault="00967A6F" w:rsidP="00D717FF">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в том числе</w:t>
            </w:r>
          </w:p>
        </w:tc>
        <w:tc>
          <w:tcPr>
            <w:tcW w:w="1417" w:type="dxa"/>
            <w:tcBorders>
              <w:top w:val="nil"/>
              <w:left w:val="nil"/>
              <w:bottom w:val="single" w:sz="4" w:space="0" w:color="auto"/>
              <w:right w:val="single" w:sz="4" w:space="0" w:color="auto"/>
            </w:tcBorders>
            <w:shd w:val="clear" w:color="auto" w:fill="auto"/>
            <w:vAlign w:val="center"/>
            <w:hideMark/>
          </w:tcPr>
          <w:p w14:paraId="5EB02041"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2312,77</w:t>
            </w:r>
          </w:p>
        </w:tc>
        <w:tc>
          <w:tcPr>
            <w:tcW w:w="1159" w:type="dxa"/>
            <w:tcBorders>
              <w:top w:val="nil"/>
              <w:left w:val="nil"/>
              <w:bottom w:val="single" w:sz="4" w:space="0" w:color="auto"/>
              <w:right w:val="single" w:sz="4" w:space="0" w:color="auto"/>
            </w:tcBorders>
            <w:shd w:val="clear" w:color="auto" w:fill="auto"/>
            <w:vAlign w:val="center"/>
            <w:hideMark/>
          </w:tcPr>
          <w:p w14:paraId="25D23821"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2310,75</w:t>
            </w:r>
          </w:p>
        </w:tc>
        <w:tc>
          <w:tcPr>
            <w:tcW w:w="1255" w:type="dxa"/>
            <w:tcBorders>
              <w:top w:val="nil"/>
              <w:left w:val="nil"/>
              <w:bottom w:val="single" w:sz="4" w:space="0" w:color="auto"/>
              <w:right w:val="single" w:sz="4" w:space="0" w:color="auto"/>
            </w:tcBorders>
            <w:shd w:val="clear" w:color="auto" w:fill="auto"/>
            <w:vAlign w:val="center"/>
            <w:hideMark/>
          </w:tcPr>
          <w:p w14:paraId="0CC00DA7"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99,91</w:t>
            </w:r>
          </w:p>
        </w:tc>
        <w:tc>
          <w:tcPr>
            <w:tcW w:w="1134" w:type="dxa"/>
            <w:tcBorders>
              <w:top w:val="nil"/>
              <w:left w:val="nil"/>
              <w:bottom w:val="single" w:sz="4" w:space="0" w:color="auto"/>
              <w:right w:val="single" w:sz="4" w:space="0" w:color="auto"/>
            </w:tcBorders>
            <w:shd w:val="clear" w:color="auto" w:fill="auto"/>
            <w:vAlign w:val="center"/>
            <w:hideMark/>
          </w:tcPr>
          <w:p w14:paraId="3ED873F8"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72,60</w:t>
            </w:r>
          </w:p>
        </w:tc>
        <w:tc>
          <w:tcPr>
            <w:tcW w:w="1288" w:type="dxa"/>
            <w:tcBorders>
              <w:top w:val="nil"/>
              <w:left w:val="nil"/>
              <w:bottom w:val="single" w:sz="4" w:space="0" w:color="auto"/>
              <w:right w:val="single" w:sz="4" w:space="0" w:color="auto"/>
            </w:tcBorders>
            <w:shd w:val="clear" w:color="auto" w:fill="auto"/>
            <w:vAlign w:val="center"/>
            <w:hideMark/>
          </w:tcPr>
          <w:p w14:paraId="10E5C2B2"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2,02</w:t>
            </w:r>
          </w:p>
        </w:tc>
      </w:tr>
      <w:tr w:rsidR="00E47AA9" w:rsidRPr="00E47AA9" w14:paraId="29AFFCE5" w14:textId="77777777" w:rsidTr="00D717FF">
        <w:trPr>
          <w:trHeight w:val="30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7222D58D" w14:textId="77777777" w:rsidR="00967A6F" w:rsidRPr="00E47AA9" w:rsidRDefault="00967A6F" w:rsidP="00D717FF">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 xml:space="preserve">РП, входящие в состав </w:t>
            </w:r>
          </w:p>
          <w:p w14:paraId="3D6773F7" w14:textId="77777777" w:rsidR="00967A6F" w:rsidRPr="00E47AA9" w:rsidRDefault="00967A6F" w:rsidP="00D717FF">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sz w:val="20"/>
                <w:szCs w:val="20"/>
                <w:lang w:eastAsia="ru-RU"/>
              </w:rPr>
              <w:t>НП "</w:t>
            </w:r>
            <w:bookmarkStart w:id="26" w:name="_Hlk165884434"/>
            <w:r w:rsidRPr="00E47AA9">
              <w:rPr>
                <w:rFonts w:ascii="Times New Roman" w:eastAsia="Times New Roman" w:hAnsi="Times New Roman" w:cs="Times New Roman"/>
                <w:sz w:val="20"/>
                <w:szCs w:val="20"/>
                <w:lang w:eastAsia="ru-RU"/>
              </w:rPr>
              <w:t>Жилье и городская среда"</w:t>
            </w:r>
            <w:bookmarkEnd w:id="26"/>
          </w:p>
        </w:tc>
        <w:tc>
          <w:tcPr>
            <w:tcW w:w="1417" w:type="dxa"/>
            <w:tcBorders>
              <w:top w:val="nil"/>
              <w:left w:val="nil"/>
              <w:bottom w:val="single" w:sz="4" w:space="0" w:color="auto"/>
              <w:right w:val="single" w:sz="4" w:space="0" w:color="auto"/>
            </w:tcBorders>
            <w:shd w:val="clear" w:color="auto" w:fill="auto"/>
            <w:vAlign w:val="center"/>
            <w:hideMark/>
          </w:tcPr>
          <w:p w14:paraId="44D89A61"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1120,15</w:t>
            </w:r>
          </w:p>
        </w:tc>
        <w:tc>
          <w:tcPr>
            <w:tcW w:w="1159" w:type="dxa"/>
            <w:tcBorders>
              <w:top w:val="nil"/>
              <w:left w:val="nil"/>
              <w:bottom w:val="single" w:sz="4" w:space="0" w:color="auto"/>
              <w:right w:val="single" w:sz="4" w:space="0" w:color="auto"/>
            </w:tcBorders>
            <w:shd w:val="clear" w:color="auto" w:fill="auto"/>
            <w:vAlign w:val="center"/>
            <w:hideMark/>
          </w:tcPr>
          <w:p w14:paraId="44A7584D"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1119,71</w:t>
            </w:r>
          </w:p>
        </w:tc>
        <w:tc>
          <w:tcPr>
            <w:tcW w:w="1255" w:type="dxa"/>
            <w:tcBorders>
              <w:top w:val="nil"/>
              <w:left w:val="nil"/>
              <w:bottom w:val="single" w:sz="4" w:space="0" w:color="auto"/>
              <w:right w:val="single" w:sz="4" w:space="0" w:color="auto"/>
            </w:tcBorders>
            <w:shd w:val="clear" w:color="auto" w:fill="auto"/>
            <w:vAlign w:val="center"/>
            <w:hideMark/>
          </w:tcPr>
          <w:p w14:paraId="62F34C60"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99,96</w:t>
            </w:r>
          </w:p>
        </w:tc>
        <w:tc>
          <w:tcPr>
            <w:tcW w:w="1134" w:type="dxa"/>
            <w:tcBorders>
              <w:top w:val="nil"/>
              <w:left w:val="nil"/>
              <w:bottom w:val="single" w:sz="4" w:space="0" w:color="auto"/>
              <w:right w:val="single" w:sz="4" w:space="0" w:color="auto"/>
            </w:tcBorders>
            <w:shd w:val="clear" w:color="auto" w:fill="auto"/>
            <w:vAlign w:val="center"/>
            <w:hideMark/>
          </w:tcPr>
          <w:p w14:paraId="2AC5E6E1"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35,18</w:t>
            </w:r>
          </w:p>
        </w:tc>
        <w:tc>
          <w:tcPr>
            <w:tcW w:w="1288" w:type="dxa"/>
            <w:tcBorders>
              <w:top w:val="nil"/>
              <w:left w:val="nil"/>
              <w:bottom w:val="single" w:sz="4" w:space="0" w:color="auto"/>
              <w:right w:val="single" w:sz="4" w:space="0" w:color="auto"/>
            </w:tcBorders>
            <w:shd w:val="clear" w:color="auto" w:fill="auto"/>
            <w:vAlign w:val="center"/>
            <w:hideMark/>
          </w:tcPr>
          <w:p w14:paraId="0536FDB7"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0,44</w:t>
            </w:r>
          </w:p>
        </w:tc>
      </w:tr>
      <w:tr w:rsidR="00E47AA9" w:rsidRPr="00E47AA9" w14:paraId="775597D0" w14:textId="77777777" w:rsidTr="00D717FF">
        <w:trPr>
          <w:trHeight w:val="510"/>
        </w:trPr>
        <w:tc>
          <w:tcPr>
            <w:tcW w:w="3120" w:type="dxa"/>
            <w:tcBorders>
              <w:top w:val="nil"/>
              <w:left w:val="single" w:sz="4" w:space="0" w:color="auto"/>
              <w:bottom w:val="single" w:sz="4" w:space="0" w:color="auto"/>
              <w:right w:val="single" w:sz="4" w:space="0" w:color="auto"/>
            </w:tcBorders>
            <w:shd w:val="clear" w:color="auto" w:fill="auto"/>
            <w:hideMark/>
          </w:tcPr>
          <w:p w14:paraId="5F85A57F" w14:textId="77777777" w:rsidR="00967A6F" w:rsidRPr="00E47AA9" w:rsidRDefault="00967A6F" w:rsidP="00D717FF">
            <w:pPr>
              <w:tabs>
                <w:tab w:val="left" w:pos="2895"/>
              </w:tabs>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РП "Формирование комфортной городской среды" </w:t>
            </w:r>
          </w:p>
        </w:tc>
        <w:tc>
          <w:tcPr>
            <w:tcW w:w="1417" w:type="dxa"/>
            <w:tcBorders>
              <w:top w:val="nil"/>
              <w:left w:val="nil"/>
              <w:bottom w:val="single" w:sz="4" w:space="0" w:color="auto"/>
              <w:right w:val="single" w:sz="4" w:space="0" w:color="auto"/>
            </w:tcBorders>
            <w:shd w:val="clear" w:color="auto" w:fill="auto"/>
            <w:vAlign w:val="center"/>
            <w:hideMark/>
          </w:tcPr>
          <w:p w14:paraId="252ADDD8" w14:textId="77777777" w:rsidR="00967A6F" w:rsidRPr="00E47AA9" w:rsidRDefault="00967A6F" w:rsidP="00D717FF">
            <w:pPr>
              <w:spacing w:after="0" w:line="240" w:lineRule="auto"/>
              <w:jc w:val="right"/>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1120,15</w:t>
            </w:r>
          </w:p>
        </w:tc>
        <w:tc>
          <w:tcPr>
            <w:tcW w:w="1159" w:type="dxa"/>
            <w:tcBorders>
              <w:top w:val="nil"/>
              <w:left w:val="nil"/>
              <w:bottom w:val="single" w:sz="4" w:space="0" w:color="auto"/>
              <w:right w:val="single" w:sz="4" w:space="0" w:color="auto"/>
            </w:tcBorders>
            <w:shd w:val="clear" w:color="auto" w:fill="auto"/>
            <w:vAlign w:val="center"/>
            <w:hideMark/>
          </w:tcPr>
          <w:p w14:paraId="788D5FBD" w14:textId="77777777" w:rsidR="00967A6F" w:rsidRPr="00E47AA9" w:rsidRDefault="00967A6F" w:rsidP="00D717FF">
            <w:pPr>
              <w:spacing w:after="0" w:line="240" w:lineRule="auto"/>
              <w:jc w:val="right"/>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1119,71</w:t>
            </w:r>
          </w:p>
        </w:tc>
        <w:tc>
          <w:tcPr>
            <w:tcW w:w="1255" w:type="dxa"/>
            <w:tcBorders>
              <w:top w:val="nil"/>
              <w:left w:val="nil"/>
              <w:bottom w:val="single" w:sz="4" w:space="0" w:color="auto"/>
              <w:right w:val="single" w:sz="4" w:space="0" w:color="auto"/>
            </w:tcBorders>
            <w:shd w:val="clear" w:color="auto" w:fill="auto"/>
            <w:vAlign w:val="center"/>
            <w:hideMark/>
          </w:tcPr>
          <w:p w14:paraId="629EBF4F" w14:textId="77777777" w:rsidR="00967A6F" w:rsidRPr="00E47AA9" w:rsidRDefault="00967A6F" w:rsidP="00D717FF">
            <w:pPr>
              <w:spacing w:after="0" w:line="240" w:lineRule="auto"/>
              <w:jc w:val="right"/>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99,96</w:t>
            </w:r>
          </w:p>
        </w:tc>
        <w:tc>
          <w:tcPr>
            <w:tcW w:w="1134" w:type="dxa"/>
            <w:tcBorders>
              <w:top w:val="nil"/>
              <w:left w:val="nil"/>
              <w:bottom w:val="single" w:sz="4" w:space="0" w:color="auto"/>
              <w:right w:val="single" w:sz="4" w:space="0" w:color="auto"/>
            </w:tcBorders>
            <w:shd w:val="clear" w:color="auto" w:fill="auto"/>
            <w:vAlign w:val="center"/>
            <w:hideMark/>
          </w:tcPr>
          <w:p w14:paraId="7F1E1808" w14:textId="77777777" w:rsidR="00967A6F" w:rsidRPr="00E47AA9" w:rsidRDefault="00967A6F" w:rsidP="00D717FF">
            <w:pPr>
              <w:spacing w:after="0" w:line="240" w:lineRule="auto"/>
              <w:jc w:val="right"/>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35,18</w:t>
            </w:r>
          </w:p>
        </w:tc>
        <w:tc>
          <w:tcPr>
            <w:tcW w:w="1288" w:type="dxa"/>
            <w:tcBorders>
              <w:top w:val="nil"/>
              <w:left w:val="nil"/>
              <w:bottom w:val="single" w:sz="4" w:space="0" w:color="auto"/>
              <w:right w:val="single" w:sz="4" w:space="0" w:color="auto"/>
            </w:tcBorders>
            <w:shd w:val="clear" w:color="auto" w:fill="auto"/>
            <w:vAlign w:val="center"/>
            <w:hideMark/>
          </w:tcPr>
          <w:p w14:paraId="408CDF0C" w14:textId="77777777" w:rsidR="00967A6F" w:rsidRPr="00E47AA9" w:rsidRDefault="00967A6F" w:rsidP="00D717FF">
            <w:pPr>
              <w:spacing w:after="0" w:line="240" w:lineRule="auto"/>
              <w:jc w:val="right"/>
              <w:rPr>
                <w:rFonts w:ascii="Times New Roman" w:eastAsia="Times New Roman" w:hAnsi="Times New Roman" w:cs="Times New Roman"/>
                <w:bCs/>
                <w:sz w:val="20"/>
                <w:szCs w:val="20"/>
                <w:lang w:eastAsia="ru-RU"/>
              </w:rPr>
            </w:pPr>
            <w:r w:rsidRPr="00E47AA9">
              <w:rPr>
                <w:rFonts w:ascii="Times New Roman" w:eastAsia="Times New Roman" w:hAnsi="Times New Roman" w:cs="Times New Roman"/>
                <w:bCs/>
                <w:sz w:val="20"/>
                <w:szCs w:val="20"/>
                <w:lang w:eastAsia="ru-RU"/>
              </w:rPr>
              <w:t>0,44</w:t>
            </w:r>
          </w:p>
        </w:tc>
      </w:tr>
      <w:tr w:rsidR="00E47AA9" w:rsidRPr="00E47AA9" w14:paraId="508C0522" w14:textId="77777777" w:rsidTr="00D717FF">
        <w:trPr>
          <w:trHeight w:val="30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29ADF934" w14:textId="77777777" w:rsidR="00967A6F" w:rsidRPr="00E47AA9" w:rsidRDefault="00967A6F" w:rsidP="00D717FF">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РП, не входящие в состав НП</w:t>
            </w:r>
          </w:p>
        </w:tc>
        <w:tc>
          <w:tcPr>
            <w:tcW w:w="1417" w:type="dxa"/>
            <w:tcBorders>
              <w:top w:val="nil"/>
              <w:left w:val="nil"/>
              <w:bottom w:val="single" w:sz="4" w:space="0" w:color="auto"/>
              <w:right w:val="single" w:sz="4" w:space="0" w:color="auto"/>
            </w:tcBorders>
            <w:shd w:val="clear" w:color="auto" w:fill="auto"/>
            <w:vAlign w:val="center"/>
            <w:hideMark/>
          </w:tcPr>
          <w:p w14:paraId="123E1670" w14:textId="77777777" w:rsidR="00967A6F" w:rsidRPr="00E47AA9" w:rsidRDefault="00967A6F" w:rsidP="00D717FF">
            <w:pPr>
              <w:spacing w:after="0" w:line="240" w:lineRule="auto"/>
              <w:jc w:val="right"/>
              <w:rPr>
                <w:rFonts w:ascii="Times New Roman" w:eastAsia="Times New Roman" w:hAnsi="Times New Roman" w:cs="Times New Roman"/>
                <w:b/>
                <w:sz w:val="20"/>
                <w:szCs w:val="20"/>
                <w:lang w:eastAsia="ru-RU"/>
              </w:rPr>
            </w:pPr>
            <w:r w:rsidRPr="00E47AA9">
              <w:rPr>
                <w:rFonts w:ascii="Times New Roman" w:eastAsia="Times New Roman" w:hAnsi="Times New Roman" w:cs="Times New Roman"/>
                <w:b/>
                <w:sz w:val="20"/>
                <w:szCs w:val="20"/>
                <w:lang w:eastAsia="ru-RU"/>
              </w:rPr>
              <w:t>1192,62</w:t>
            </w:r>
          </w:p>
        </w:tc>
        <w:tc>
          <w:tcPr>
            <w:tcW w:w="1159" w:type="dxa"/>
            <w:tcBorders>
              <w:top w:val="nil"/>
              <w:left w:val="nil"/>
              <w:bottom w:val="single" w:sz="4" w:space="0" w:color="auto"/>
              <w:right w:val="single" w:sz="4" w:space="0" w:color="auto"/>
            </w:tcBorders>
            <w:shd w:val="clear" w:color="auto" w:fill="auto"/>
            <w:vAlign w:val="center"/>
            <w:hideMark/>
          </w:tcPr>
          <w:p w14:paraId="72EF724B" w14:textId="77777777" w:rsidR="00967A6F" w:rsidRPr="00E47AA9" w:rsidRDefault="00967A6F" w:rsidP="00D717FF">
            <w:pPr>
              <w:spacing w:after="0" w:line="240" w:lineRule="auto"/>
              <w:jc w:val="right"/>
              <w:rPr>
                <w:rFonts w:ascii="Times New Roman" w:eastAsia="Times New Roman" w:hAnsi="Times New Roman" w:cs="Times New Roman"/>
                <w:b/>
                <w:sz w:val="20"/>
                <w:szCs w:val="20"/>
                <w:lang w:eastAsia="ru-RU"/>
              </w:rPr>
            </w:pPr>
            <w:r w:rsidRPr="00E47AA9">
              <w:rPr>
                <w:rFonts w:ascii="Times New Roman" w:eastAsia="Times New Roman" w:hAnsi="Times New Roman" w:cs="Times New Roman"/>
                <w:b/>
                <w:sz w:val="20"/>
                <w:szCs w:val="20"/>
                <w:lang w:eastAsia="ru-RU"/>
              </w:rPr>
              <w:t>1191,03</w:t>
            </w:r>
          </w:p>
        </w:tc>
        <w:tc>
          <w:tcPr>
            <w:tcW w:w="1255" w:type="dxa"/>
            <w:tcBorders>
              <w:top w:val="nil"/>
              <w:left w:val="nil"/>
              <w:bottom w:val="single" w:sz="4" w:space="0" w:color="auto"/>
              <w:right w:val="single" w:sz="4" w:space="0" w:color="auto"/>
            </w:tcBorders>
            <w:shd w:val="clear" w:color="auto" w:fill="auto"/>
            <w:vAlign w:val="center"/>
            <w:hideMark/>
          </w:tcPr>
          <w:p w14:paraId="67009C82" w14:textId="77777777" w:rsidR="00967A6F" w:rsidRPr="00E47AA9" w:rsidRDefault="00967A6F" w:rsidP="00D717FF">
            <w:pPr>
              <w:spacing w:after="0" w:line="240" w:lineRule="auto"/>
              <w:jc w:val="right"/>
              <w:rPr>
                <w:rFonts w:ascii="Times New Roman" w:eastAsia="Times New Roman" w:hAnsi="Times New Roman" w:cs="Times New Roman"/>
                <w:b/>
                <w:sz w:val="20"/>
                <w:szCs w:val="20"/>
                <w:lang w:eastAsia="ru-RU"/>
              </w:rPr>
            </w:pPr>
            <w:r w:rsidRPr="00E47AA9">
              <w:rPr>
                <w:rFonts w:ascii="Times New Roman" w:eastAsia="Times New Roman" w:hAnsi="Times New Roman" w:cs="Times New Roman"/>
                <w:b/>
                <w:sz w:val="20"/>
                <w:szCs w:val="20"/>
                <w:lang w:eastAsia="ru-RU"/>
              </w:rPr>
              <w:t>99,87</w:t>
            </w:r>
          </w:p>
        </w:tc>
        <w:tc>
          <w:tcPr>
            <w:tcW w:w="1134" w:type="dxa"/>
            <w:tcBorders>
              <w:top w:val="nil"/>
              <w:left w:val="nil"/>
              <w:bottom w:val="single" w:sz="4" w:space="0" w:color="auto"/>
              <w:right w:val="single" w:sz="4" w:space="0" w:color="auto"/>
            </w:tcBorders>
            <w:shd w:val="clear" w:color="auto" w:fill="auto"/>
            <w:vAlign w:val="center"/>
            <w:hideMark/>
          </w:tcPr>
          <w:p w14:paraId="1D810B68" w14:textId="77777777" w:rsidR="00967A6F" w:rsidRPr="00E47AA9" w:rsidRDefault="00967A6F" w:rsidP="00D717FF">
            <w:pPr>
              <w:spacing w:after="0" w:line="240" w:lineRule="auto"/>
              <w:jc w:val="right"/>
              <w:rPr>
                <w:rFonts w:ascii="Times New Roman" w:eastAsia="Times New Roman" w:hAnsi="Times New Roman" w:cs="Times New Roman"/>
                <w:b/>
                <w:sz w:val="20"/>
                <w:szCs w:val="20"/>
                <w:lang w:eastAsia="ru-RU"/>
              </w:rPr>
            </w:pPr>
            <w:r w:rsidRPr="00E47AA9">
              <w:rPr>
                <w:rFonts w:ascii="Times New Roman" w:eastAsia="Times New Roman" w:hAnsi="Times New Roman" w:cs="Times New Roman"/>
                <w:b/>
                <w:sz w:val="20"/>
                <w:szCs w:val="20"/>
                <w:lang w:eastAsia="ru-RU"/>
              </w:rPr>
              <w:t>37,42</w:t>
            </w:r>
          </w:p>
        </w:tc>
        <w:tc>
          <w:tcPr>
            <w:tcW w:w="1288" w:type="dxa"/>
            <w:tcBorders>
              <w:top w:val="nil"/>
              <w:left w:val="nil"/>
              <w:bottom w:val="single" w:sz="4" w:space="0" w:color="auto"/>
              <w:right w:val="single" w:sz="4" w:space="0" w:color="auto"/>
            </w:tcBorders>
            <w:shd w:val="clear" w:color="auto" w:fill="auto"/>
            <w:vAlign w:val="center"/>
            <w:hideMark/>
          </w:tcPr>
          <w:p w14:paraId="7A9F68FF" w14:textId="77777777" w:rsidR="00967A6F" w:rsidRPr="00E47AA9" w:rsidRDefault="00967A6F" w:rsidP="00D717FF">
            <w:pPr>
              <w:spacing w:after="0" w:line="240" w:lineRule="auto"/>
              <w:jc w:val="right"/>
              <w:rPr>
                <w:rFonts w:ascii="Times New Roman" w:eastAsia="Times New Roman" w:hAnsi="Times New Roman" w:cs="Times New Roman"/>
                <w:b/>
                <w:sz w:val="20"/>
                <w:szCs w:val="20"/>
                <w:lang w:eastAsia="ru-RU"/>
              </w:rPr>
            </w:pPr>
            <w:r w:rsidRPr="00E47AA9">
              <w:rPr>
                <w:rFonts w:ascii="Times New Roman" w:eastAsia="Times New Roman" w:hAnsi="Times New Roman" w:cs="Times New Roman"/>
                <w:b/>
                <w:sz w:val="20"/>
                <w:szCs w:val="20"/>
                <w:lang w:eastAsia="ru-RU"/>
              </w:rPr>
              <w:t>1,59</w:t>
            </w:r>
          </w:p>
        </w:tc>
      </w:tr>
      <w:tr w:rsidR="00E47AA9" w:rsidRPr="00E47AA9" w14:paraId="23163BF1" w14:textId="77777777" w:rsidTr="00D717FF">
        <w:trPr>
          <w:trHeight w:val="765"/>
        </w:trPr>
        <w:tc>
          <w:tcPr>
            <w:tcW w:w="3120" w:type="dxa"/>
            <w:tcBorders>
              <w:top w:val="nil"/>
              <w:left w:val="single" w:sz="4" w:space="0" w:color="auto"/>
              <w:bottom w:val="single" w:sz="4" w:space="0" w:color="auto"/>
              <w:right w:val="single" w:sz="4" w:space="0" w:color="auto"/>
            </w:tcBorders>
            <w:shd w:val="clear" w:color="auto" w:fill="auto"/>
            <w:hideMark/>
          </w:tcPr>
          <w:p w14:paraId="26ADC4FE" w14:textId="77777777" w:rsidR="00967A6F" w:rsidRPr="00E47AA9" w:rsidRDefault="00967A6F" w:rsidP="00D717FF">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РП "Благоустройство территорий муниципальных образований Приморского края"</w:t>
            </w:r>
          </w:p>
        </w:tc>
        <w:tc>
          <w:tcPr>
            <w:tcW w:w="1417" w:type="dxa"/>
            <w:tcBorders>
              <w:top w:val="nil"/>
              <w:left w:val="nil"/>
              <w:bottom w:val="single" w:sz="4" w:space="0" w:color="auto"/>
              <w:right w:val="single" w:sz="4" w:space="0" w:color="auto"/>
            </w:tcBorders>
            <w:shd w:val="clear" w:color="auto" w:fill="auto"/>
            <w:vAlign w:val="center"/>
            <w:hideMark/>
          </w:tcPr>
          <w:p w14:paraId="736AFD5E" w14:textId="77777777" w:rsidR="00967A6F" w:rsidRPr="00E47AA9" w:rsidRDefault="00967A6F" w:rsidP="00D717FF">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1192,62</w:t>
            </w:r>
          </w:p>
        </w:tc>
        <w:tc>
          <w:tcPr>
            <w:tcW w:w="1159" w:type="dxa"/>
            <w:tcBorders>
              <w:top w:val="nil"/>
              <w:left w:val="nil"/>
              <w:bottom w:val="single" w:sz="4" w:space="0" w:color="auto"/>
              <w:right w:val="single" w:sz="4" w:space="0" w:color="auto"/>
            </w:tcBorders>
            <w:shd w:val="clear" w:color="auto" w:fill="auto"/>
            <w:vAlign w:val="center"/>
            <w:hideMark/>
          </w:tcPr>
          <w:p w14:paraId="6A86E8B8" w14:textId="77777777" w:rsidR="00967A6F" w:rsidRPr="00E47AA9" w:rsidRDefault="00967A6F" w:rsidP="00D717FF">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1191,03</w:t>
            </w:r>
          </w:p>
        </w:tc>
        <w:tc>
          <w:tcPr>
            <w:tcW w:w="1255" w:type="dxa"/>
            <w:tcBorders>
              <w:top w:val="nil"/>
              <w:left w:val="nil"/>
              <w:bottom w:val="single" w:sz="4" w:space="0" w:color="auto"/>
              <w:right w:val="single" w:sz="4" w:space="0" w:color="auto"/>
            </w:tcBorders>
            <w:shd w:val="clear" w:color="auto" w:fill="auto"/>
            <w:vAlign w:val="center"/>
            <w:hideMark/>
          </w:tcPr>
          <w:p w14:paraId="549AD87F" w14:textId="77777777" w:rsidR="00967A6F" w:rsidRPr="00E47AA9" w:rsidRDefault="00967A6F" w:rsidP="00D717FF">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99,87</w:t>
            </w:r>
          </w:p>
        </w:tc>
        <w:tc>
          <w:tcPr>
            <w:tcW w:w="1134" w:type="dxa"/>
            <w:tcBorders>
              <w:top w:val="nil"/>
              <w:left w:val="nil"/>
              <w:bottom w:val="single" w:sz="4" w:space="0" w:color="auto"/>
              <w:right w:val="single" w:sz="4" w:space="0" w:color="auto"/>
            </w:tcBorders>
            <w:shd w:val="clear" w:color="auto" w:fill="auto"/>
            <w:vAlign w:val="center"/>
            <w:hideMark/>
          </w:tcPr>
          <w:p w14:paraId="5370716D" w14:textId="77777777" w:rsidR="00967A6F" w:rsidRPr="00E47AA9" w:rsidRDefault="00967A6F" w:rsidP="00D717FF">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37,42</w:t>
            </w:r>
          </w:p>
        </w:tc>
        <w:tc>
          <w:tcPr>
            <w:tcW w:w="1288" w:type="dxa"/>
            <w:tcBorders>
              <w:top w:val="nil"/>
              <w:left w:val="nil"/>
              <w:bottom w:val="single" w:sz="4" w:space="0" w:color="auto"/>
              <w:right w:val="single" w:sz="4" w:space="0" w:color="auto"/>
            </w:tcBorders>
            <w:shd w:val="clear" w:color="auto" w:fill="auto"/>
            <w:vAlign w:val="center"/>
            <w:hideMark/>
          </w:tcPr>
          <w:p w14:paraId="1BBC5504" w14:textId="77777777" w:rsidR="00967A6F" w:rsidRPr="00E47AA9" w:rsidRDefault="00967A6F" w:rsidP="00D717FF">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1,59</w:t>
            </w:r>
          </w:p>
        </w:tc>
      </w:tr>
      <w:tr w:rsidR="00967A6F" w:rsidRPr="00E47AA9" w14:paraId="7C61B48C" w14:textId="77777777" w:rsidTr="00D717FF">
        <w:trPr>
          <w:trHeight w:val="300"/>
        </w:trPr>
        <w:tc>
          <w:tcPr>
            <w:tcW w:w="3120" w:type="dxa"/>
            <w:tcBorders>
              <w:top w:val="nil"/>
              <w:left w:val="single" w:sz="4" w:space="0" w:color="auto"/>
              <w:bottom w:val="single" w:sz="4" w:space="0" w:color="auto"/>
              <w:right w:val="single" w:sz="4" w:space="0" w:color="auto"/>
            </w:tcBorders>
            <w:shd w:val="clear" w:color="auto" w:fill="auto"/>
            <w:vAlign w:val="center"/>
            <w:hideMark/>
          </w:tcPr>
          <w:p w14:paraId="27065CF3" w14:textId="77777777" w:rsidR="00967A6F" w:rsidRPr="00E47AA9" w:rsidRDefault="00967A6F" w:rsidP="00D717FF">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комплексы процессных мероприятий</w:t>
            </w:r>
          </w:p>
        </w:tc>
        <w:tc>
          <w:tcPr>
            <w:tcW w:w="1417" w:type="dxa"/>
            <w:tcBorders>
              <w:top w:val="nil"/>
              <w:left w:val="nil"/>
              <w:bottom w:val="single" w:sz="4" w:space="0" w:color="auto"/>
              <w:right w:val="single" w:sz="4" w:space="0" w:color="auto"/>
            </w:tcBorders>
            <w:shd w:val="clear" w:color="auto" w:fill="auto"/>
            <w:vAlign w:val="center"/>
            <w:hideMark/>
          </w:tcPr>
          <w:p w14:paraId="3A28AC4C"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918,33</w:t>
            </w:r>
          </w:p>
        </w:tc>
        <w:tc>
          <w:tcPr>
            <w:tcW w:w="1159" w:type="dxa"/>
            <w:tcBorders>
              <w:top w:val="nil"/>
              <w:left w:val="nil"/>
              <w:bottom w:val="single" w:sz="4" w:space="0" w:color="auto"/>
              <w:right w:val="single" w:sz="4" w:space="0" w:color="auto"/>
            </w:tcBorders>
            <w:shd w:val="clear" w:color="auto" w:fill="auto"/>
            <w:vAlign w:val="center"/>
            <w:hideMark/>
          </w:tcPr>
          <w:p w14:paraId="4566A72A"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872,31</w:t>
            </w:r>
          </w:p>
        </w:tc>
        <w:tc>
          <w:tcPr>
            <w:tcW w:w="1255" w:type="dxa"/>
            <w:tcBorders>
              <w:top w:val="nil"/>
              <w:left w:val="nil"/>
              <w:bottom w:val="single" w:sz="4" w:space="0" w:color="auto"/>
              <w:right w:val="single" w:sz="4" w:space="0" w:color="auto"/>
            </w:tcBorders>
            <w:shd w:val="clear" w:color="auto" w:fill="auto"/>
            <w:vAlign w:val="center"/>
            <w:hideMark/>
          </w:tcPr>
          <w:p w14:paraId="0E27E202"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94,99</w:t>
            </w:r>
          </w:p>
        </w:tc>
        <w:tc>
          <w:tcPr>
            <w:tcW w:w="1134" w:type="dxa"/>
            <w:tcBorders>
              <w:top w:val="nil"/>
              <w:left w:val="nil"/>
              <w:bottom w:val="single" w:sz="4" w:space="0" w:color="auto"/>
              <w:right w:val="single" w:sz="4" w:space="0" w:color="auto"/>
            </w:tcBorders>
            <w:shd w:val="clear" w:color="auto" w:fill="auto"/>
            <w:vAlign w:val="center"/>
            <w:hideMark/>
          </w:tcPr>
          <w:p w14:paraId="2B1621D9"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27,40</w:t>
            </w:r>
          </w:p>
        </w:tc>
        <w:tc>
          <w:tcPr>
            <w:tcW w:w="1288" w:type="dxa"/>
            <w:tcBorders>
              <w:top w:val="nil"/>
              <w:left w:val="nil"/>
              <w:bottom w:val="single" w:sz="4" w:space="0" w:color="auto"/>
              <w:right w:val="single" w:sz="4" w:space="0" w:color="auto"/>
            </w:tcBorders>
            <w:shd w:val="clear" w:color="auto" w:fill="auto"/>
            <w:vAlign w:val="center"/>
            <w:hideMark/>
          </w:tcPr>
          <w:p w14:paraId="0B1D4160" w14:textId="77777777" w:rsidR="00967A6F" w:rsidRPr="00E47AA9" w:rsidRDefault="00967A6F" w:rsidP="00D717FF">
            <w:pPr>
              <w:spacing w:after="0" w:line="240" w:lineRule="auto"/>
              <w:jc w:val="right"/>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46,02</w:t>
            </w:r>
          </w:p>
        </w:tc>
      </w:tr>
    </w:tbl>
    <w:p w14:paraId="4B58534C" w14:textId="77777777" w:rsidR="00967A6F" w:rsidRPr="00E47AA9" w:rsidRDefault="00967A6F" w:rsidP="00967A6F">
      <w:pPr>
        <w:autoSpaceDE w:val="0"/>
        <w:autoSpaceDN w:val="0"/>
        <w:adjustRightInd w:val="0"/>
        <w:spacing w:after="0" w:line="240" w:lineRule="auto"/>
        <w:ind w:firstLine="709"/>
        <w:jc w:val="both"/>
        <w:rPr>
          <w:rFonts w:ascii="Times New Roman" w:eastAsia="Calibri" w:hAnsi="Times New Roman" w:cs="Times New Roman"/>
          <w:sz w:val="28"/>
          <w:szCs w:val="28"/>
        </w:rPr>
      </w:pPr>
    </w:p>
    <w:p w14:paraId="37E5FF9A" w14:textId="7CD53978" w:rsidR="00E33632" w:rsidRPr="00E47AA9" w:rsidRDefault="00FD1970" w:rsidP="00967A6F">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По данным</w:t>
      </w:r>
      <w:r w:rsidR="00E33632" w:rsidRPr="00E47AA9">
        <w:rPr>
          <w:rFonts w:ascii="Times New Roman" w:eastAsia="Calibri" w:hAnsi="Times New Roman" w:cs="Times New Roman"/>
          <w:sz w:val="28"/>
          <w:szCs w:val="28"/>
        </w:rPr>
        <w:t xml:space="preserve"> Сводно</w:t>
      </w:r>
      <w:r w:rsidRPr="00E47AA9">
        <w:rPr>
          <w:rFonts w:ascii="Times New Roman" w:eastAsia="Calibri" w:hAnsi="Times New Roman" w:cs="Times New Roman"/>
          <w:sz w:val="28"/>
          <w:szCs w:val="28"/>
        </w:rPr>
        <w:t>го</w:t>
      </w:r>
      <w:r w:rsidR="00E33632" w:rsidRPr="00E47AA9">
        <w:rPr>
          <w:rFonts w:ascii="Times New Roman" w:eastAsia="Calibri" w:hAnsi="Times New Roman" w:cs="Times New Roman"/>
          <w:sz w:val="28"/>
          <w:szCs w:val="28"/>
        </w:rPr>
        <w:t xml:space="preserve"> годово</w:t>
      </w:r>
      <w:r w:rsidRPr="00E47AA9">
        <w:rPr>
          <w:rFonts w:ascii="Times New Roman" w:eastAsia="Calibri" w:hAnsi="Times New Roman" w:cs="Times New Roman"/>
          <w:sz w:val="28"/>
          <w:szCs w:val="28"/>
        </w:rPr>
        <w:t>го</w:t>
      </w:r>
      <w:r w:rsidR="00E37858" w:rsidRPr="00E47AA9">
        <w:rPr>
          <w:rFonts w:ascii="Times New Roman" w:eastAsia="Calibri" w:hAnsi="Times New Roman" w:cs="Times New Roman"/>
          <w:sz w:val="28"/>
          <w:szCs w:val="28"/>
        </w:rPr>
        <w:t xml:space="preserve"> </w:t>
      </w:r>
      <w:r w:rsidR="00E33632" w:rsidRPr="00E47AA9">
        <w:rPr>
          <w:rFonts w:ascii="Times New Roman" w:eastAsia="Calibri" w:hAnsi="Times New Roman" w:cs="Times New Roman"/>
          <w:sz w:val="28"/>
          <w:szCs w:val="28"/>
        </w:rPr>
        <w:t>доклад</w:t>
      </w:r>
      <w:r w:rsidRPr="00E47AA9">
        <w:rPr>
          <w:rFonts w:ascii="Times New Roman" w:eastAsia="Calibri" w:hAnsi="Times New Roman" w:cs="Times New Roman"/>
          <w:sz w:val="28"/>
          <w:szCs w:val="28"/>
        </w:rPr>
        <w:t>а</w:t>
      </w:r>
      <w:r w:rsidR="00E33632" w:rsidRPr="00E47AA9">
        <w:rPr>
          <w:rFonts w:ascii="Times New Roman" w:eastAsia="Calibri" w:hAnsi="Times New Roman" w:cs="Times New Roman"/>
          <w:sz w:val="28"/>
          <w:szCs w:val="28"/>
        </w:rPr>
        <w:t>:</w:t>
      </w:r>
    </w:p>
    <w:p w14:paraId="292D02AA" w14:textId="1B0ABCCA" w:rsidR="00E33632" w:rsidRPr="00E47AA9" w:rsidRDefault="00E33632" w:rsidP="00967A6F">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из 10 мероприятий государственной программы, запланированных к выполнению в 2024 году, 8 мероприятий выполнены в полном объеме, </w:t>
      </w:r>
      <w:r w:rsidR="00E37858" w:rsidRPr="00E47AA9">
        <w:rPr>
          <w:rFonts w:ascii="Times New Roman" w:eastAsia="Calibri" w:hAnsi="Times New Roman" w:cs="Times New Roman"/>
          <w:sz w:val="28"/>
          <w:szCs w:val="28"/>
        </w:rPr>
        <w:br/>
      </w:r>
      <w:r w:rsidRPr="00E47AA9">
        <w:rPr>
          <w:rFonts w:ascii="Times New Roman" w:eastAsia="Calibri" w:hAnsi="Times New Roman" w:cs="Times New Roman"/>
          <w:sz w:val="28"/>
          <w:szCs w:val="28"/>
        </w:rPr>
        <w:t xml:space="preserve">2 мероприятия выполнены не </w:t>
      </w:r>
      <w:r w:rsidR="00FD1970" w:rsidRPr="00E47AA9">
        <w:rPr>
          <w:rFonts w:ascii="Times New Roman" w:eastAsia="Calibri" w:hAnsi="Times New Roman" w:cs="Times New Roman"/>
          <w:sz w:val="28"/>
          <w:szCs w:val="28"/>
        </w:rPr>
        <w:t xml:space="preserve">в </w:t>
      </w:r>
      <w:r w:rsidRPr="00E47AA9">
        <w:rPr>
          <w:rFonts w:ascii="Times New Roman" w:eastAsia="Calibri" w:hAnsi="Times New Roman" w:cs="Times New Roman"/>
          <w:sz w:val="28"/>
          <w:szCs w:val="28"/>
        </w:rPr>
        <w:t>полном объеме</w:t>
      </w:r>
      <w:r w:rsidR="00E37858" w:rsidRPr="00E47AA9">
        <w:rPr>
          <w:rFonts w:ascii="Times New Roman" w:eastAsia="Calibri" w:hAnsi="Times New Roman" w:cs="Times New Roman"/>
          <w:sz w:val="28"/>
          <w:szCs w:val="28"/>
        </w:rPr>
        <w:t>;</w:t>
      </w:r>
    </w:p>
    <w:p w14:paraId="3ECBFBEA" w14:textId="7B0D830B" w:rsidR="00E33632" w:rsidRPr="00E47AA9" w:rsidRDefault="00E6166A" w:rsidP="00967A6F">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из 11 показателей государственной программы все показатели достигли планового значения</w:t>
      </w:r>
      <w:r w:rsidR="00E37858" w:rsidRPr="00E47AA9">
        <w:rPr>
          <w:rFonts w:ascii="Times New Roman" w:eastAsia="Calibri" w:hAnsi="Times New Roman" w:cs="Times New Roman"/>
          <w:sz w:val="28"/>
          <w:szCs w:val="28"/>
        </w:rPr>
        <w:t>;</w:t>
      </w:r>
    </w:p>
    <w:p w14:paraId="328C16C7" w14:textId="05F93F2B" w:rsidR="00E33632" w:rsidRPr="00E47AA9" w:rsidRDefault="00E6166A" w:rsidP="00967A6F">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lastRenderedPageBreak/>
        <w:t>эффективность реализации государственной программы составила 96,2</w:t>
      </w:r>
      <w:r w:rsidR="00FD1970"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 (выше среднего уровня).</w:t>
      </w:r>
    </w:p>
    <w:p w14:paraId="16806EF1" w14:textId="77777777" w:rsidR="00967A6F" w:rsidRPr="00E47AA9" w:rsidRDefault="00967A6F" w:rsidP="00967A6F">
      <w:pPr>
        <w:autoSpaceDE w:val="0"/>
        <w:autoSpaceDN w:val="0"/>
        <w:adjustRightInd w:val="0"/>
        <w:spacing w:after="0" w:line="240" w:lineRule="auto"/>
        <w:ind w:firstLine="709"/>
        <w:jc w:val="both"/>
        <w:rPr>
          <w:rFonts w:ascii="Times New Roman" w:hAnsi="Times New Roman" w:cs="Times New Roman"/>
          <w:b/>
          <w:iCs/>
          <w:sz w:val="28"/>
          <w:szCs w:val="28"/>
        </w:rPr>
      </w:pPr>
      <w:r w:rsidRPr="00E47AA9">
        <w:rPr>
          <w:rFonts w:ascii="Times New Roman" w:hAnsi="Times New Roman" w:cs="Times New Roman"/>
          <w:b/>
          <w:sz w:val="28"/>
          <w:szCs w:val="28"/>
        </w:rPr>
        <w:t>Подпрограмма "</w:t>
      </w:r>
      <w:r w:rsidRPr="00E47AA9">
        <w:rPr>
          <w:rFonts w:ascii="Times New Roman" w:hAnsi="Times New Roman" w:cs="Times New Roman"/>
          <w:b/>
          <w:iCs/>
          <w:sz w:val="28"/>
          <w:szCs w:val="28"/>
        </w:rPr>
        <w:t>Формирование современной городской среды муниципальных образований Приморского края"</w:t>
      </w:r>
    </w:p>
    <w:p w14:paraId="582CCF58" w14:textId="3537CEFE" w:rsidR="00967A6F" w:rsidRPr="00E47AA9" w:rsidRDefault="00967A6F" w:rsidP="00967A6F">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eastAsia="Calibri" w:hAnsi="Times New Roman" w:cs="Times New Roman"/>
          <w:sz w:val="28"/>
          <w:szCs w:val="28"/>
        </w:rPr>
        <w:t xml:space="preserve">В рамках подпрограммы осуществлялась реализация мероприятий </w:t>
      </w:r>
      <w:r w:rsidRPr="00E47AA9">
        <w:rPr>
          <w:rFonts w:ascii="Times New Roman" w:eastAsia="Calibri" w:hAnsi="Times New Roman" w:cs="Times New Roman"/>
          <w:sz w:val="28"/>
          <w:szCs w:val="28"/>
        </w:rPr>
        <w:br/>
      </w:r>
      <w:r w:rsidRPr="00E47AA9">
        <w:rPr>
          <w:rFonts w:ascii="Times New Roman" w:eastAsia="Calibri" w:hAnsi="Times New Roman" w:cs="Times New Roman"/>
          <w:i/>
          <w:iCs/>
          <w:sz w:val="28"/>
          <w:szCs w:val="28"/>
        </w:rPr>
        <w:t xml:space="preserve">РП </w:t>
      </w:r>
      <w:r w:rsidRPr="00E47AA9">
        <w:rPr>
          <w:rFonts w:ascii="Times New Roman" w:hAnsi="Times New Roman" w:cs="Times New Roman"/>
          <w:i/>
          <w:sz w:val="28"/>
          <w:szCs w:val="28"/>
        </w:rPr>
        <w:t>"Формирование комфортной городской среды" в составе НП</w:t>
      </w:r>
      <w:r w:rsidRPr="00E47AA9">
        <w:rPr>
          <w:rFonts w:ascii="Times New Roman" w:hAnsi="Times New Roman" w:cs="Times New Roman"/>
        </w:rPr>
        <w:t xml:space="preserve"> "</w:t>
      </w:r>
      <w:r w:rsidRPr="00E47AA9">
        <w:rPr>
          <w:rFonts w:ascii="Times New Roman" w:hAnsi="Times New Roman" w:cs="Times New Roman"/>
          <w:i/>
          <w:sz w:val="28"/>
          <w:szCs w:val="28"/>
        </w:rPr>
        <w:t>Жилье и городская среда"</w:t>
      </w:r>
      <w:r w:rsidRPr="00E47AA9">
        <w:rPr>
          <w:rFonts w:ascii="Times New Roman" w:hAnsi="Times New Roman" w:cs="Times New Roman"/>
          <w:iCs/>
          <w:sz w:val="28"/>
          <w:szCs w:val="28"/>
        </w:rPr>
        <w:t>. И</w:t>
      </w:r>
      <w:r w:rsidRPr="00E47AA9">
        <w:rPr>
          <w:rFonts w:ascii="Times New Roman" w:hAnsi="Times New Roman" w:cs="Times New Roman"/>
          <w:sz w:val="28"/>
          <w:szCs w:val="28"/>
        </w:rPr>
        <w:t>сполнение субсидий,</w:t>
      </w:r>
      <w:r w:rsidRPr="00E47AA9">
        <w:rPr>
          <w:rFonts w:ascii="Times New Roman" w:hAnsi="Times New Roman" w:cs="Times New Roman"/>
          <w:i/>
          <w:sz w:val="28"/>
          <w:szCs w:val="28"/>
        </w:rPr>
        <w:t xml:space="preserve"> </w:t>
      </w:r>
      <w:r w:rsidRPr="00E47AA9">
        <w:rPr>
          <w:rFonts w:ascii="Times New Roman" w:hAnsi="Times New Roman" w:cs="Times New Roman"/>
          <w:sz w:val="28"/>
          <w:szCs w:val="28"/>
        </w:rPr>
        <w:t xml:space="preserve">направленных бюджетам муниципальных образований, составило 99,96 %, или 1119,71 млн рублей (план </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1120,15 млн рублей). </w:t>
      </w:r>
      <w:r w:rsidRPr="00E47AA9">
        <w:rPr>
          <w:rFonts w:ascii="Times New Roman" w:eastAsia="Times New Roman" w:hAnsi="Times New Roman" w:cs="Times New Roman"/>
          <w:sz w:val="28"/>
          <w:szCs w:val="28"/>
          <w:lang w:eastAsia="ru-RU"/>
        </w:rPr>
        <w:t>Неисполненные бюджетные назначения</w:t>
      </w:r>
      <w:r w:rsidRPr="00E47AA9">
        <w:rPr>
          <w:rFonts w:ascii="Times New Roman" w:hAnsi="Times New Roman" w:cs="Times New Roman"/>
          <w:sz w:val="28"/>
          <w:szCs w:val="28"/>
        </w:rPr>
        <w:t xml:space="preserve"> составили 0,44 млн рублей по субсидии на создание комфортной городской среды в малых городах и исторических поселениях </w:t>
      </w:r>
      <w:r w:rsidR="00695138" w:rsidRPr="00E47AA9">
        <w:rPr>
          <w:rFonts w:ascii="Times New Roman" w:hAnsi="Times New Roman" w:cs="Times New Roman"/>
          <w:sz w:val="28"/>
          <w:szCs w:val="28"/>
        </w:rPr>
        <w:t>–</w:t>
      </w:r>
      <w:r w:rsidRPr="00E47AA9">
        <w:rPr>
          <w:rFonts w:ascii="Times New Roman" w:hAnsi="Times New Roman" w:cs="Times New Roman"/>
          <w:sz w:val="28"/>
          <w:szCs w:val="28"/>
        </w:rPr>
        <w:t xml:space="preserve"> победителях Всероссийского конкурса лучших проектов создания комфортной городской среды за счет средств краевого бюджета, предоставленной бюджету ГО Спасск-Дальний в связи с экономией по результатам выполненных работ. Подробнее информация представлена в приложении 3 к Заключению. </w:t>
      </w:r>
    </w:p>
    <w:p w14:paraId="4A1B3ADC" w14:textId="386F7300" w:rsidR="00967A6F" w:rsidRPr="00E47AA9" w:rsidRDefault="00967A6F" w:rsidP="00967A6F">
      <w:pPr>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 xml:space="preserve">Подпрограмма "Благоустройство территорий муниципальных образований Приморского края" </w:t>
      </w:r>
      <w:r w:rsidRPr="00E47AA9">
        <w:rPr>
          <w:rFonts w:ascii="Times New Roman" w:hAnsi="Times New Roman" w:cs="Times New Roman"/>
          <w:sz w:val="28"/>
          <w:szCs w:val="28"/>
        </w:rPr>
        <w:t xml:space="preserve">исполнение составило </w:t>
      </w:r>
      <w:r w:rsidRPr="00E47AA9">
        <w:rPr>
          <w:rFonts w:ascii="Times New Roman" w:hAnsi="Times New Roman" w:cs="Times New Roman"/>
          <w:sz w:val="28"/>
          <w:szCs w:val="28"/>
        </w:rPr>
        <w:br/>
        <w:t xml:space="preserve">1986,55 млн рублей, или 99,79 % (план </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1990,01 млн рублей). </w:t>
      </w:r>
    </w:p>
    <w:p w14:paraId="11ADE63D" w14:textId="68A0397C" w:rsidR="00967A6F" w:rsidRPr="00E47AA9" w:rsidRDefault="00967A6F" w:rsidP="00967A6F">
      <w:pPr>
        <w:widowControl w:val="0"/>
        <w:tabs>
          <w:tab w:val="left" w:pos="284"/>
          <w:tab w:val="left" w:pos="1080"/>
        </w:tabs>
        <w:spacing w:after="0" w:line="240" w:lineRule="auto"/>
        <w:ind w:firstLine="680"/>
        <w:contextualSpacing/>
        <w:jc w:val="both"/>
        <w:rPr>
          <w:rFonts w:ascii="Times New Roman" w:hAnsi="Times New Roman" w:cs="Times New Roman"/>
          <w:sz w:val="28"/>
          <w:szCs w:val="28"/>
        </w:rPr>
      </w:pPr>
      <w:r w:rsidRPr="00E47AA9">
        <w:rPr>
          <w:rFonts w:ascii="Times New Roman" w:hAnsi="Times New Roman" w:cs="Times New Roman"/>
          <w:sz w:val="28"/>
          <w:szCs w:val="28"/>
        </w:rPr>
        <w:t>По</w:t>
      </w:r>
      <w:r w:rsidRPr="00E47AA9">
        <w:rPr>
          <w:rFonts w:ascii="Times New Roman" w:hAnsi="Times New Roman" w:cs="Times New Roman"/>
          <w:i/>
          <w:sz w:val="28"/>
          <w:szCs w:val="28"/>
        </w:rPr>
        <w:t xml:space="preserve"> РП "Благоустройство территорий муниципальных образований Приморского края", не входящего в состав НП, – </w:t>
      </w:r>
      <w:r w:rsidRPr="00E47AA9">
        <w:rPr>
          <w:rFonts w:ascii="Times New Roman" w:hAnsi="Times New Roman" w:cs="Times New Roman"/>
          <w:sz w:val="28"/>
          <w:szCs w:val="28"/>
        </w:rPr>
        <w:t>1191,0</w:t>
      </w:r>
      <w:r w:rsidR="00AF6A2B" w:rsidRPr="00E47AA9">
        <w:rPr>
          <w:rFonts w:ascii="Times New Roman" w:hAnsi="Times New Roman" w:cs="Times New Roman"/>
          <w:sz w:val="28"/>
          <w:szCs w:val="28"/>
        </w:rPr>
        <w:t>3</w:t>
      </w:r>
      <w:r w:rsidRPr="00E47AA9">
        <w:rPr>
          <w:rFonts w:ascii="Times New Roman" w:hAnsi="Times New Roman" w:cs="Times New Roman"/>
          <w:sz w:val="28"/>
          <w:szCs w:val="28"/>
        </w:rPr>
        <w:t> млн рублей, или 99,8</w:t>
      </w:r>
      <w:r w:rsidR="00AF6A2B" w:rsidRPr="00E47AA9">
        <w:rPr>
          <w:rFonts w:ascii="Times New Roman" w:hAnsi="Times New Roman" w:cs="Times New Roman"/>
          <w:sz w:val="28"/>
          <w:szCs w:val="28"/>
        </w:rPr>
        <w:t>7</w:t>
      </w:r>
      <w:r w:rsidRPr="00E47AA9">
        <w:rPr>
          <w:rFonts w:ascii="Times New Roman" w:hAnsi="Times New Roman" w:cs="Times New Roman"/>
          <w:sz w:val="28"/>
          <w:szCs w:val="28"/>
        </w:rPr>
        <w:t> % (план 1192,62 млн рублей)</w:t>
      </w:r>
      <w:r w:rsidRPr="00E47AA9">
        <w:rPr>
          <w:rFonts w:ascii="Times New Roman" w:hAnsi="Times New Roman" w:cs="Times New Roman"/>
          <w:iCs/>
          <w:sz w:val="28"/>
          <w:szCs w:val="28"/>
        </w:rPr>
        <w:t xml:space="preserve"> </w:t>
      </w:r>
      <w:r w:rsidRPr="00E47AA9">
        <w:rPr>
          <w:rFonts w:ascii="Times New Roman" w:hAnsi="Times New Roman" w:cs="Times New Roman"/>
          <w:sz w:val="28"/>
          <w:szCs w:val="28"/>
        </w:rPr>
        <w:t>по субсидиям на поддержку муниципальных программ по благоустройству территорий муниципальных образований Приморского края.</w:t>
      </w:r>
      <w:r w:rsidRPr="00E47AA9">
        <w:rPr>
          <w:rFonts w:ascii="Times New Roman" w:hAnsi="Times New Roman" w:cs="Times New Roman"/>
          <w:iCs/>
          <w:sz w:val="28"/>
          <w:szCs w:val="28"/>
        </w:rPr>
        <w:t xml:space="preserve"> </w:t>
      </w:r>
      <w:r w:rsidRPr="00E47AA9">
        <w:rPr>
          <w:rFonts w:ascii="Times New Roman" w:hAnsi="Times New Roman" w:cs="Times New Roman"/>
          <w:sz w:val="28"/>
          <w:szCs w:val="28"/>
        </w:rPr>
        <w:t>В 2024 году в рамках РП благоустроено 348 территорий, детских и спортивных площадок (43 общественных территорий и 305 дворовых территорий), или 174,0 % (план – 200).</w:t>
      </w:r>
    </w:p>
    <w:p w14:paraId="57665D3E" w14:textId="3D255661" w:rsidR="00967A6F" w:rsidRPr="00E47AA9" w:rsidRDefault="00967A6F" w:rsidP="00967A6F">
      <w:pPr>
        <w:widowControl w:val="0"/>
        <w:spacing w:after="0" w:line="240" w:lineRule="auto"/>
        <w:ind w:firstLine="680"/>
        <w:jc w:val="both"/>
        <w:rPr>
          <w:rFonts w:ascii="Times New Roman" w:hAnsi="Times New Roman" w:cs="Times New Roman"/>
          <w:sz w:val="28"/>
          <w:szCs w:val="28"/>
        </w:rPr>
      </w:pPr>
      <w:r w:rsidRPr="00E47AA9">
        <w:rPr>
          <w:rFonts w:ascii="Times New Roman" w:hAnsi="Times New Roman" w:cs="Times New Roman"/>
          <w:iCs/>
          <w:sz w:val="28"/>
          <w:szCs w:val="28"/>
        </w:rPr>
        <w:t>По</w:t>
      </w:r>
      <w:r w:rsidRPr="00E47AA9">
        <w:rPr>
          <w:rFonts w:ascii="Times New Roman" w:hAnsi="Times New Roman" w:cs="Times New Roman"/>
          <w:i/>
          <w:iCs/>
          <w:sz w:val="28"/>
          <w:szCs w:val="28"/>
        </w:rPr>
        <w:t xml:space="preserve"> комплексам процессных мероприятий</w:t>
      </w:r>
      <w:r w:rsidRPr="00E47AA9">
        <w:rPr>
          <w:rFonts w:ascii="Times New Roman" w:hAnsi="Times New Roman" w:cs="Times New Roman"/>
          <w:sz w:val="28"/>
          <w:szCs w:val="28"/>
        </w:rPr>
        <w:t xml:space="preserve"> исполнение составило </w:t>
      </w:r>
      <w:r w:rsidRPr="00E47AA9">
        <w:rPr>
          <w:rFonts w:ascii="Times New Roman" w:hAnsi="Times New Roman" w:cs="Times New Roman"/>
          <w:sz w:val="28"/>
          <w:szCs w:val="28"/>
        </w:rPr>
        <w:br/>
        <w:t xml:space="preserve">872,31 млн рублей, или 94,99 % (план </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918,33 млн рублей), в том числе: </w:t>
      </w:r>
    </w:p>
    <w:p w14:paraId="0D13FE60" w14:textId="51246424" w:rsidR="00967A6F" w:rsidRPr="00E47AA9" w:rsidRDefault="00967A6F" w:rsidP="00967A6F">
      <w:pPr>
        <w:widowControl w:val="0"/>
        <w:spacing w:after="0" w:line="240" w:lineRule="auto"/>
        <w:ind w:firstLine="680"/>
        <w:jc w:val="both"/>
        <w:rPr>
          <w:rFonts w:ascii="Times New Roman" w:hAnsi="Times New Roman" w:cs="Times New Roman"/>
          <w:sz w:val="28"/>
          <w:szCs w:val="28"/>
        </w:rPr>
      </w:pPr>
      <w:r w:rsidRPr="00E47AA9">
        <w:rPr>
          <w:rFonts w:ascii="Times New Roman" w:hAnsi="Times New Roman" w:cs="Times New Roman"/>
          <w:i/>
          <w:sz w:val="28"/>
          <w:szCs w:val="28"/>
        </w:rPr>
        <w:t xml:space="preserve">КПМ "Поддержка муниципальных программ по благоустройству территорий муниципальных образований Приморского края согласно плану социального развития центров экономического роста Приморского края" </w:t>
      </w:r>
      <w:r w:rsidR="00695138" w:rsidRPr="00E47AA9">
        <w:rPr>
          <w:rFonts w:ascii="Times New Roman" w:hAnsi="Times New Roman" w:cs="Times New Roman"/>
          <w:i/>
          <w:sz w:val="28"/>
          <w:szCs w:val="28"/>
        </w:rPr>
        <w:t>–</w:t>
      </w:r>
      <w:r w:rsidRPr="00E47AA9">
        <w:rPr>
          <w:rFonts w:ascii="Times New Roman" w:hAnsi="Times New Roman" w:cs="Times New Roman"/>
          <w:sz w:val="28"/>
          <w:szCs w:val="28"/>
        </w:rPr>
        <w:t xml:space="preserve"> 666,01 млн рублей в</w:t>
      </w:r>
      <w:r w:rsidRPr="00E47AA9">
        <w:rPr>
          <w:rFonts w:ascii="Times New Roman" w:hAnsi="Times New Roman" w:cs="Times New Roman"/>
          <w:i/>
          <w:sz w:val="28"/>
          <w:szCs w:val="28"/>
        </w:rPr>
        <w:t xml:space="preserve"> </w:t>
      </w:r>
      <w:r w:rsidRPr="00E47AA9">
        <w:rPr>
          <w:rFonts w:ascii="Times New Roman" w:hAnsi="Times New Roman" w:cs="Times New Roman"/>
          <w:sz w:val="28"/>
          <w:szCs w:val="28"/>
        </w:rPr>
        <w:t>полном объеме по направлениям:</w:t>
      </w:r>
      <w:r w:rsidRPr="00E47AA9">
        <w:rPr>
          <w:rFonts w:ascii="Times New Roman" w:hAnsi="Times New Roman" w:cs="Times New Roman"/>
          <w:i/>
          <w:sz w:val="28"/>
          <w:szCs w:val="28"/>
        </w:rPr>
        <w:t xml:space="preserve"> </w:t>
      </w:r>
      <w:r w:rsidRPr="00E47AA9">
        <w:rPr>
          <w:rFonts w:ascii="Times New Roman" w:hAnsi="Times New Roman" w:cs="Times New Roman"/>
          <w:sz w:val="28"/>
          <w:szCs w:val="28"/>
        </w:rPr>
        <w:t>"Создание и эксплуатация парка "Минный городок" в городе Владивостоке" – 472,17 млн рублей (разработано и утверждено задание на проектирование парка в рамках концессионного соглашения от 22.08.2024 о создании и эксплуатации парка "Минный городок" в г. Владивостоке, заключенного между администрацией г. Владивостока и ООО "Парк Владивосток") и "Благоустройство дальневосточных дворов" – 193,84 млн рублей (благоустроено 27 дворовых территорий);</w:t>
      </w:r>
    </w:p>
    <w:p w14:paraId="53125D19" w14:textId="40CB5637" w:rsidR="00967A6F" w:rsidRPr="00E47AA9" w:rsidRDefault="00967A6F" w:rsidP="00967A6F">
      <w:pPr>
        <w:widowControl w:val="0"/>
        <w:tabs>
          <w:tab w:val="left" w:pos="284"/>
          <w:tab w:val="left" w:pos="1080"/>
        </w:tabs>
        <w:spacing w:after="0" w:line="240" w:lineRule="auto"/>
        <w:ind w:firstLine="680"/>
        <w:contextualSpacing/>
        <w:jc w:val="both"/>
        <w:rPr>
          <w:rFonts w:ascii="Times New Roman" w:hAnsi="Times New Roman" w:cs="Times New Roman"/>
          <w:sz w:val="28"/>
          <w:szCs w:val="28"/>
        </w:rPr>
      </w:pPr>
      <w:r w:rsidRPr="00E47AA9">
        <w:rPr>
          <w:rFonts w:ascii="Times New Roman" w:hAnsi="Times New Roman" w:cs="Times New Roman"/>
          <w:i/>
          <w:sz w:val="28"/>
          <w:szCs w:val="28"/>
        </w:rPr>
        <w:t xml:space="preserve">КПМ "Благоустройство территорий и общественных пространств муниципальных образований Приморского края" </w:t>
      </w:r>
      <w:r w:rsidRPr="00E47AA9">
        <w:rPr>
          <w:rFonts w:ascii="Times New Roman" w:hAnsi="Times New Roman" w:cs="Times New Roman"/>
          <w:sz w:val="28"/>
          <w:szCs w:val="28"/>
        </w:rPr>
        <w:t xml:space="preserve">– 129,50 млн рублей, </w:t>
      </w:r>
      <w:r w:rsidRPr="00E47AA9">
        <w:rPr>
          <w:rFonts w:ascii="Times New Roman" w:hAnsi="Times New Roman" w:cs="Times New Roman"/>
          <w:sz w:val="28"/>
          <w:szCs w:val="28"/>
        </w:rPr>
        <w:br/>
        <w:t xml:space="preserve">или 98,57 % (план </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131,38 млн рублей).</w:t>
      </w:r>
      <w:r w:rsidRPr="00E47AA9">
        <w:rPr>
          <w:rFonts w:ascii="Times New Roman" w:hAnsi="Times New Roman" w:cs="Times New Roman"/>
          <w:iCs/>
          <w:sz w:val="28"/>
          <w:szCs w:val="28"/>
        </w:rPr>
        <w:t xml:space="preserve"> </w:t>
      </w:r>
      <w:r w:rsidRPr="00E47AA9">
        <w:rPr>
          <w:rFonts w:ascii="Times New Roman" w:hAnsi="Times New Roman" w:cs="Times New Roman"/>
          <w:sz w:val="28"/>
          <w:szCs w:val="28"/>
        </w:rPr>
        <w:t>В 2024 году в рамках подпрограммы благоустроено 348 территорий, детских и спортивных площадок; 27 дворовых территорий и 1 общественная территория.</w:t>
      </w:r>
    </w:p>
    <w:p w14:paraId="028A7914" w14:textId="5F5C17A5" w:rsidR="00967A6F" w:rsidRPr="00E47AA9" w:rsidRDefault="00967A6F" w:rsidP="00967A6F">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lastRenderedPageBreak/>
        <w:t>Стоит отметить, что в информации о реализации мероприятий ГП</w:t>
      </w:r>
      <w:r w:rsidRPr="00E47AA9">
        <w:rPr>
          <w:rFonts w:ascii="Times New Roman" w:hAnsi="Times New Roman" w:cs="Times New Roman"/>
          <w:sz w:val="20"/>
          <w:szCs w:val="20"/>
        </w:rPr>
        <w:t xml:space="preserve"> </w:t>
      </w:r>
      <w:r w:rsidRPr="00E47AA9">
        <w:rPr>
          <w:rFonts w:ascii="Times New Roman" w:hAnsi="Times New Roman" w:cs="Times New Roman"/>
          <w:sz w:val="28"/>
          <w:szCs w:val="28"/>
        </w:rPr>
        <w:t xml:space="preserve">министерства жилищно-коммунального хозяйства Приморского края по КПМ и подпрограмме отражены данные о достижении в 2024 году из 4 только 1 результата "количество благоустроенных общественных пространств", по которому, как и планировалось, </w:t>
      </w:r>
      <w:r w:rsidRPr="00E47AA9">
        <w:rPr>
          <w:rFonts w:ascii="Times New Roman" w:hAnsi="Times New Roman" w:cs="Times New Roman"/>
          <w:iCs/>
          <w:sz w:val="28"/>
          <w:szCs w:val="28"/>
        </w:rPr>
        <w:t>выполнены работы по 1 общественной территории во Владивостокском ГО. При этом не</w:t>
      </w:r>
      <w:r w:rsidRPr="00E47AA9">
        <w:rPr>
          <w:rFonts w:ascii="Times New Roman" w:hAnsi="Times New Roman" w:cs="Times New Roman"/>
          <w:sz w:val="28"/>
          <w:szCs w:val="28"/>
        </w:rPr>
        <w:t xml:space="preserve"> указаны данные о фактическом достижении результатов: "количество отремонтированных подпорных стен" (план на 2024 год – 2 единицы), "количество установленных и отремонтированных лестниц" (план </w:t>
      </w:r>
      <w:r w:rsidR="00E02DD2" w:rsidRPr="00E47AA9">
        <w:rPr>
          <w:rFonts w:ascii="Times New Roman" w:hAnsi="Times New Roman" w:cs="Times New Roman"/>
          <w:sz w:val="28"/>
          <w:szCs w:val="28"/>
        </w:rPr>
        <w:t>–</w:t>
      </w:r>
      <w:r w:rsidRPr="00E47AA9">
        <w:rPr>
          <w:rFonts w:ascii="Times New Roman" w:hAnsi="Times New Roman" w:cs="Times New Roman"/>
          <w:sz w:val="28"/>
          <w:szCs w:val="28"/>
        </w:rPr>
        <w:t xml:space="preserve">30 единиц), "площадь озелененных территорий" (план </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140,0 квадратных метров), что указывает на невозможность осуществить оценку эффективности использования субсидий министерством. </w:t>
      </w:r>
    </w:p>
    <w:p w14:paraId="1553A473" w14:textId="77777777" w:rsidR="00967A6F" w:rsidRPr="00E47AA9" w:rsidRDefault="00967A6F" w:rsidP="00967A6F">
      <w:pPr>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 xml:space="preserve">Подпрограмма "Обеспечение качества ритуальных услуг </w:t>
      </w:r>
      <w:r w:rsidRPr="00E47AA9">
        <w:rPr>
          <w:rFonts w:ascii="Times New Roman" w:eastAsia="Times New Roman" w:hAnsi="Times New Roman" w:cs="Times New Roman"/>
          <w:b/>
          <w:sz w:val="28"/>
          <w:szCs w:val="28"/>
          <w:lang w:eastAsia="ru-RU"/>
        </w:rPr>
        <w:br/>
        <w:t>на территории Приморского края"</w:t>
      </w:r>
    </w:p>
    <w:p w14:paraId="44D87B63" w14:textId="13F17D8B" w:rsidR="00967A6F" w:rsidRPr="00E47AA9" w:rsidRDefault="00967A6F" w:rsidP="00967A6F">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По</w:t>
      </w:r>
      <w:r w:rsidRPr="00E47AA9">
        <w:rPr>
          <w:rFonts w:ascii="Times New Roman" w:hAnsi="Times New Roman" w:cs="Times New Roman"/>
          <w:i/>
          <w:sz w:val="28"/>
          <w:szCs w:val="28"/>
        </w:rPr>
        <w:t xml:space="preserve"> КПМ "Развитие сферы ритуальных услуг на территории Приморского края" </w:t>
      </w:r>
      <w:r w:rsidRPr="00E47AA9">
        <w:rPr>
          <w:rFonts w:ascii="Times New Roman" w:hAnsi="Times New Roman" w:cs="Times New Roman"/>
          <w:sz w:val="28"/>
          <w:szCs w:val="28"/>
        </w:rPr>
        <w:t xml:space="preserve">исполнение составило 76,80 млн рублей, или 63,50 % (план </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120,91 млн рублей), в том числе по мероприятиям:</w:t>
      </w:r>
    </w:p>
    <w:p w14:paraId="40026ADE" w14:textId="25D84BEC" w:rsidR="00967A6F" w:rsidRPr="00E47AA9" w:rsidRDefault="00967A6F" w:rsidP="00967A6F">
      <w:pPr>
        <w:autoSpaceDE w:val="0"/>
        <w:autoSpaceDN w:val="0"/>
        <w:adjustRightInd w:val="0"/>
        <w:spacing w:after="0" w:line="240" w:lineRule="auto"/>
        <w:ind w:firstLine="709"/>
        <w:jc w:val="both"/>
        <w:rPr>
          <w:rFonts w:ascii="Times New Roman" w:hAnsi="Times New Roman" w:cs="Times New Roman"/>
          <w:iCs/>
          <w:sz w:val="28"/>
          <w:szCs w:val="28"/>
        </w:rPr>
      </w:pPr>
      <w:r w:rsidRPr="00E47AA9">
        <w:rPr>
          <w:rFonts w:ascii="Times New Roman" w:eastAsia="Times New Roman" w:hAnsi="Times New Roman" w:cs="Times New Roman"/>
          <w:i/>
          <w:sz w:val="28"/>
          <w:szCs w:val="28"/>
          <w:lang w:eastAsia="ru-RU"/>
        </w:rPr>
        <w:t xml:space="preserve">инвентаризация кладбищ, стен скорби, крематориев, а также мест захоронений на кладбищах и стенах скорби, расположенных на территории Приморского края </w:t>
      </w:r>
      <w:r w:rsidRPr="00E47AA9">
        <w:rPr>
          <w:rFonts w:ascii="Times New Roman" w:eastAsia="Times New Roman" w:hAnsi="Times New Roman" w:cs="Times New Roman"/>
          <w:sz w:val="28"/>
          <w:szCs w:val="28"/>
          <w:lang w:eastAsia="ru-RU"/>
        </w:rPr>
        <w:t>(далее – мероприятие № 1)</w:t>
      </w:r>
      <w:r w:rsidRPr="00E47AA9">
        <w:rPr>
          <w:rFonts w:ascii="Times New Roman" w:eastAsia="Times New Roman" w:hAnsi="Times New Roman" w:cs="Times New Roman"/>
          <w:i/>
          <w:sz w:val="28"/>
          <w:szCs w:val="28"/>
          <w:lang w:eastAsia="ru-RU"/>
        </w:rPr>
        <w:t xml:space="preserve"> </w:t>
      </w:r>
      <w:r w:rsidRPr="00E47AA9">
        <w:rPr>
          <w:rFonts w:ascii="Times New Roman" w:hAnsi="Times New Roman" w:cs="Times New Roman"/>
          <w:sz w:val="28"/>
          <w:szCs w:val="28"/>
        </w:rPr>
        <w:t xml:space="preserve">– 10,09 млн рублей, или 66,94 % (план </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15,07 млн рублей). </w:t>
      </w:r>
      <w:r w:rsidRPr="00E47AA9">
        <w:rPr>
          <w:rFonts w:ascii="Times New Roman" w:hAnsi="Times New Roman" w:cs="Times New Roman"/>
          <w:iCs/>
          <w:sz w:val="28"/>
          <w:szCs w:val="28"/>
        </w:rPr>
        <w:t xml:space="preserve">Неисполненные бюджетные назначения составили 4,98 млн рублей </w:t>
      </w:r>
      <w:r w:rsidR="00695138" w:rsidRPr="00E47AA9">
        <w:rPr>
          <w:rFonts w:ascii="Times New Roman" w:hAnsi="Times New Roman" w:cs="Times New Roman"/>
          <w:iCs/>
          <w:sz w:val="28"/>
          <w:szCs w:val="28"/>
        </w:rPr>
        <w:t>–</w:t>
      </w:r>
      <w:r w:rsidRPr="00E47AA9">
        <w:rPr>
          <w:rFonts w:ascii="Times New Roman" w:hAnsi="Times New Roman" w:cs="Times New Roman"/>
          <w:iCs/>
          <w:sz w:val="28"/>
          <w:szCs w:val="28"/>
        </w:rPr>
        <w:t xml:space="preserve"> по сведениям министерства</w:t>
      </w:r>
      <w:r w:rsidR="00695138" w:rsidRPr="00E47AA9">
        <w:rPr>
          <w:rFonts w:ascii="Times New Roman" w:hAnsi="Times New Roman" w:cs="Times New Roman"/>
          <w:iCs/>
          <w:sz w:val="28"/>
          <w:szCs w:val="28"/>
        </w:rPr>
        <w:t>,</w:t>
      </w:r>
      <w:r w:rsidRPr="00E47AA9">
        <w:rPr>
          <w:rFonts w:ascii="Times New Roman" w:hAnsi="Times New Roman" w:cs="Times New Roman"/>
          <w:iCs/>
          <w:sz w:val="28"/>
          <w:szCs w:val="28"/>
        </w:rPr>
        <w:t xml:space="preserve"> в качестве причин указан отказ муниципальных образований по реализации части субсидии. Оплата произведена "по факту" на основании актов выполненных работ.</w:t>
      </w:r>
    </w:p>
    <w:p w14:paraId="37CAA1B0" w14:textId="77777777" w:rsidR="00967A6F" w:rsidRPr="00E47AA9" w:rsidRDefault="00967A6F" w:rsidP="00967A6F">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Стоит отметить, что Порядок предоставления и расходования субсидий из краевого бюджета бюджетам муниципальных образований Приморского края на мероприятия по инвентаризации кладбищ, стен скорби, крематориев, а также мест захоронений на кладбищах и в стенах скорби, расположенных на территории Приморского края (далее – субсидии, Порядок), утвержден постановлением Правительства Приморского края от 08.05.2024 № 297-пп, то есть по истечении более чем 4 месяцев со дня вступления в силу Закона </w:t>
      </w:r>
      <w:r w:rsidRPr="00E47AA9">
        <w:rPr>
          <w:rFonts w:ascii="Times New Roman" w:hAnsi="Times New Roman" w:cs="Times New Roman"/>
          <w:sz w:val="28"/>
          <w:szCs w:val="28"/>
        </w:rPr>
        <w:br/>
        <w:t>№ 495-КЗ.</w:t>
      </w:r>
    </w:p>
    <w:p w14:paraId="73A9AB03" w14:textId="030AFC0D" w:rsidR="00967A6F" w:rsidRPr="00E47AA9" w:rsidRDefault="00967A6F" w:rsidP="00967A6F">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Далее, соглашения о предоставлении субсидий в рамках мероприятия заключены с муниципальными образованиями 27.06.2024, то есть с нарушением срока, установленного абзацем вторым пункта 4.1 статьи 139 Бюджетного кодекса Российской Федерации (до 15 февраля очередного года) и пунктом 8 Порядка, что могло повлиять на исполнение бюджета и достижени</w:t>
      </w:r>
      <w:r w:rsidR="00695138" w:rsidRPr="00E47AA9">
        <w:rPr>
          <w:rFonts w:ascii="Times New Roman" w:eastAsia="Times New Roman" w:hAnsi="Times New Roman" w:cs="Times New Roman"/>
          <w:sz w:val="28"/>
          <w:szCs w:val="28"/>
          <w:lang w:eastAsia="ru-RU"/>
        </w:rPr>
        <w:t>е</w:t>
      </w:r>
      <w:r w:rsidRPr="00E47AA9">
        <w:rPr>
          <w:rFonts w:ascii="Times New Roman" w:eastAsia="Times New Roman" w:hAnsi="Times New Roman" w:cs="Times New Roman"/>
          <w:sz w:val="28"/>
          <w:szCs w:val="28"/>
          <w:lang w:eastAsia="ru-RU"/>
        </w:rPr>
        <w:t xml:space="preserve"> результатов использования субсидий.</w:t>
      </w:r>
    </w:p>
    <w:p w14:paraId="4F127645" w14:textId="77777777" w:rsidR="00967A6F" w:rsidRPr="00E47AA9" w:rsidRDefault="00967A6F" w:rsidP="00967A6F">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sz w:val="28"/>
          <w:szCs w:val="28"/>
          <w:lang w:eastAsia="ru-RU"/>
        </w:rPr>
        <w:t>В информации министерства о реализации мероприятий ГП отсутствуют данные о достижении результатов в 2024 году, установленные Порядком</w:t>
      </w:r>
      <w:r w:rsidRPr="00E47AA9">
        <w:rPr>
          <w:rStyle w:val="a8"/>
          <w:rFonts w:ascii="Times New Roman" w:eastAsia="Times New Roman" w:hAnsi="Times New Roman"/>
          <w:sz w:val="28"/>
          <w:szCs w:val="28"/>
          <w:lang w:eastAsia="ru-RU"/>
        </w:rPr>
        <w:footnoteReference w:id="86"/>
      </w:r>
      <w:r w:rsidRPr="00E47AA9">
        <w:rPr>
          <w:rFonts w:ascii="Times New Roman" w:eastAsia="Times New Roman" w:hAnsi="Times New Roman" w:cs="Times New Roman"/>
          <w:sz w:val="28"/>
          <w:szCs w:val="28"/>
          <w:lang w:eastAsia="ru-RU"/>
        </w:rPr>
        <w:t xml:space="preserve">. </w:t>
      </w:r>
    </w:p>
    <w:p w14:paraId="1250095D" w14:textId="25063BD7" w:rsidR="00967A6F" w:rsidRPr="00E47AA9" w:rsidRDefault="00967A6F" w:rsidP="00967A6F">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lastRenderedPageBreak/>
        <w:t>В соответствии с Типовым порядком проведения инвентаризации кладбищ, стен скорби, крематориев, а также мест захоронений на кладбищах и в стенах скорби, расположенных на территории Приморского края</w:t>
      </w:r>
      <w:r w:rsidRPr="00E47AA9">
        <w:rPr>
          <w:rFonts w:ascii="Times New Roman" w:hAnsi="Times New Roman" w:cs="Times New Roman"/>
          <w:sz w:val="28"/>
          <w:szCs w:val="28"/>
          <w:vertAlign w:val="superscript"/>
        </w:rPr>
        <w:footnoteReference w:id="87"/>
      </w:r>
      <w:r w:rsidRPr="00E47AA9">
        <w:rPr>
          <w:rFonts w:ascii="Times New Roman" w:hAnsi="Times New Roman" w:cs="Times New Roman"/>
          <w:sz w:val="28"/>
          <w:szCs w:val="28"/>
        </w:rPr>
        <w:t xml:space="preserve"> реестр кладбищ, стен скорби, крематориев, расположенных </w:t>
      </w:r>
      <w:r w:rsidRPr="00E47AA9">
        <w:rPr>
          <w:rFonts w:ascii="Times New Roman" w:hAnsi="Times New Roman" w:cs="Times New Roman"/>
          <w:sz w:val="28"/>
          <w:szCs w:val="28"/>
        </w:rPr>
        <w:br/>
        <w:t xml:space="preserve">на территории Приморского края, и реестр мест захоронений на кладбищах </w:t>
      </w:r>
      <w:r w:rsidRPr="00E47AA9">
        <w:rPr>
          <w:rFonts w:ascii="Times New Roman" w:hAnsi="Times New Roman" w:cs="Times New Roman"/>
          <w:sz w:val="28"/>
          <w:szCs w:val="28"/>
        </w:rPr>
        <w:br/>
        <w:t xml:space="preserve">и в стенах скорби, расположенных на территории Приморского края (далее </w:t>
      </w:r>
      <w:r w:rsidR="00590741" w:rsidRPr="00E47AA9">
        <w:rPr>
          <w:rFonts w:ascii="Times New Roman" w:hAnsi="Times New Roman" w:cs="Times New Roman"/>
          <w:sz w:val="28"/>
          <w:szCs w:val="28"/>
        </w:rPr>
        <w:t>–</w:t>
      </w:r>
      <w:r w:rsidRPr="00E47AA9">
        <w:rPr>
          <w:rFonts w:ascii="Times New Roman" w:hAnsi="Times New Roman" w:cs="Times New Roman"/>
          <w:sz w:val="28"/>
          <w:szCs w:val="28"/>
        </w:rPr>
        <w:t xml:space="preserve"> реестры) размещаются в государственной информационной системе Приморского края "Региональный портал государственных </w:t>
      </w:r>
      <w:r w:rsidRPr="00E47AA9">
        <w:rPr>
          <w:rFonts w:ascii="Times New Roman" w:hAnsi="Times New Roman" w:cs="Times New Roman"/>
          <w:sz w:val="28"/>
          <w:szCs w:val="28"/>
        </w:rPr>
        <w:br/>
        <w:t>и муниципальных услуг Приморского края" (далее – РПГУ)</w:t>
      </w:r>
      <w:r w:rsidRPr="00E47AA9">
        <w:rPr>
          <w:rFonts w:ascii="Times New Roman" w:hAnsi="Times New Roman" w:cs="Times New Roman"/>
          <w:sz w:val="28"/>
          <w:szCs w:val="28"/>
          <w:vertAlign w:val="superscript"/>
        </w:rPr>
        <w:footnoteReference w:id="88"/>
      </w:r>
      <w:r w:rsidRPr="00E47AA9">
        <w:rPr>
          <w:rFonts w:ascii="Times New Roman" w:hAnsi="Times New Roman" w:cs="Times New Roman"/>
          <w:sz w:val="28"/>
          <w:szCs w:val="28"/>
        </w:rPr>
        <w:t>.</w:t>
      </w:r>
    </w:p>
    <w:p w14:paraId="2383F586" w14:textId="46866A12" w:rsidR="00967A6F" w:rsidRPr="00E47AA9" w:rsidRDefault="00967A6F" w:rsidP="00967A6F">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Согласно стать</w:t>
      </w:r>
      <w:r w:rsidR="001C215C" w:rsidRPr="00E47AA9">
        <w:rPr>
          <w:rFonts w:ascii="Times New Roman" w:hAnsi="Times New Roman" w:cs="Times New Roman"/>
          <w:sz w:val="28"/>
          <w:szCs w:val="28"/>
        </w:rPr>
        <w:t>е</w:t>
      </w:r>
      <w:r w:rsidRPr="00E47AA9">
        <w:rPr>
          <w:rFonts w:ascii="Times New Roman" w:hAnsi="Times New Roman" w:cs="Times New Roman"/>
          <w:sz w:val="28"/>
          <w:szCs w:val="28"/>
        </w:rPr>
        <w:t xml:space="preserve"> 4 Закона Приморского края от 23.12.2005 № 332-КЗ "О погребении и похоронном деле в Приморском крае</w:t>
      </w:r>
      <w:proofErr w:type="gramStart"/>
      <w:r w:rsidRPr="00E47AA9">
        <w:rPr>
          <w:rFonts w:ascii="Times New Roman" w:hAnsi="Times New Roman" w:cs="Times New Roman"/>
          <w:sz w:val="28"/>
          <w:szCs w:val="28"/>
        </w:rPr>
        <w:t>"</w:t>
      </w:r>
      <w:proofErr w:type="gramEnd"/>
      <w:r w:rsidRPr="00E47AA9">
        <w:rPr>
          <w:rFonts w:ascii="Times New Roman" w:hAnsi="Times New Roman" w:cs="Times New Roman"/>
          <w:sz w:val="28"/>
          <w:szCs w:val="28"/>
        </w:rPr>
        <w:t xml:space="preserve"> утверждение порядков формирования и ведения реестров относится к полномочиям Правительства Приморского края в сфере погребения и похоронного дела. До настоящего времени соответствующие порядки не утверждены;</w:t>
      </w:r>
    </w:p>
    <w:p w14:paraId="186EED20" w14:textId="7E0B8231" w:rsidR="00967A6F" w:rsidRPr="00E47AA9" w:rsidRDefault="00967A6F" w:rsidP="00967A6F">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i/>
          <w:sz w:val="28"/>
          <w:szCs w:val="28"/>
          <w:lang w:eastAsia="ru-RU"/>
        </w:rPr>
        <w:t xml:space="preserve">строительство объектов ритуального назначения некапитального характера на общественных кладбищах, расположенных на территории муниципальных образований, и обустройство прилегающей к ним территории </w:t>
      </w:r>
      <w:r w:rsidRPr="00E47AA9">
        <w:rPr>
          <w:rFonts w:ascii="Times New Roman" w:eastAsia="Times New Roman" w:hAnsi="Times New Roman" w:cs="Times New Roman"/>
          <w:sz w:val="28"/>
          <w:szCs w:val="28"/>
          <w:lang w:eastAsia="ru-RU"/>
        </w:rPr>
        <w:t>(далее – мероприятие № 2)</w:t>
      </w:r>
      <w:r w:rsidRPr="00E47AA9">
        <w:rPr>
          <w:rFonts w:ascii="Times New Roman" w:eastAsia="Times New Roman" w:hAnsi="Times New Roman" w:cs="Times New Roman"/>
          <w:i/>
          <w:sz w:val="28"/>
          <w:szCs w:val="28"/>
          <w:lang w:eastAsia="ru-RU"/>
        </w:rPr>
        <w:t xml:space="preserve"> </w:t>
      </w:r>
      <w:r w:rsidRPr="00E47AA9">
        <w:rPr>
          <w:rFonts w:ascii="Times New Roman" w:hAnsi="Times New Roman" w:cs="Times New Roman"/>
          <w:sz w:val="28"/>
          <w:szCs w:val="28"/>
        </w:rPr>
        <w:t>– 66,71 млн рублей, или 63,01 % (план</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 105,87 млн рублей). </w:t>
      </w:r>
      <w:r w:rsidRPr="00E47AA9">
        <w:rPr>
          <w:rFonts w:ascii="Times New Roman" w:hAnsi="Times New Roman" w:cs="Times New Roman"/>
          <w:iCs/>
          <w:sz w:val="28"/>
          <w:szCs w:val="28"/>
        </w:rPr>
        <w:t>Неисполненные назначения составили 39,15 млн рублей (п</w:t>
      </w:r>
      <w:r w:rsidRPr="00E47AA9">
        <w:rPr>
          <w:rFonts w:ascii="Times New Roman" w:hAnsi="Times New Roman" w:cs="Times New Roman"/>
          <w:sz w:val="28"/>
          <w:szCs w:val="28"/>
        </w:rPr>
        <w:t>ричина</w:t>
      </w:r>
      <w:r w:rsidR="00590741"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 неисполнение подрядчиком муниципального контракта </w:t>
      </w:r>
      <w:r w:rsidRPr="00E47AA9">
        <w:rPr>
          <w:rFonts w:ascii="Times New Roman" w:hAnsi="Times New Roman" w:cs="Times New Roman"/>
          <w:sz w:val="28"/>
          <w:szCs w:val="28"/>
        </w:rPr>
        <w:br/>
        <w:t xml:space="preserve">от 04.07.2024 № 965/373-50/24 на выполнение работ по строительству объекта ритуального назначения некапитального характера на общественном кладбище "Морское" и обустройству прилегающей к нему территории, заключенного администрацией Владивостокского ГО и ООО "Горизонт-ДВ"). Постановлением Правительства Приморского края от 27.12.2024 № 943-пп </w:t>
      </w:r>
      <w:r w:rsidRPr="00E47AA9">
        <w:rPr>
          <w:rFonts w:ascii="Times New Roman" w:hAnsi="Times New Roman" w:cs="Times New Roman"/>
          <w:sz w:val="28"/>
          <w:szCs w:val="28"/>
        </w:rPr>
        <w:br/>
        <w:t xml:space="preserve">в ГП внесено изменение в части переноса срока достижения итогового результата по данному мероприятию с 31.12.2024 на 31.12.2025. </w:t>
      </w:r>
    </w:p>
    <w:p w14:paraId="728B9720" w14:textId="64AB348C" w:rsidR="00967A6F" w:rsidRPr="00E47AA9" w:rsidRDefault="00967A6F" w:rsidP="00967A6F">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Так</w:t>
      </w:r>
      <w:r w:rsidR="00590741" w:rsidRPr="00E47AA9">
        <w:rPr>
          <w:rFonts w:ascii="Times New Roman" w:eastAsia="Times New Roman" w:hAnsi="Times New Roman" w:cs="Times New Roman"/>
          <w:sz w:val="28"/>
          <w:szCs w:val="28"/>
          <w:lang w:eastAsia="ru-RU"/>
        </w:rPr>
        <w:t xml:space="preserve"> </w:t>
      </w:r>
      <w:r w:rsidR="00793621" w:rsidRPr="00E47AA9">
        <w:rPr>
          <w:rFonts w:ascii="Times New Roman" w:eastAsia="Times New Roman" w:hAnsi="Times New Roman" w:cs="Times New Roman"/>
          <w:sz w:val="28"/>
          <w:szCs w:val="28"/>
          <w:lang w:eastAsia="ru-RU"/>
        </w:rPr>
        <w:t>же,</w:t>
      </w:r>
      <w:r w:rsidRPr="00E47AA9">
        <w:rPr>
          <w:rFonts w:ascii="Times New Roman" w:eastAsia="Times New Roman" w:hAnsi="Times New Roman" w:cs="Times New Roman"/>
          <w:sz w:val="28"/>
          <w:szCs w:val="28"/>
          <w:lang w:eastAsia="ru-RU"/>
        </w:rPr>
        <w:t xml:space="preserve"> как по мероприятию № 1 соглашение о предоставлении субсидий из краевого бюджета бюджету Владивостокского ГО в рамках мероприятия заключено с нарушением срока</w:t>
      </w:r>
      <w:r w:rsidRPr="00E47AA9">
        <w:rPr>
          <w:rStyle w:val="a8"/>
          <w:rFonts w:ascii="Times New Roman" w:eastAsia="Times New Roman" w:hAnsi="Times New Roman"/>
          <w:sz w:val="28"/>
          <w:szCs w:val="28"/>
          <w:lang w:eastAsia="ru-RU"/>
        </w:rPr>
        <w:footnoteReference w:id="89"/>
      </w:r>
      <w:r w:rsidR="00AC20F8"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w:t>
      </w:r>
      <w:r w:rsidR="00AC20F8" w:rsidRPr="00E47AA9">
        <w:rPr>
          <w:rFonts w:ascii="Times New Roman" w:eastAsia="Times New Roman" w:hAnsi="Times New Roman" w:cs="Times New Roman"/>
          <w:sz w:val="28"/>
          <w:szCs w:val="28"/>
          <w:lang w:eastAsia="ru-RU"/>
        </w:rPr>
        <w:t xml:space="preserve">что </w:t>
      </w:r>
      <w:r w:rsidRPr="00E47AA9">
        <w:rPr>
          <w:rFonts w:ascii="Times New Roman" w:eastAsia="Times New Roman" w:hAnsi="Times New Roman" w:cs="Times New Roman"/>
          <w:sz w:val="28"/>
          <w:szCs w:val="28"/>
          <w:lang w:eastAsia="ru-RU"/>
        </w:rPr>
        <w:t>могло повлиять на исполнение мероприятия № 2.</w:t>
      </w:r>
    </w:p>
    <w:p w14:paraId="703190CC" w14:textId="77777777" w:rsidR="00967A6F" w:rsidRPr="00E47AA9" w:rsidRDefault="00967A6F" w:rsidP="00967A6F">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lastRenderedPageBreak/>
        <w:t>Контрольно-счетная палата отмечает следующее.</w:t>
      </w:r>
    </w:p>
    <w:p w14:paraId="388CCAC9" w14:textId="77777777" w:rsidR="00967A6F" w:rsidRPr="00E47AA9" w:rsidRDefault="00967A6F" w:rsidP="00967A6F">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Министерством в представленной информации и материалах </w:t>
      </w:r>
      <w:r w:rsidRPr="00E47AA9">
        <w:rPr>
          <w:rFonts w:ascii="Times New Roman" w:hAnsi="Times New Roman" w:cs="Times New Roman"/>
          <w:sz w:val="28"/>
          <w:szCs w:val="28"/>
        </w:rPr>
        <w:br/>
        <w:t xml:space="preserve">не приводятся данные о степени достижения результатов от реализации мероприятий подпрограммы, что делает невозможным оценить результаты (эффективность) реализации подпрограммы в 2024 году. </w:t>
      </w:r>
    </w:p>
    <w:p w14:paraId="0C4C516C" w14:textId="28882DDB" w:rsidR="00967A6F" w:rsidRPr="00E47AA9" w:rsidRDefault="00967A6F" w:rsidP="00967A6F">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sz w:val="28"/>
          <w:szCs w:val="28"/>
          <w:lang w:eastAsia="ru-RU"/>
        </w:rPr>
        <w:t>Также отсутствует связь мероприятий подпрограммы "Обеспечение качества ритуальных услуг на территории Приморского края" (далее – подпрограмма) с показателями ГП: "Индекс качества городской среды" и "Количество городов с благоприятной городской средой", так как в П</w:t>
      </w:r>
      <w:r w:rsidRPr="00E47AA9">
        <w:rPr>
          <w:rFonts w:ascii="Times New Roman" w:hAnsi="Times New Roman" w:cs="Times New Roman"/>
          <w:sz w:val="28"/>
          <w:szCs w:val="28"/>
        </w:rPr>
        <w:t>еречне индикаторов, используемых в соответствии с Методикой формирования индекса качества городской среды (далее – Методика), утвержденной распоряжением Правительства РФ от 23.03.2019 № 510-р для расчета индекса качества городской среды</w:t>
      </w:r>
      <w:r w:rsidR="00590741" w:rsidRPr="00E47AA9">
        <w:rPr>
          <w:rFonts w:ascii="Times New Roman" w:hAnsi="Times New Roman" w:cs="Times New Roman"/>
          <w:sz w:val="28"/>
          <w:szCs w:val="28"/>
        </w:rPr>
        <w:t>,</w:t>
      </w:r>
      <w:r w:rsidRPr="00E47AA9">
        <w:rPr>
          <w:rFonts w:ascii="Times New Roman" w:hAnsi="Times New Roman" w:cs="Times New Roman"/>
          <w:sz w:val="28"/>
          <w:szCs w:val="28"/>
        </w:rPr>
        <w:t xml:space="preserve"> отсутствуют индикаторы</w:t>
      </w:r>
      <w:r w:rsidR="00590741" w:rsidRPr="00E47AA9">
        <w:rPr>
          <w:rFonts w:ascii="Times New Roman" w:hAnsi="Times New Roman" w:cs="Times New Roman"/>
          <w:sz w:val="28"/>
          <w:szCs w:val="28"/>
        </w:rPr>
        <w:t>,</w:t>
      </w:r>
      <w:r w:rsidRPr="00E47AA9">
        <w:rPr>
          <w:rFonts w:ascii="Times New Roman" w:hAnsi="Times New Roman" w:cs="Times New Roman"/>
          <w:sz w:val="28"/>
          <w:szCs w:val="28"/>
        </w:rPr>
        <w:t xml:space="preserve"> на которые могут оказать влияние результаты использования субсидий, выделяемых из краевого бюджета на реализацию мероприятий подпрограммы. </w:t>
      </w:r>
    </w:p>
    <w:p w14:paraId="66DC4BE3" w14:textId="386076F8" w:rsidR="00967A6F" w:rsidRPr="00E47AA9" w:rsidRDefault="00967A6F" w:rsidP="00967A6F">
      <w:pPr>
        <w:autoSpaceDE w:val="0"/>
        <w:autoSpaceDN w:val="0"/>
        <w:adjustRightInd w:val="0"/>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Методика применяется только при определении индекса качества городов, </w:t>
      </w:r>
      <w:r w:rsidR="00F022E0" w:rsidRPr="00E47AA9">
        <w:rPr>
          <w:rFonts w:ascii="Times New Roman" w:hAnsi="Times New Roman" w:cs="Times New Roman"/>
          <w:sz w:val="28"/>
          <w:szCs w:val="28"/>
        </w:rPr>
        <w:t>тогда</w:t>
      </w:r>
      <w:r w:rsidRPr="00E47AA9">
        <w:rPr>
          <w:rFonts w:ascii="Times New Roman" w:hAnsi="Times New Roman" w:cs="Times New Roman"/>
          <w:sz w:val="28"/>
          <w:szCs w:val="28"/>
        </w:rPr>
        <w:t xml:space="preserve"> как мероприятия подпрограммы направлены </w:t>
      </w:r>
      <w:r w:rsidRPr="00E47AA9">
        <w:rPr>
          <w:rFonts w:ascii="Times New Roman" w:hAnsi="Times New Roman" w:cs="Times New Roman"/>
          <w:sz w:val="28"/>
          <w:szCs w:val="28"/>
        </w:rPr>
        <w:br/>
        <w:t xml:space="preserve">на реализацию положений законодательства в сфере погребения </w:t>
      </w:r>
      <w:r w:rsidRPr="00E47AA9">
        <w:rPr>
          <w:rFonts w:ascii="Times New Roman" w:hAnsi="Times New Roman" w:cs="Times New Roman"/>
          <w:sz w:val="28"/>
          <w:szCs w:val="28"/>
        </w:rPr>
        <w:br/>
        <w:t>и похоронного дела</w:t>
      </w:r>
      <w:r w:rsidRPr="00E47AA9">
        <w:rPr>
          <w:rFonts w:ascii="Times New Roman" w:hAnsi="Times New Roman" w:cs="Times New Roman"/>
          <w:sz w:val="28"/>
          <w:szCs w:val="28"/>
          <w:vertAlign w:val="superscript"/>
        </w:rPr>
        <w:footnoteReference w:id="90"/>
      </w:r>
      <w:r w:rsidRPr="00E47AA9">
        <w:rPr>
          <w:rFonts w:ascii="Times New Roman" w:hAnsi="Times New Roman" w:cs="Times New Roman"/>
          <w:sz w:val="28"/>
          <w:szCs w:val="28"/>
        </w:rPr>
        <w:t xml:space="preserve">, Стратегии развития строительной отрасли и жилищно-коммунального хозяйства Российской Федерации на период до 2030 года </w:t>
      </w:r>
      <w:r w:rsidRPr="00E47AA9">
        <w:rPr>
          <w:rFonts w:ascii="Times New Roman" w:hAnsi="Times New Roman" w:cs="Times New Roman"/>
          <w:sz w:val="28"/>
          <w:szCs w:val="28"/>
        </w:rPr>
        <w:br/>
        <w:t>с прогнозом до 2035 года</w:t>
      </w:r>
      <w:r w:rsidRPr="00E47AA9">
        <w:rPr>
          <w:rFonts w:ascii="Times New Roman" w:hAnsi="Times New Roman" w:cs="Times New Roman"/>
          <w:sz w:val="28"/>
          <w:szCs w:val="28"/>
          <w:vertAlign w:val="superscript"/>
        </w:rPr>
        <w:footnoteReference w:id="91"/>
      </w:r>
      <w:r w:rsidRPr="00E47AA9">
        <w:rPr>
          <w:rFonts w:ascii="Times New Roman" w:hAnsi="Times New Roman" w:cs="Times New Roman"/>
          <w:sz w:val="28"/>
          <w:szCs w:val="28"/>
        </w:rPr>
        <w:t xml:space="preserve"> и Национального плана ("дорожной карты") развития конкуренции в Российской Федерации на 2021-2025 годы</w:t>
      </w:r>
      <w:r w:rsidRPr="00E47AA9">
        <w:rPr>
          <w:rFonts w:ascii="Times New Roman" w:hAnsi="Times New Roman" w:cs="Times New Roman"/>
          <w:sz w:val="28"/>
          <w:szCs w:val="28"/>
          <w:vertAlign w:val="superscript"/>
        </w:rPr>
        <w:footnoteReference w:id="92"/>
      </w:r>
      <w:r w:rsidRPr="00E47AA9">
        <w:rPr>
          <w:rFonts w:ascii="Times New Roman" w:hAnsi="Times New Roman" w:cs="Times New Roman"/>
          <w:sz w:val="28"/>
          <w:szCs w:val="28"/>
        </w:rPr>
        <w:t xml:space="preserve"> (далее – Стратегии развития, Национальный план) на территории всего Приморского края.</w:t>
      </w:r>
    </w:p>
    <w:p w14:paraId="2C583163" w14:textId="4896B65E" w:rsidR="00967A6F" w:rsidRPr="00E47AA9" w:rsidRDefault="00967A6F" w:rsidP="00967A6F">
      <w:pPr>
        <w:autoSpaceDE w:val="0"/>
        <w:autoSpaceDN w:val="0"/>
        <w:adjustRightInd w:val="0"/>
        <w:spacing w:after="0" w:line="240" w:lineRule="auto"/>
        <w:ind w:firstLine="709"/>
        <w:jc w:val="both"/>
        <w:rPr>
          <w:rFonts w:ascii="Times New Roman" w:hAnsi="Times New Roman" w:cs="Times New Roman"/>
          <w:sz w:val="26"/>
          <w:szCs w:val="26"/>
        </w:rPr>
      </w:pPr>
      <w:r w:rsidRPr="00E47AA9">
        <w:rPr>
          <w:rFonts w:ascii="Times New Roman" w:eastAsia="Times New Roman" w:hAnsi="Times New Roman" w:cs="Times New Roman"/>
          <w:sz w:val="28"/>
          <w:szCs w:val="28"/>
          <w:lang w:eastAsia="ru-RU"/>
        </w:rPr>
        <w:t xml:space="preserve">В свою очередь рекомендуем министерству результаты исполнения мероприятий подпрограммы вывести в отдельные (индивидуальные) показатели ГП, обеспечив синхронизацию показателей ГП с задачами и результатами осуществления мероприятий в целях повышения доступности услуг по погребению и информации о гарантированном перечне услуг по погребению (в том числе через электронные сервисы), установленными </w:t>
      </w:r>
      <w:r w:rsidRPr="00E47AA9">
        <w:rPr>
          <w:rFonts w:ascii="Times New Roman" w:hAnsi="Times New Roman" w:cs="Times New Roman"/>
          <w:sz w:val="28"/>
          <w:szCs w:val="28"/>
        </w:rPr>
        <w:t>Стратегией развития строительной отрасли и жилищно-коммунального хозяйства и Национальным планом.</w:t>
      </w:r>
      <w:r w:rsidR="00B85F55" w:rsidRPr="00E47AA9">
        <w:rPr>
          <w:rFonts w:ascii="Times New Roman" w:hAnsi="Times New Roman" w:cs="Times New Roman"/>
          <w:sz w:val="28"/>
          <w:szCs w:val="28"/>
        </w:rPr>
        <w:t xml:space="preserve"> </w:t>
      </w:r>
    </w:p>
    <w:p w14:paraId="4E6B6859" w14:textId="77777777" w:rsidR="00A86B54" w:rsidRPr="00E47AA9" w:rsidRDefault="00A86B54" w:rsidP="00A86B54">
      <w:pPr>
        <w:spacing w:after="0" w:line="240" w:lineRule="auto"/>
        <w:ind w:firstLine="709"/>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i/>
          <w:noProof/>
          <w:sz w:val="28"/>
          <w:szCs w:val="28"/>
          <w:lang w:eastAsia="ru-RU"/>
          <w14:ligatures w14:val="standardContextual"/>
        </w:rPr>
        <w:lastRenderedPageBreak/>
        <mc:AlternateContent>
          <mc:Choice Requires="wpg">
            <w:drawing>
              <wp:anchor distT="0" distB="0" distL="114300" distR="114300" simplePos="0" relativeHeight="251696128" behindDoc="1" locked="0" layoutInCell="1" allowOverlap="1" wp14:anchorId="4FC93C6F" wp14:editId="79CCA1A2">
                <wp:simplePos x="0" y="0"/>
                <wp:positionH relativeFrom="column">
                  <wp:posOffset>-571006</wp:posOffset>
                </wp:positionH>
                <wp:positionV relativeFrom="paragraph">
                  <wp:posOffset>158589</wp:posOffset>
                </wp:positionV>
                <wp:extent cx="1828800" cy="1419860"/>
                <wp:effectExtent l="95250" t="95250" r="0" b="8890"/>
                <wp:wrapTight wrapText="bothSides">
                  <wp:wrapPolygon edited="0">
                    <wp:start x="-900" y="-1449"/>
                    <wp:lineTo x="-1125" y="18547"/>
                    <wp:lineTo x="1125" y="21445"/>
                    <wp:lineTo x="21375" y="21445"/>
                    <wp:lineTo x="21375" y="3767"/>
                    <wp:lineTo x="20475" y="-580"/>
                    <wp:lineTo x="20475" y="-1449"/>
                    <wp:lineTo x="-900" y="-1449"/>
                  </wp:wrapPolygon>
                </wp:wrapTight>
                <wp:docPr id="13" name="Группа 3"/>
                <wp:cNvGraphicFramePr/>
                <a:graphic xmlns:a="http://schemas.openxmlformats.org/drawingml/2006/main">
                  <a:graphicData uri="http://schemas.microsoft.com/office/word/2010/wordprocessingGroup">
                    <wpg:wgp>
                      <wpg:cNvGrpSpPr/>
                      <wpg:grpSpPr>
                        <a:xfrm>
                          <a:off x="0" y="0"/>
                          <a:ext cx="1828800" cy="1419860"/>
                          <a:chOff x="0" y="0"/>
                          <a:chExt cx="1791855" cy="1397697"/>
                        </a:xfrm>
                      </wpg:grpSpPr>
                      <wps:wsp>
                        <wps:cNvPr id="14" name="Прямоугольник 1"/>
                        <wps:cNvSpPr/>
                        <wps:spPr>
                          <a:xfrm>
                            <a:off x="0" y="0"/>
                            <a:ext cx="1676401" cy="1266825"/>
                          </a:xfrm>
                          <a:prstGeom prst="rect">
                            <a:avLst/>
                          </a:prstGeom>
                          <a:gradFill rotWithShape="1">
                            <a:gsLst>
                              <a:gs pos="0">
                                <a:srgbClr val="0F9ED5">
                                  <a:lumMod val="110000"/>
                                  <a:satMod val="105000"/>
                                  <a:tint val="67000"/>
                                </a:srgbClr>
                              </a:gs>
                              <a:gs pos="50000">
                                <a:srgbClr val="0F9ED5">
                                  <a:lumMod val="105000"/>
                                  <a:satMod val="103000"/>
                                  <a:tint val="73000"/>
                                </a:srgbClr>
                              </a:gs>
                              <a:gs pos="100000">
                                <a:srgbClr val="0F9ED5">
                                  <a:lumMod val="105000"/>
                                  <a:satMod val="109000"/>
                                  <a:tint val="81000"/>
                                </a:srgbClr>
                              </a:gs>
                            </a:gsLst>
                            <a:lin ang="5400000" scaled="0"/>
                          </a:gradFill>
                          <a:ln w="6350" cap="flat" cmpd="sng" algn="ctr">
                            <a:noFill/>
                            <a:prstDash val="solid"/>
                            <a:miter lim="800000"/>
                          </a:ln>
                          <a:effectLst>
                            <a:outerShdw blurRad="50800" dist="38100" dir="13500000" algn="b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Прямоугольник 2"/>
                        <wps:cNvSpPr/>
                        <wps:spPr>
                          <a:xfrm>
                            <a:off x="123825" y="104777"/>
                            <a:ext cx="1668030" cy="1292920"/>
                          </a:xfrm>
                          <a:prstGeom prst="rect">
                            <a:avLst/>
                          </a:prstGeom>
                          <a:solidFill>
                            <a:sysClr val="window" lastClr="FFFFFF">
                              <a:lumMod val="95000"/>
                            </a:sysClr>
                          </a:solidFill>
                          <a:ln w="12700" cap="flat" cmpd="sng" algn="ctr">
                            <a:noFill/>
                            <a:prstDash val="solid"/>
                            <a:miter lim="800000"/>
                          </a:ln>
                          <a:effectLst/>
                        </wps:spPr>
                        <wps:txbx>
                          <w:txbxContent>
                            <w:p w14:paraId="6402A315" w14:textId="77777777" w:rsidR="00F62D77" w:rsidRPr="00FC61F2" w:rsidRDefault="00F62D77" w:rsidP="00A86B54">
                              <w:pPr>
                                <w:spacing w:after="0" w:line="240" w:lineRule="auto"/>
                                <w:jc w:val="center"/>
                                <w:rPr>
                                  <w:rFonts w:ascii="Times New Roman" w:eastAsia="Times New Roman" w:hAnsi="Times New Roman" w:cs="Times New Roman"/>
                                  <w:b/>
                                  <w:bCs/>
                                  <w:iCs/>
                                  <w:sz w:val="24"/>
                                  <w:szCs w:val="24"/>
                                  <w:lang w:eastAsia="ru-RU"/>
                                </w:rPr>
                              </w:pPr>
                              <w:r>
                                <w:rPr>
                                  <w:rFonts w:ascii="Times New Roman" w:eastAsia="Times New Roman" w:hAnsi="Times New Roman" w:cs="Times New Roman"/>
                                  <w:b/>
                                  <w:bCs/>
                                  <w:iCs/>
                                  <w:color w:val="0D0D0D" w:themeColor="text1" w:themeTint="F2"/>
                                  <w:sz w:val="23"/>
                                  <w:szCs w:val="23"/>
                                  <w:lang w:eastAsia="ru-RU"/>
                                </w:rPr>
                                <w:t>Дорожный фонд Приморского края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C93C6F" id="_x0000_s1039" style="position:absolute;left:0;text-align:left;margin-left:-44.95pt;margin-top:12.5pt;width:2in;height:111.8pt;z-index:-251620352;mso-width-relative:margin;mso-height-relative:margin" coordsize="17918,13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">
                <v:rect id="Прямоугольник 1" o:spid="_x0000_s1040" style="position:absolute;width:16764;height:126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anx8QA&#10;AADbAAAADwAAAGRycy9kb3ducmV2LnhtbERPTWvCQBC9F/oflin0VjcJxUh0FVsoFAqlxiB6G7PT&#10;JJidDdmtRn+9WxC8zeN9zmwxmFYcqXeNZQXxKAJBXFrdcKWgWH+8TEA4j6yxtUwKzuRgMX98mGGm&#10;7YlXdMx9JUIIuwwV1N53mZSurMmgG9mOOHC/tjfoA+wrqXs8hXDTyiSKxtJgw6Ghxo7eayoP+Z9R&#10;cEn25fd2Mo782y49FOnmp/iKl0o9Pw3LKQhPg7+Lb+5PHea/wv8v4QA5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mp8fEAAAA2wAAAA8AAAAAAAAAAAAAAAAAmAIAAGRycy9k&#10;b3ducmV2LnhtbFBLBQYAAAAABAAEAPUAAACJAwAAAAA=&#10;" fillcolor="#9ccff5" stroked="f" strokeweight=".5pt">
                  <v:fill color2="#79beed" rotate="t" colors="0 #9ccff5;.5 #8fc4eb;1 #79beed" focus="100%" type="gradient">
                    <o:fill v:ext="view" type="gradientUnscaled"/>
                  </v:fill>
                  <v:shadow on="t" color="black" opacity="26214f" origin=".5,.5" offset="-.74836mm,-.74836mm"/>
                </v:rect>
                <v:rect id="Прямоугольник 2" o:spid="_x0000_s1041" style="position:absolute;left:1238;top:1047;width:16680;height:129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v7f8MA&#10;AADbAAAADwAAAGRycy9kb3ducmV2LnhtbERPTWvCQBC9C/0PyxS86aZCRVJXEWtA6KVqQ/U2ZMck&#10;mJ1Ns2uM/npXEHqbx/uc6bwzlWipcaVlBW/DCARxZnXJuYKfXTKYgHAeWWNlmRRcycF89tKbYqzt&#10;hTfUbn0uQgi7GBUU3texlC4ryKAb2po4cEfbGPQBNrnUDV5CuKnkKIrG0mDJoaHAmpYFZaft2Siw&#10;h3b3pZPklKa3z9/vyWqf/h3WSvVfu8UHCE+d/xc/3Wsd5r/D45dwgJ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v7f8MAAADbAAAADwAAAAAAAAAAAAAAAACYAgAAZHJzL2Rv&#10;d25yZXYueG1sUEsFBgAAAAAEAAQA9QAAAIgDAAAAAA==&#10;" fillcolor="#f2f2f2" stroked="f" strokeweight="1pt">
                  <v:textbox>
                    <w:txbxContent>
                      <w:p w14:paraId="6402A315" w14:textId="77777777" w:rsidR="00F62D77" w:rsidRPr="00FC61F2" w:rsidRDefault="00F62D77" w:rsidP="00A86B54">
                        <w:pPr>
                          <w:spacing w:after="0" w:line="240" w:lineRule="auto"/>
                          <w:jc w:val="center"/>
                          <w:rPr>
                            <w:rFonts w:ascii="Times New Roman" w:eastAsia="Times New Roman" w:hAnsi="Times New Roman" w:cs="Times New Roman"/>
                            <w:b/>
                            <w:bCs/>
                            <w:iCs/>
                            <w:sz w:val="24"/>
                            <w:szCs w:val="24"/>
                            <w:lang w:eastAsia="ru-RU"/>
                          </w:rPr>
                        </w:pPr>
                        <w:r>
                          <w:rPr>
                            <w:rFonts w:ascii="Times New Roman" w:eastAsia="Times New Roman" w:hAnsi="Times New Roman" w:cs="Times New Roman"/>
                            <w:b/>
                            <w:bCs/>
                            <w:iCs/>
                            <w:color w:val="0D0D0D" w:themeColor="text1" w:themeTint="F2"/>
                            <w:sz w:val="23"/>
                            <w:szCs w:val="23"/>
                            <w:lang w:eastAsia="ru-RU"/>
                          </w:rPr>
                          <w:t>Дорожный фонд Приморского края</w:t>
                        </w:r>
                      </w:p>
                    </w:txbxContent>
                  </v:textbox>
                </v:rect>
                <w10:wrap type="tight"/>
              </v:group>
            </w:pict>
          </mc:Fallback>
        </mc:AlternateContent>
      </w:r>
    </w:p>
    <w:p w14:paraId="098EFFD1" w14:textId="77777777" w:rsidR="00A86B54" w:rsidRPr="00E47AA9" w:rsidRDefault="00A86B54" w:rsidP="00515109">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5.3. Дорожный фонд Приморского края</w:t>
      </w:r>
    </w:p>
    <w:p w14:paraId="4DF8B477" w14:textId="77777777" w:rsidR="00A86B54" w:rsidRPr="00E47AA9" w:rsidRDefault="00A86B54" w:rsidP="00A86B54">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b/>
          <w:bCs/>
          <w:sz w:val="28"/>
          <w:szCs w:val="28"/>
        </w:rPr>
        <w:t>1.</w:t>
      </w:r>
      <w:r w:rsidRPr="00E47AA9">
        <w:rPr>
          <w:rFonts w:ascii="Times New Roman" w:eastAsia="Calibri" w:hAnsi="Times New Roman" w:cs="Times New Roman"/>
          <w:sz w:val="28"/>
          <w:szCs w:val="28"/>
        </w:rPr>
        <w:t xml:space="preserve"> На начало 2024 года положительная разница (остаток) между фактически поступившим в 2024 году и прогнозируемым объемом доходов дорожного фонда Приморского края (далее – дорожный фонд) составила 1560,46 млн рублей. </w:t>
      </w:r>
    </w:p>
    <w:p w14:paraId="59301444" w14:textId="46888A2F" w:rsidR="00A86B54" w:rsidRPr="00E47AA9" w:rsidRDefault="00A86B54" w:rsidP="00AE7033">
      <w:pPr>
        <w:autoSpaceDE w:val="0"/>
        <w:autoSpaceDN w:val="0"/>
        <w:adjustRightInd w:val="0"/>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В 2024 году фактически поступило доходов дорожного фонда 19351,76 млн рублей, или 100,72 % (план на 2024 год 19212,76 млн рублей). </w:t>
      </w:r>
    </w:p>
    <w:p w14:paraId="24866925" w14:textId="527451EE" w:rsidR="00A86B54" w:rsidRPr="00E47AA9" w:rsidRDefault="00A86B54" w:rsidP="00A86B54">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В формировании дорожного фонда Приморского края в 2024 году основную долю – 82,13 % (в 2023 году – 82,39 %) занимают </w:t>
      </w:r>
      <w:r w:rsidRPr="00E47AA9">
        <w:rPr>
          <w:rFonts w:ascii="Times New Roman" w:eastAsia="Calibri" w:hAnsi="Times New Roman" w:cs="Times New Roman"/>
          <w:i/>
          <w:sz w:val="28"/>
          <w:szCs w:val="28"/>
        </w:rPr>
        <w:t xml:space="preserve">налоговые и неналоговые доходы, </w:t>
      </w:r>
      <w:r w:rsidRPr="00E47AA9">
        <w:rPr>
          <w:rFonts w:ascii="Times New Roman" w:eastAsia="Calibri" w:hAnsi="Times New Roman" w:cs="Times New Roman"/>
          <w:sz w:val="28"/>
          <w:szCs w:val="28"/>
        </w:rPr>
        <w:t>которые поступили</w:t>
      </w:r>
      <w:r w:rsidRPr="00E47AA9">
        <w:rPr>
          <w:rFonts w:ascii="Times New Roman" w:eastAsia="Calibri" w:hAnsi="Times New Roman" w:cs="Times New Roman"/>
          <w:i/>
          <w:sz w:val="28"/>
          <w:szCs w:val="28"/>
        </w:rPr>
        <w:t xml:space="preserve"> </w:t>
      </w:r>
      <w:r w:rsidRPr="00E47AA9">
        <w:rPr>
          <w:rFonts w:ascii="Times New Roman" w:eastAsia="Calibri" w:hAnsi="Times New Roman" w:cs="Times New Roman"/>
          <w:sz w:val="28"/>
          <w:szCs w:val="28"/>
        </w:rPr>
        <w:t xml:space="preserve">в сумме 15894,52 млн рублей. Состав налоговых и неналоговых доходов обеспечен в основном: </w:t>
      </w:r>
    </w:p>
    <w:p w14:paraId="537C6E42" w14:textId="0BB1012A" w:rsidR="00A86B54" w:rsidRPr="00E47AA9" w:rsidRDefault="00A86B54" w:rsidP="00A86B54">
      <w:pPr>
        <w:autoSpaceDE w:val="0"/>
        <w:autoSpaceDN w:val="0"/>
        <w:adjustRightInd w:val="0"/>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доходами от акцизов на автомобильный бензин, прямогонный бензин, дизельное топливо, моторные масла для дизельных и (или) карбюраторных (</w:t>
      </w:r>
      <w:proofErr w:type="spellStart"/>
      <w:r w:rsidRPr="00E47AA9">
        <w:rPr>
          <w:rFonts w:ascii="Times New Roman" w:eastAsia="Calibri" w:hAnsi="Times New Roman" w:cs="Times New Roman"/>
          <w:sz w:val="28"/>
          <w:szCs w:val="28"/>
        </w:rPr>
        <w:t>инжекторных</w:t>
      </w:r>
      <w:proofErr w:type="spellEnd"/>
      <w:r w:rsidRPr="00E47AA9">
        <w:rPr>
          <w:rFonts w:ascii="Times New Roman" w:eastAsia="Calibri" w:hAnsi="Times New Roman" w:cs="Times New Roman"/>
          <w:sz w:val="28"/>
          <w:szCs w:val="28"/>
        </w:rPr>
        <w:t>) двигателей, производимые на территории Российской Федерации, подлежащих зачислению в краевой бюджет, – 11645,39 млн рублей, или 100,15 % (план на 2024 год 11627,84 млн рублей);</w:t>
      </w:r>
    </w:p>
    <w:p w14:paraId="679EAE32" w14:textId="6BD1731B" w:rsidR="00A86B54" w:rsidRPr="00E47AA9" w:rsidRDefault="00A86B54" w:rsidP="00A86B54">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транспортным налогом – 2471,33 млн рублей, или 105,51 % (план</w:t>
      </w:r>
      <w:r w:rsidR="00E02DD2"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 xml:space="preserve"> 2342,24 млн рублей);</w:t>
      </w:r>
    </w:p>
    <w:p w14:paraId="4D8D944C" w14:textId="55C3D83A" w:rsidR="00A86B54" w:rsidRPr="00E47AA9" w:rsidRDefault="00A86B54" w:rsidP="00A86B54">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административными штрафами, установленными главой 12 Кодекса Российской Федерации об административных правонарушениях – 1713,83 млн рублей, или 105,12 % (план </w:t>
      </w:r>
      <w:r w:rsidR="00E02DD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1630,38 млн рублей);</w:t>
      </w:r>
    </w:p>
    <w:p w14:paraId="4B7F032C" w14:textId="084B8F44" w:rsidR="00A86B54" w:rsidRPr="00E47AA9" w:rsidRDefault="00A86B54" w:rsidP="00A86B54">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штрафами, неустойками, пенями, уплаченными в случае просрочки исполнения поставщиком (подрядчиком) обязательств, предусмотренных государственным контрактом, заключенным государственным органом, казенным учреждением – 55,02 млн рублей, или 104,83 % (план </w:t>
      </w:r>
      <w:r w:rsidR="00E02DD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52,49 млн рублей);</w:t>
      </w:r>
    </w:p>
    <w:p w14:paraId="62A98779" w14:textId="0B199660" w:rsidR="00A86B54" w:rsidRPr="00E47AA9" w:rsidRDefault="00A86B54" w:rsidP="00A86B54">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платежами, уплачиваемыми в целях возмещения вреда, причиняемого автомобильным дорогам регионального или межмуниципального значения транспортными средствами, осуществляющими перевозки тяжеловесных грузов и (или) крупногабаритных грузов</w:t>
      </w:r>
      <w:r w:rsidR="00F022E0"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 3,45 млн рублей, или 110,25 % (3,13 млн рублей);</w:t>
      </w:r>
    </w:p>
    <w:p w14:paraId="1CBF1AA8" w14:textId="273391F5" w:rsidR="00A86B54" w:rsidRPr="00E47AA9" w:rsidRDefault="00A86B54" w:rsidP="00A86B54">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доходами от денежных взысканий (штрафов), поступающими в счет погашения задолженности, образовавшейся до 01.01.2020, подлежащими зачислению в бюджет субъекта Российской Федерации по нормативам, действовавшим в 2019 году</w:t>
      </w:r>
      <w:r w:rsidR="00F022E0"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0,80 млн рублей, или 107,41 % (0,75 млн рублей).</w:t>
      </w:r>
    </w:p>
    <w:p w14:paraId="6A6E4F82" w14:textId="5B2EA317" w:rsidR="00A86B54" w:rsidRPr="00E47AA9" w:rsidRDefault="00A86B54" w:rsidP="00A86B54">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На долю</w:t>
      </w:r>
      <w:r w:rsidRPr="00E47AA9">
        <w:rPr>
          <w:rFonts w:ascii="Times New Roman" w:eastAsia="Calibri" w:hAnsi="Times New Roman" w:cs="Times New Roman"/>
          <w:i/>
          <w:sz w:val="28"/>
          <w:szCs w:val="28"/>
        </w:rPr>
        <w:t xml:space="preserve"> межбюджетных трансфертов из федерального бюджета</w:t>
      </w:r>
      <w:r w:rsidRPr="00E47AA9">
        <w:rPr>
          <w:rFonts w:ascii="Times New Roman" w:eastAsia="Calibri" w:hAnsi="Times New Roman" w:cs="Times New Roman"/>
          <w:sz w:val="28"/>
          <w:szCs w:val="28"/>
        </w:rPr>
        <w:t xml:space="preserve"> в поступивших доходах дорожного фонда Приморского края приходится 17,87 %. Сумма поступлений в 2024 году составила 3457,24 млн рублей (в 2023 году – 2982,08 млн рублей), или 97,34 % (план на 2024 год </w:t>
      </w:r>
      <w:r w:rsidR="00F022E0"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3551,65 млн рублей).</w:t>
      </w:r>
    </w:p>
    <w:p w14:paraId="375AC352" w14:textId="77777777" w:rsidR="00A86B54" w:rsidRPr="00E47AA9" w:rsidRDefault="00A86B54" w:rsidP="00A86B54">
      <w:pPr>
        <w:autoSpaceDE w:val="0"/>
        <w:autoSpaceDN w:val="0"/>
        <w:adjustRightInd w:val="0"/>
        <w:spacing w:after="0" w:line="240" w:lineRule="auto"/>
        <w:ind w:firstLine="709"/>
        <w:jc w:val="center"/>
        <w:rPr>
          <w:rFonts w:ascii="Times New Roman" w:eastAsia="Calibri" w:hAnsi="Times New Roman" w:cs="Times New Roman"/>
          <w:b/>
          <w:sz w:val="28"/>
          <w:szCs w:val="28"/>
        </w:rPr>
      </w:pPr>
      <w:r w:rsidRPr="00E47AA9">
        <w:rPr>
          <w:rFonts w:ascii="Times New Roman" w:eastAsia="Calibri" w:hAnsi="Times New Roman" w:cs="Times New Roman"/>
          <w:b/>
          <w:sz w:val="28"/>
          <w:szCs w:val="28"/>
        </w:rPr>
        <w:lastRenderedPageBreak/>
        <w:t>Структура источников формирования дорожного фонда</w:t>
      </w:r>
    </w:p>
    <w:p w14:paraId="3003E008" w14:textId="77777777" w:rsidR="00A86B54" w:rsidRPr="00E47AA9" w:rsidRDefault="00A86B54" w:rsidP="00A86B54">
      <w:pPr>
        <w:autoSpaceDE w:val="0"/>
        <w:autoSpaceDN w:val="0"/>
        <w:adjustRightInd w:val="0"/>
        <w:spacing w:after="0" w:line="240" w:lineRule="auto"/>
        <w:ind w:firstLine="709"/>
        <w:jc w:val="center"/>
        <w:rPr>
          <w:rFonts w:ascii="Times New Roman" w:eastAsia="Calibri" w:hAnsi="Times New Roman" w:cs="Times New Roman"/>
          <w:b/>
          <w:sz w:val="28"/>
          <w:szCs w:val="28"/>
        </w:rPr>
      </w:pPr>
      <w:r w:rsidRPr="00E47AA9">
        <w:rPr>
          <w:rFonts w:ascii="Times New Roman" w:eastAsia="Calibri" w:hAnsi="Times New Roman" w:cs="Times New Roman"/>
          <w:b/>
          <w:sz w:val="28"/>
          <w:szCs w:val="28"/>
        </w:rPr>
        <w:t>в 2024 году</w:t>
      </w:r>
    </w:p>
    <w:p w14:paraId="1FB65213" w14:textId="77777777" w:rsidR="00A86B54" w:rsidRPr="00E47AA9" w:rsidRDefault="00A86B54" w:rsidP="00A86B54">
      <w:pPr>
        <w:autoSpaceDE w:val="0"/>
        <w:autoSpaceDN w:val="0"/>
        <w:adjustRightInd w:val="0"/>
        <w:spacing w:after="0" w:line="240" w:lineRule="auto"/>
        <w:jc w:val="center"/>
        <w:rPr>
          <w:rFonts w:ascii="Times New Roman" w:eastAsia="Calibri" w:hAnsi="Times New Roman" w:cs="Times New Roman"/>
          <w:b/>
          <w:bCs/>
          <w:sz w:val="28"/>
          <w:szCs w:val="28"/>
        </w:rPr>
      </w:pPr>
      <w:r w:rsidRPr="00E47AA9">
        <w:rPr>
          <w:noProof/>
          <w:lang w:eastAsia="ru-RU"/>
        </w:rPr>
        <w:drawing>
          <wp:inline distT="0" distB="0" distL="0" distR="0" wp14:anchorId="4DD3D812" wp14:editId="5315002E">
            <wp:extent cx="5894516" cy="4629785"/>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0775B1A" w14:textId="77777777" w:rsidR="00A86B54" w:rsidRPr="00E47AA9" w:rsidRDefault="00A86B54" w:rsidP="00A86B54">
      <w:pPr>
        <w:autoSpaceDE w:val="0"/>
        <w:autoSpaceDN w:val="0"/>
        <w:adjustRightInd w:val="0"/>
        <w:spacing w:after="0" w:line="240" w:lineRule="auto"/>
        <w:ind w:firstLine="680"/>
        <w:jc w:val="both"/>
        <w:rPr>
          <w:rFonts w:ascii="Times New Roman" w:eastAsia="Calibri" w:hAnsi="Times New Roman" w:cs="Times New Roman"/>
          <w:sz w:val="28"/>
          <w:szCs w:val="28"/>
        </w:rPr>
      </w:pPr>
      <w:r w:rsidRPr="00E47AA9">
        <w:rPr>
          <w:rFonts w:ascii="Times New Roman" w:eastAsia="Calibri" w:hAnsi="Times New Roman" w:cs="Times New Roman"/>
          <w:b/>
          <w:bCs/>
          <w:sz w:val="28"/>
          <w:szCs w:val="28"/>
        </w:rPr>
        <w:t>2.</w:t>
      </w:r>
      <w:r w:rsidRPr="00E47AA9">
        <w:rPr>
          <w:rFonts w:ascii="Times New Roman" w:eastAsia="Calibri" w:hAnsi="Times New Roman" w:cs="Times New Roman"/>
          <w:sz w:val="28"/>
          <w:szCs w:val="28"/>
        </w:rPr>
        <w:t> С соблюдением условий статьи 179.4 Бюджетного кодекса Российской Федерации объем бюджетных ассигнований дорожного фонда утвержден законом о краевом бюджете на 2024 год в размере, не менее прогнозируемого объема доходов, установленных Законом Приморского края от 06.10.2011 № 819 - КЗ</w:t>
      </w:r>
      <w:r w:rsidRPr="00E47AA9">
        <w:rPr>
          <w:rFonts w:ascii="Times New Roman" w:eastAsia="Calibri" w:hAnsi="Times New Roman" w:cs="Times New Roman"/>
          <w:sz w:val="28"/>
          <w:szCs w:val="28"/>
          <w:vertAlign w:val="superscript"/>
        </w:rPr>
        <w:footnoteReference w:id="93"/>
      </w:r>
      <w:r w:rsidRPr="00E47AA9">
        <w:rPr>
          <w:rFonts w:ascii="Times New Roman" w:eastAsia="Calibri" w:hAnsi="Times New Roman" w:cs="Times New Roman"/>
          <w:sz w:val="28"/>
          <w:szCs w:val="28"/>
        </w:rPr>
        <w:t>.</w:t>
      </w:r>
    </w:p>
    <w:p w14:paraId="6DEEB0C3" w14:textId="77777777" w:rsidR="00A86B54" w:rsidRPr="00E47AA9" w:rsidRDefault="00A86B54" w:rsidP="00A86B54">
      <w:pPr>
        <w:tabs>
          <w:tab w:val="center" w:pos="4153"/>
          <w:tab w:val="right" w:pos="8306"/>
        </w:tabs>
        <w:spacing w:after="0" w:line="240" w:lineRule="auto"/>
        <w:ind w:firstLine="68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Согласно статье 9 закона о краевом бюджете в первоначальной редакции объем бюджетных ассигнований дорожного фонда на 2024 год </w:t>
      </w:r>
      <w:r w:rsidRPr="00E47AA9">
        <w:rPr>
          <w:rFonts w:ascii="Times New Roman" w:eastAsia="Times New Roman" w:hAnsi="Times New Roman" w:cs="Times New Roman"/>
          <w:sz w:val="28"/>
          <w:szCs w:val="28"/>
          <w:lang w:eastAsia="ru-RU"/>
        </w:rPr>
        <w:t xml:space="preserve">утвержден </w:t>
      </w:r>
      <w:r w:rsidRPr="00E47AA9">
        <w:rPr>
          <w:rFonts w:ascii="Times New Roman" w:eastAsia="Calibri" w:hAnsi="Times New Roman" w:cs="Times New Roman"/>
          <w:sz w:val="28"/>
          <w:szCs w:val="28"/>
        </w:rPr>
        <w:t xml:space="preserve">в размере 21966,57 млн рублей. </w:t>
      </w:r>
    </w:p>
    <w:p w14:paraId="79000B25" w14:textId="77777777" w:rsidR="00A86B54" w:rsidRPr="00E47AA9" w:rsidRDefault="00A86B54" w:rsidP="00A86B54">
      <w:pPr>
        <w:spacing w:after="0" w:line="240" w:lineRule="auto"/>
        <w:ind w:firstLine="68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В ходе исполнения краевого бюджета в отчетном году указанный объем корректировался 7 раз соответствующими законами Приморского края о внесении изменений в закон о краевом бюджете: </w:t>
      </w:r>
    </w:p>
    <w:p w14:paraId="11B87046" w14:textId="77777777" w:rsidR="00A86B54" w:rsidRPr="00E47AA9" w:rsidRDefault="00A86B54" w:rsidP="00A86B54">
      <w:pPr>
        <w:spacing w:after="0" w:line="240" w:lineRule="auto"/>
        <w:ind w:firstLine="68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от 28.02.2024 № 522-КЗ с увеличением к предыдущим назначениям на 2455,87 млн рублей (объем составил 24422,44 млн рублей); </w:t>
      </w:r>
    </w:p>
    <w:p w14:paraId="6BB7DB35" w14:textId="77777777" w:rsidR="00A86B54" w:rsidRPr="00E47AA9" w:rsidRDefault="00A86B54" w:rsidP="00A86B54">
      <w:pPr>
        <w:spacing w:after="0" w:line="240" w:lineRule="auto"/>
        <w:ind w:firstLine="68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от 24.04.2024 № 548-КЗ с увеличением на 148,19 млн рублей (до 24570,63 млн рублей); </w:t>
      </w:r>
    </w:p>
    <w:p w14:paraId="07617FC9" w14:textId="77777777" w:rsidR="00A86B54" w:rsidRPr="00E47AA9" w:rsidRDefault="00A86B54" w:rsidP="00A86B54">
      <w:pPr>
        <w:spacing w:after="0" w:line="240" w:lineRule="auto"/>
        <w:ind w:firstLine="68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от 26.06.2024 № 584-КЗ с увеличением на 603,92 млн рублей (до 25174,55 млн рублей); </w:t>
      </w:r>
    </w:p>
    <w:p w14:paraId="426FFB7D" w14:textId="77777777" w:rsidR="00A86B54" w:rsidRPr="00E47AA9" w:rsidRDefault="00A86B54" w:rsidP="00A86B54">
      <w:pPr>
        <w:spacing w:after="0" w:line="240" w:lineRule="auto"/>
        <w:ind w:firstLine="68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lastRenderedPageBreak/>
        <w:t xml:space="preserve">от 24.07.2024 № 613-КЗ с уменьшением на 128,34 млн рублей </w:t>
      </w:r>
      <w:r w:rsidRPr="00E47AA9">
        <w:rPr>
          <w:rFonts w:ascii="Times New Roman" w:eastAsia="Calibri" w:hAnsi="Times New Roman" w:cs="Times New Roman"/>
          <w:sz w:val="28"/>
          <w:szCs w:val="28"/>
        </w:rPr>
        <w:br/>
        <w:t xml:space="preserve">(до 25046,21млн рублей); </w:t>
      </w:r>
    </w:p>
    <w:p w14:paraId="5D0FD076" w14:textId="77777777" w:rsidR="00A86B54" w:rsidRPr="00E47AA9" w:rsidRDefault="00A86B54" w:rsidP="00A86B54">
      <w:pPr>
        <w:spacing w:after="0" w:line="240" w:lineRule="auto"/>
        <w:ind w:firstLine="68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от 03.10.2024 № 655-КЗ с увеличением на 842,02 млн рублей (до 25888,23 млн рублей);</w:t>
      </w:r>
    </w:p>
    <w:p w14:paraId="42BD27D8" w14:textId="77777777" w:rsidR="00A86B54" w:rsidRPr="00E47AA9" w:rsidRDefault="00A86B54" w:rsidP="00A86B54">
      <w:pPr>
        <w:spacing w:after="0" w:line="240" w:lineRule="auto"/>
        <w:ind w:firstLine="68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от 27.11.2024 № 670-КЗ со снижением на 585,80 млн рублей (до 25302,43 млн рублей);</w:t>
      </w:r>
    </w:p>
    <w:p w14:paraId="6DAE4F4D" w14:textId="77777777" w:rsidR="00A86B54" w:rsidRPr="00E47AA9" w:rsidRDefault="00A86B54" w:rsidP="00A86B54">
      <w:pPr>
        <w:spacing w:after="0" w:line="240" w:lineRule="auto"/>
        <w:ind w:firstLine="68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от 18.12.2024 № 687-КЗ со снижением на 161,35 млн рублей (до 25141,08 млн рублей).</w:t>
      </w:r>
    </w:p>
    <w:p w14:paraId="532521E6" w14:textId="77777777" w:rsidR="00A86B54" w:rsidRPr="00E47AA9" w:rsidRDefault="00A86B54" w:rsidP="00A86B54">
      <w:pPr>
        <w:spacing w:after="0" w:line="240" w:lineRule="auto"/>
        <w:ind w:firstLine="68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Таким образом, с учетом разнонаправленных корректировок объем бюджетных ассигнований дорожного фонда с первоначальной до действующей редакции увеличен на 3174,51 млн рублей, или на 14,45 % (с 21966,57 млн рублей до 25141,08 млн рублей).</w:t>
      </w:r>
    </w:p>
    <w:p w14:paraId="5292682B" w14:textId="3BA14076" w:rsidR="00A86B54" w:rsidRPr="00E47AA9" w:rsidRDefault="00A86B54" w:rsidP="00A86B54">
      <w:pPr>
        <w:spacing w:after="0" w:line="240" w:lineRule="auto"/>
        <w:ind w:firstLine="709"/>
        <w:jc w:val="both"/>
        <w:rPr>
          <w:rFonts w:ascii="Times New Roman" w:eastAsia="Calibri" w:hAnsi="Times New Roman" w:cs="Times New Roman"/>
          <w:b/>
          <w:sz w:val="28"/>
          <w:szCs w:val="28"/>
        </w:rPr>
      </w:pPr>
      <w:r w:rsidRPr="00E47AA9">
        <w:rPr>
          <w:rFonts w:ascii="Times New Roman" w:eastAsia="Calibri" w:hAnsi="Times New Roman" w:cs="Times New Roman"/>
          <w:sz w:val="28"/>
          <w:szCs w:val="28"/>
        </w:rPr>
        <w:t xml:space="preserve">В 2024 году в </w:t>
      </w:r>
      <w:r w:rsidRPr="00E47AA9">
        <w:rPr>
          <w:rFonts w:ascii="Times New Roman" w:hAnsi="Times New Roman" w:cs="Times New Roman"/>
          <w:sz w:val="28"/>
          <w:szCs w:val="28"/>
        </w:rPr>
        <w:t xml:space="preserve">бюджетные ассигнования дорожного фонда включено исполнение мероприятий, источником финансового обеспечения которых являются специальные казначейские кредиты из федерального бюджета (план в 2024 году 180,03 млн рублей, факт 179,16 млн рублей), пожертвования </w:t>
      </w:r>
      <w:r w:rsidRPr="00E47AA9">
        <w:rPr>
          <w:rFonts w:ascii="Times New Roman" w:eastAsia="source han sans cn regular" w:hAnsi="Times New Roman" w:cs="Times New Roman"/>
          <w:kern w:val="2"/>
          <w:sz w:val="28"/>
          <w:szCs w:val="28"/>
          <w:lang w:eastAsia="ru-RU" w:bidi="ru-RU"/>
        </w:rPr>
        <w:t>АО "</w:t>
      </w:r>
      <w:proofErr w:type="spellStart"/>
      <w:r w:rsidRPr="00E47AA9">
        <w:rPr>
          <w:rFonts w:ascii="Times New Roman" w:eastAsia="source han sans cn regular" w:hAnsi="Times New Roman" w:cs="Times New Roman"/>
          <w:kern w:val="2"/>
          <w:sz w:val="28"/>
          <w:szCs w:val="28"/>
          <w:lang w:eastAsia="ru-RU" w:bidi="ru-RU"/>
        </w:rPr>
        <w:t>Газстройпром</w:t>
      </w:r>
      <w:proofErr w:type="spellEnd"/>
      <w:r w:rsidRPr="00E47AA9">
        <w:rPr>
          <w:rFonts w:ascii="Times New Roman" w:eastAsia="source han sans cn regular" w:hAnsi="Times New Roman" w:cs="Times New Roman"/>
          <w:kern w:val="2"/>
          <w:sz w:val="28"/>
          <w:szCs w:val="28"/>
          <w:lang w:eastAsia="ru-RU" w:bidi="ru-RU"/>
        </w:rPr>
        <w:t xml:space="preserve">" (план </w:t>
      </w:r>
      <w:r w:rsidR="00E02DD2" w:rsidRPr="00E47AA9">
        <w:rPr>
          <w:rFonts w:ascii="Times New Roman" w:eastAsia="source han sans cn regular" w:hAnsi="Times New Roman" w:cs="Times New Roman"/>
          <w:kern w:val="2"/>
          <w:sz w:val="28"/>
          <w:szCs w:val="28"/>
          <w:lang w:eastAsia="ru-RU" w:bidi="ru-RU"/>
        </w:rPr>
        <w:t xml:space="preserve">– </w:t>
      </w:r>
      <w:r w:rsidRPr="00E47AA9">
        <w:rPr>
          <w:rFonts w:ascii="Times New Roman" w:eastAsia="source han sans cn regular" w:hAnsi="Times New Roman" w:cs="Times New Roman"/>
          <w:kern w:val="2"/>
          <w:sz w:val="28"/>
          <w:szCs w:val="28"/>
          <w:lang w:eastAsia="ru-RU" w:bidi="ru-RU"/>
        </w:rPr>
        <w:t>134,54 млн рублей, факт 94,99 млн рублей). С</w:t>
      </w:r>
      <w:r w:rsidRPr="00E47AA9">
        <w:rPr>
          <w:rFonts w:ascii="Times New Roman" w:hAnsi="Times New Roman" w:cs="Times New Roman"/>
          <w:sz w:val="28"/>
          <w:szCs w:val="28"/>
        </w:rPr>
        <w:t xml:space="preserve">пециальные казначейские кредиты из федерального бюджета, а также иные поступления в краевой бюджет, не утверждены действующим законодательством в составе поступлений, формирующих дорожный фонд Приморского края. </w:t>
      </w:r>
    </w:p>
    <w:p w14:paraId="55B31DE0" w14:textId="77777777" w:rsidR="00A86B54" w:rsidRPr="00E47AA9" w:rsidRDefault="00A86B54" w:rsidP="00A86B54">
      <w:pPr>
        <w:spacing w:after="0" w:line="240" w:lineRule="auto"/>
        <w:ind w:firstLine="68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Согласно годовому отчету об исполнении краевого бюджета плановый объем бюджетных ассигнований </w:t>
      </w:r>
      <w:r w:rsidRPr="00E47AA9">
        <w:rPr>
          <w:rFonts w:ascii="Times New Roman" w:eastAsia="Times New Roman" w:hAnsi="Times New Roman" w:cs="Times New Roman"/>
          <w:sz w:val="28"/>
          <w:szCs w:val="28"/>
          <w:lang w:eastAsia="ru-RU"/>
        </w:rPr>
        <w:t>дорожного фонда составил</w:t>
      </w:r>
      <w:r w:rsidRPr="00E47AA9">
        <w:rPr>
          <w:rFonts w:ascii="Times New Roman" w:eastAsia="Calibri" w:hAnsi="Times New Roman" w:cs="Times New Roman"/>
          <w:sz w:val="28"/>
          <w:szCs w:val="28"/>
        </w:rPr>
        <w:t xml:space="preserve"> 25045,59 млн рублей, что меньше законодательно утвержденного объема (25141,08 млн рублей) на 95,49 млн рублей, в основном за счет исключения мероприятий планов социального развития центров экономического роста субъектов Российской Федерации, входящих в состав Дальневосточного федерального округа</w:t>
      </w:r>
      <w:r w:rsidRPr="00E47AA9">
        <w:rPr>
          <w:rFonts w:ascii="Times New Roman" w:eastAsia="Calibri" w:hAnsi="Times New Roman" w:cs="Times New Roman"/>
          <w:sz w:val="28"/>
          <w:szCs w:val="28"/>
          <w:vertAlign w:val="superscript"/>
        </w:rPr>
        <w:footnoteReference w:id="94"/>
      </w:r>
      <w:r w:rsidRPr="00E47AA9">
        <w:rPr>
          <w:rFonts w:ascii="Times New Roman" w:eastAsia="Calibri" w:hAnsi="Times New Roman" w:cs="Times New Roman"/>
          <w:sz w:val="28"/>
          <w:szCs w:val="28"/>
        </w:rPr>
        <w:t xml:space="preserve">, из ВП "Поддержка дорожного хозяйства муниципальных образований Приморского края и организации транспортного обслуживания населения в границах муниципальных образований Приморского края". </w:t>
      </w:r>
    </w:p>
    <w:p w14:paraId="538DF590" w14:textId="1A56446C" w:rsidR="00A86B54" w:rsidRPr="00E47AA9" w:rsidRDefault="00A86B54" w:rsidP="00A86B54">
      <w:pPr>
        <w:spacing w:after="0" w:line="240" w:lineRule="auto"/>
        <w:ind w:firstLine="680"/>
        <w:jc w:val="both"/>
        <w:rPr>
          <w:rFonts w:ascii="Times New Roman" w:eastAsia="Calibri" w:hAnsi="Times New Roman" w:cs="Times New Roman"/>
          <w:sz w:val="28"/>
          <w:szCs w:val="28"/>
        </w:rPr>
      </w:pPr>
      <w:r w:rsidRPr="00E47AA9">
        <w:rPr>
          <w:rFonts w:ascii="Times New Roman" w:eastAsia="Calibri" w:hAnsi="Times New Roman" w:cs="Times New Roman"/>
          <w:bCs/>
          <w:sz w:val="28"/>
          <w:szCs w:val="28"/>
        </w:rPr>
        <w:t xml:space="preserve">Исполнение </w:t>
      </w:r>
      <w:r w:rsidRPr="00E47AA9">
        <w:rPr>
          <w:rFonts w:ascii="Times New Roman" w:eastAsia="Calibri" w:hAnsi="Times New Roman" w:cs="Times New Roman"/>
          <w:sz w:val="28"/>
          <w:szCs w:val="28"/>
        </w:rPr>
        <w:t>бюджетных ассигнований дорожного фонда в 2024 году составило 22086,74 млн рублей, или 88,19 %, (план</w:t>
      </w:r>
      <w:r w:rsidR="00E02DD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 25045,59 млн рублей).</w:t>
      </w:r>
      <w:r w:rsidRPr="00E47AA9">
        <w:rPr>
          <w:rFonts w:ascii="Times New Roman" w:hAnsi="Times New Roman" w:cs="Times New Roman"/>
          <w:sz w:val="28"/>
          <w:szCs w:val="28"/>
        </w:rPr>
        <w:t xml:space="preserve"> </w:t>
      </w:r>
      <w:r w:rsidRPr="00E47AA9">
        <w:rPr>
          <w:rFonts w:ascii="Times New Roman" w:hAnsi="Times New Roman" w:cs="Times New Roman"/>
          <w:sz w:val="28"/>
          <w:szCs w:val="28"/>
        </w:rPr>
        <w:br/>
        <w:t>Н</w:t>
      </w:r>
      <w:r w:rsidRPr="00E47AA9">
        <w:rPr>
          <w:rFonts w:ascii="Times New Roman" w:eastAsia="Calibri" w:hAnsi="Times New Roman" w:cs="Times New Roman"/>
          <w:sz w:val="28"/>
          <w:szCs w:val="28"/>
        </w:rPr>
        <w:t>е исполнено 2958,84 млн рублей (доля в общем объеме неисполненных расходов краевого бюджета – 34,05 %).</w:t>
      </w:r>
    </w:p>
    <w:p w14:paraId="08127154" w14:textId="77777777" w:rsidR="00A86B54" w:rsidRPr="00E47AA9" w:rsidRDefault="00A86B54" w:rsidP="00A86B54">
      <w:pPr>
        <w:spacing w:after="0" w:line="240" w:lineRule="auto"/>
        <w:ind w:firstLine="680"/>
        <w:jc w:val="both"/>
        <w:rPr>
          <w:rFonts w:ascii="Times New Roman" w:eastAsia="Calibri" w:hAnsi="Times New Roman" w:cs="Times New Roman"/>
          <w:sz w:val="28"/>
          <w:szCs w:val="28"/>
          <w:shd w:val="clear" w:color="auto" w:fill="FFFFFF"/>
        </w:rPr>
      </w:pPr>
      <w:r w:rsidRPr="00E47AA9">
        <w:rPr>
          <w:rFonts w:ascii="Times New Roman" w:eastAsia="Calibri" w:hAnsi="Times New Roman" w:cs="Times New Roman"/>
          <w:sz w:val="28"/>
          <w:szCs w:val="28"/>
        </w:rPr>
        <w:t>З</w:t>
      </w:r>
      <w:r w:rsidRPr="00E47AA9">
        <w:rPr>
          <w:rFonts w:ascii="Times New Roman" w:eastAsia="Calibri" w:hAnsi="Times New Roman" w:cs="Times New Roman"/>
          <w:bCs/>
          <w:sz w:val="28"/>
          <w:szCs w:val="28"/>
        </w:rPr>
        <w:t xml:space="preserve">а счет дорожного фонда </w:t>
      </w:r>
      <w:r w:rsidRPr="00E47AA9">
        <w:rPr>
          <w:rFonts w:ascii="Times New Roman" w:eastAsia="Calibri" w:hAnsi="Times New Roman" w:cs="Times New Roman"/>
          <w:sz w:val="28"/>
          <w:szCs w:val="28"/>
          <w:shd w:val="clear" w:color="auto" w:fill="FFFFFF"/>
        </w:rPr>
        <w:t>осуществлялись расходы по двум государственным программам Приморского края:</w:t>
      </w:r>
    </w:p>
    <w:p w14:paraId="46925917" w14:textId="28207834" w:rsidR="00A86B54" w:rsidRPr="00E47AA9" w:rsidRDefault="00A86B54" w:rsidP="00A86B54">
      <w:pPr>
        <w:spacing w:after="0" w:line="240" w:lineRule="auto"/>
        <w:ind w:firstLine="680"/>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sz w:val="28"/>
          <w:szCs w:val="28"/>
          <w:shd w:val="clear" w:color="auto" w:fill="FFFFFF"/>
        </w:rPr>
        <w:t xml:space="preserve">ГП "Развитие </w:t>
      </w:r>
      <w:r w:rsidRPr="00E47AA9">
        <w:rPr>
          <w:rFonts w:ascii="Times New Roman" w:eastAsia="Times New Roman" w:hAnsi="Times New Roman" w:cs="Times New Roman"/>
          <w:sz w:val="28"/>
          <w:szCs w:val="28"/>
          <w:lang w:eastAsia="ru-RU"/>
        </w:rPr>
        <w:t xml:space="preserve">транспортного комплекса в Приморском крае" </w:t>
      </w:r>
      <w:r w:rsidR="00A20FFC"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w:t>
      </w:r>
      <w:r w:rsidRPr="00E47AA9">
        <w:rPr>
          <w:rFonts w:ascii="Times New Roman" w:eastAsia="Calibri" w:hAnsi="Times New Roman" w:cs="Times New Roman"/>
          <w:sz w:val="28"/>
          <w:szCs w:val="28"/>
          <w:shd w:val="clear" w:color="auto" w:fill="FFFFFF"/>
        </w:rPr>
        <w:t>министерством транспорта и дорожного хозяйства Приморского края</w:t>
      </w:r>
      <w:r w:rsidRPr="00E47AA9">
        <w:rPr>
          <w:rFonts w:ascii="Times New Roman" w:eastAsia="Times New Roman" w:hAnsi="Times New Roman" w:cs="Times New Roman"/>
          <w:sz w:val="28"/>
          <w:szCs w:val="28"/>
          <w:lang w:eastAsia="ru-RU"/>
        </w:rPr>
        <w:t>;</w:t>
      </w:r>
    </w:p>
    <w:p w14:paraId="77709C52" w14:textId="02871596" w:rsidR="00A86B54" w:rsidRPr="00E47AA9" w:rsidRDefault="00A86B54" w:rsidP="00A86B54">
      <w:pPr>
        <w:spacing w:after="0" w:line="240" w:lineRule="auto"/>
        <w:ind w:firstLine="68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ГП "Обеспечение доступным жильем и качественными услугами жилищно-коммунального хозяйства населения Приморского края" </w:t>
      </w:r>
      <w:r w:rsidR="00A20FFC"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w:t>
      </w:r>
      <w:r w:rsidRPr="00E47AA9">
        <w:rPr>
          <w:rFonts w:ascii="Times New Roman" w:eastAsia="Calibri" w:hAnsi="Times New Roman" w:cs="Times New Roman"/>
          <w:sz w:val="28"/>
          <w:szCs w:val="28"/>
          <w:shd w:val="clear" w:color="auto" w:fill="FFFFFF"/>
        </w:rPr>
        <w:lastRenderedPageBreak/>
        <w:t>министерством транспорта и дорожного хозяйства Приморского края</w:t>
      </w:r>
      <w:r w:rsidRPr="00E47AA9">
        <w:rPr>
          <w:rFonts w:ascii="Times New Roman" w:eastAsia="Times New Roman" w:hAnsi="Times New Roman" w:cs="Times New Roman"/>
          <w:sz w:val="28"/>
          <w:szCs w:val="28"/>
          <w:lang w:eastAsia="ru-RU"/>
        </w:rPr>
        <w:t xml:space="preserve"> и министерством строительства Приморского края.</w:t>
      </w:r>
    </w:p>
    <w:p w14:paraId="3629F53E" w14:textId="51D95965" w:rsidR="00A86B54" w:rsidRPr="00E47AA9" w:rsidRDefault="00A86B54" w:rsidP="00A86B54">
      <w:pPr>
        <w:spacing w:after="0" w:line="240" w:lineRule="auto"/>
        <w:ind w:firstLine="680"/>
        <w:jc w:val="both"/>
        <w:rPr>
          <w:rFonts w:ascii="Times New Roman" w:eastAsia="Calibri" w:hAnsi="Times New Roman" w:cs="Times New Roman"/>
          <w:sz w:val="28"/>
          <w:szCs w:val="28"/>
        </w:rPr>
      </w:pPr>
      <w:r w:rsidRPr="00E47AA9">
        <w:rPr>
          <w:rFonts w:ascii="Times New Roman" w:eastAsia="Times New Roman" w:hAnsi="Times New Roman" w:cs="Times New Roman"/>
          <w:sz w:val="28"/>
          <w:szCs w:val="28"/>
          <w:lang w:eastAsia="ru-RU"/>
        </w:rPr>
        <w:t>В</w:t>
      </w:r>
      <w:r w:rsidRPr="00E47AA9">
        <w:rPr>
          <w:rFonts w:ascii="Times New Roman" w:eastAsia="Calibri" w:hAnsi="Times New Roman" w:cs="Times New Roman"/>
          <w:sz w:val="28"/>
          <w:szCs w:val="28"/>
        </w:rPr>
        <w:t xml:space="preserve"> рамках </w:t>
      </w:r>
      <w:r w:rsidRPr="00E47AA9">
        <w:rPr>
          <w:rFonts w:ascii="Times New Roman" w:eastAsia="Calibri" w:hAnsi="Times New Roman" w:cs="Times New Roman"/>
          <w:b/>
          <w:iCs/>
          <w:sz w:val="28"/>
          <w:szCs w:val="28"/>
        </w:rPr>
        <w:t>ГП "Развитие транспортного комплекса в Приморском крае"</w:t>
      </w:r>
      <w:r w:rsidRPr="00E47AA9">
        <w:rPr>
          <w:rFonts w:ascii="Times New Roman" w:eastAsia="Calibri" w:hAnsi="Times New Roman" w:cs="Times New Roman"/>
          <w:sz w:val="28"/>
          <w:szCs w:val="28"/>
        </w:rPr>
        <w:t xml:space="preserve"> расходы исполнены </w:t>
      </w:r>
      <w:r w:rsidRPr="00E47AA9">
        <w:rPr>
          <w:rFonts w:ascii="Times New Roman" w:eastAsia="Calibri" w:hAnsi="Times New Roman" w:cs="Times New Roman"/>
          <w:sz w:val="28"/>
          <w:szCs w:val="28"/>
          <w:u w:val="single"/>
        </w:rPr>
        <w:t>министерством транспорта и дорожного хозяйства Приморского края</w:t>
      </w:r>
      <w:r w:rsidRPr="00E47AA9">
        <w:rPr>
          <w:rFonts w:ascii="Times New Roman" w:eastAsia="Calibri" w:hAnsi="Times New Roman" w:cs="Times New Roman"/>
          <w:sz w:val="28"/>
          <w:szCs w:val="28"/>
        </w:rPr>
        <w:t xml:space="preserve"> в объеме 21520,06 млн рублей, или 90,91 % (план</w:t>
      </w:r>
      <w:r w:rsidR="00E02DD2"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 xml:space="preserve"> 23672,44 млн рублей), в том числе за счет федерального бюджета – 2257,55 млн рублей в полном объеме, краевых средств – 19262,51 млн рублей, или 89,95 % (план</w:t>
      </w:r>
      <w:r w:rsidR="00E02DD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 21414,89 млн рублей). </w:t>
      </w:r>
    </w:p>
    <w:p w14:paraId="02B22451" w14:textId="77777777" w:rsidR="00A86B54" w:rsidRPr="00E47AA9" w:rsidRDefault="00A86B54" w:rsidP="00A86B54">
      <w:pPr>
        <w:spacing w:after="0" w:line="240" w:lineRule="auto"/>
        <w:ind w:firstLine="680"/>
        <w:jc w:val="both"/>
        <w:rPr>
          <w:rFonts w:ascii="Times New Roman" w:eastAsia="Calibri" w:hAnsi="Times New Roman" w:cs="Times New Roman"/>
          <w:b/>
          <w:bCs/>
          <w:sz w:val="28"/>
          <w:szCs w:val="28"/>
        </w:rPr>
      </w:pPr>
      <w:r w:rsidRPr="00E47AA9">
        <w:rPr>
          <w:rFonts w:ascii="Times New Roman" w:eastAsia="Calibri" w:hAnsi="Times New Roman" w:cs="Times New Roman"/>
          <w:b/>
          <w:bCs/>
          <w:sz w:val="28"/>
          <w:szCs w:val="28"/>
        </w:rPr>
        <w:t>Подпрограмма "Развитие дорожной отрасли в Приморском крае"</w:t>
      </w:r>
    </w:p>
    <w:p w14:paraId="0727F445" w14:textId="77777777" w:rsidR="00A86B54" w:rsidRPr="00E47AA9" w:rsidRDefault="00A86B54" w:rsidP="00A86B54">
      <w:pPr>
        <w:spacing w:after="0" w:line="240" w:lineRule="auto"/>
        <w:ind w:firstLine="680"/>
        <w:jc w:val="both"/>
        <w:rPr>
          <w:rFonts w:ascii="Times New Roman" w:eastAsia="Times New Roman" w:hAnsi="Times New Roman" w:cs="Times New Roman"/>
          <w:bCs/>
          <w:iCs/>
          <w:sz w:val="28"/>
          <w:szCs w:val="28"/>
          <w:lang w:eastAsia="ru-RU"/>
        </w:rPr>
      </w:pPr>
      <w:r w:rsidRPr="00E47AA9">
        <w:rPr>
          <w:rFonts w:ascii="Times New Roman" w:eastAsia="Calibri" w:hAnsi="Times New Roman" w:cs="Times New Roman"/>
          <w:sz w:val="28"/>
          <w:szCs w:val="28"/>
        </w:rPr>
        <w:t>Бюджетные средства направлены</w:t>
      </w:r>
      <w:r w:rsidRPr="00E47AA9">
        <w:rPr>
          <w:rFonts w:ascii="Times New Roman" w:eastAsia="Calibri" w:hAnsi="Times New Roman" w:cs="Times New Roman"/>
          <w:b/>
          <w:i/>
          <w:sz w:val="28"/>
          <w:szCs w:val="28"/>
        </w:rPr>
        <w:t xml:space="preserve"> </w:t>
      </w:r>
      <w:r w:rsidRPr="00E47AA9">
        <w:rPr>
          <w:rFonts w:ascii="Times New Roman" w:eastAsia="Calibri" w:hAnsi="Times New Roman" w:cs="Times New Roman"/>
          <w:sz w:val="28"/>
          <w:szCs w:val="28"/>
        </w:rPr>
        <w:t>на реализацию следующих</w:t>
      </w:r>
      <w:r w:rsidRPr="00E47AA9">
        <w:rPr>
          <w:rFonts w:ascii="Times New Roman" w:eastAsia="Calibri" w:hAnsi="Times New Roman" w:cs="Times New Roman"/>
          <w:i/>
          <w:sz w:val="28"/>
          <w:szCs w:val="28"/>
        </w:rPr>
        <w:t xml:space="preserve"> </w:t>
      </w:r>
      <w:r w:rsidRPr="00E47AA9">
        <w:rPr>
          <w:rFonts w:ascii="Times New Roman" w:eastAsia="Calibri" w:hAnsi="Times New Roman" w:cs="Times New Roman"/>
          <w:iCs/>
          <w:sz w:val="28"/>
          <w:szCs w:val="28"/>
        </w:rPr>
        <w:t>структурных элементов</w:t>
      </w:r>
      <w:r w:rsidRPr="00E47AA9">
        <w:rPr>
          <w:rFonts w:ascii="Times New Roman" w:eastAsia="Calibri" w:hAnsi="Times New Roman" w:cs="Times New Roman"/>
          <w:b/>
          <w:i/>
          <w:sz w:val="28"/>
          <w:szCs w:val="28"/>
        </w:rPr>
        <w:t xml:space="preserve"> </w:t>
      </w:r>
      <w:r w:rsidRPr="00E47AA9">
        <w:rPr>
          <w:rFonts w:ascii="Times New Roman" w:eastAsia="Calibri" w:hAnsi="Times New Roman" w:cs="Times New Roman"/>
          <w:bCs/>
          <w:iCs/>
          <w:sz w:val="28"/>
          <w:szCs w:val="28"/>
        </w:rPr>
        <w:t>подпрограммы.</w:t>
      </w:r>
    </w:p>
    <w:p w14:paraId="22D2C16E" w14:textId="3CA264FE"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По</w:t>
      </w:r>
      <w:r w:rsidRPr="00E47AA9">
        <w:rPr>
          <w:rFonts w:ascii="Times New Roman" w:hAnsi="Times New Roman" w:cs="Times New Roman"/>
          <w:i/>
          <w:sz w:val="28"/>
          <w:szCs w:val="28"/>
        </w:rPr>
        <w:t xml:space="preserve"> РП "Региональная и местная дорожная сеть (Приморский край)", входящему в состав НП "Безопасные качественные дороги"</w:t>
      </w:r>
      <w:r w:rsidRPr="00E47AA9">
        <w:rPr>
          <w:rFonts w:ascii="Times New Roman" w:hAnsi="Times New Roman" w:cs="Times New Roman"/>
          <w:sz w:val="28"/>
          <w:szCs w:val="28"/>
        </w:rPr>
        <w:t xml:space="preserve">, финансирование составило 3520,08 млн рублей, или 89,47 % (план </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3934,37 млн рублей). Неисполненный остаток составил 414,29 млн рублей. </w:t>
      </w:r>
    </w:p>
    <w:p w14:paraId="0A535293" w14:textId="77777777"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Расходы направлены на финансовое обеспечение автомобильных дорог:</w:t>
      </w:r>
    </w:p>
    <w:p w14:paraId="39938FC8" w14:textId="27082B8E"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регионального и межмуниципального значения на территории Приморского края – 2000,40 млн рублей, или 82,84 % (план</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 2414,69 млн рублей). Не исполнено 414,29 млн рублей в связи с нарушением подрядчиками сроков и условий выполнения работ по контрактам;</w:t>
      </w:r>
    </w:p>
    <w:p w14:paraId="6CFFBA97" w14:textId="77777777"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местного значения на территории Приморского края направлено 612,0 млн рублей в запланированном объеме;</w:t>
      </w:r>
    </w:p>
    <w:p w14:paraId="29A62D97" w14:textId="77777777"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на приведение в нормативное состояние автомобильных дорог и искусственных дорожных сооружений – 907,68 млн рублей в полном объеме. </w:t>
      </w:r>
    </w:p>
    <w:p w14:paraId="672FC1B6" w14:textId="77777777" w:rsidR="00A86B54" w:rsidRPr="00E47AA9" w:rsidRDefault="00A86B54" w:rsidP="00A86B54">
      <w:pPr>
        <w:spacing w:after="0" w:line="240" w:lineRule="auto"/>
        <w:ind w:firstLine="68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2024 году результатами реализации мероприятий РП являются:</w:t>
      </w:r>
    </w:p>
    <w:p w14:paraId="2418C7F5" w14:textId="77777777" w:rsidR="00CA3DE4" w:rsidRPr="00E47AA9" w:rsidRDefault="00CA3DE4" w:rsidP="00CA3DE4">
      <w:pPr>
        <w:spacing w:after="0" w:line="240" w:lineRule="auto"/>
        <w:ind w:firstLine="68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увеличение доли дорожной сети городской агломерации, находящейся в нормативном состоянии, в 2024 году до 87,42 % (заключены соглашения с 4 МО (Артемовский ГО, Владивостокский ГО, </w:t>
      </w:r>
      <w:proofErr w:type="spellStart"/>
      <w:r w:rsidRPr="00E47AA9">
        <w:rPr>
          <w:rFonts w:ascii="Times New Roman" w:eastAsia="Times New Roman" w:hAnsi="Times New Roman" w:cs="Times New Roman"/>
          <w:sz w:val="28"/>
          <w:szCs w:val="28"/>
          <w:lang w:eastAsia="ru-RU"/>
        </w:rPr>
        <w:t>Надеждинский</w:t>
      </w:r>
      <w:proofErr w:type="spellEnd"/>
      <w:r w:rsidRPr="00E47AA9">
        <w:rPr>
          <w:rFonts w:ascii="Times New Roman" w:eastAsia="Times New Roman" w:hAnsi="Times New Roman" w:cs="Times New Roman"/>
          <w:sz w:val="28"/>
          <w:szCs w:val="28"/>
          <w:lang w:eastAsia="ru-RU"/>
        </w:rPr>
        <w:t xml:space="preserve"> МР, </w:t>
      </w:r>
      <w:proofErr w:type="spellStart"/>
      <w:r w:rsidRPr="00E47AA9">
        <w:rPr>
          <w:rFonts w:ascii="Times New Roman" w:eastAsia="Times New Roman" w:hAnsi="Times New Roman" w:cs="Times New Roman"/>
          <w:sz w:val="28"/>
          <w:szCs w:val="28"/>
          <w:lang w:eastAsia="ru-RU"/>
        </w:rPr>
        <w:t>Шкотовский</w:t>
      </w:r>
      <w:proofErr w:type="spellEnd"/>
      <w:r w:rsidRPr="00E47AA9">
        <w:rPr>
          <w:rFonts w:ascii="Times New Roman" w:eastAsia="Times New Roman" w:hAnsi="Times New Roman" w:cs="Times New Roman"/>
          <w:sz w:val="28"/>
          <w:szCs w:val="28"/>
          <w:lang w:eastAsia="ru-RU"/>
        </w:rPr>
        <w:t xml:space="preserve"> МО). Заключены муниципальные контракты на 33 объекта ремонта. Выполнен ремонт на 25,58 км автодорог местного значения);</w:t>
      </w:r>
    </w:p>
    <w:p w14:paraId="65BBD1A7" w14:textId="44846177" w:rsidR="00CA3DE4" w:rsidRPr="00E47AA9" w:rsidRDefault="00CA3DE4" w:rsidP="00CA3DE4">
      <w:pPr>
        <w:spacing w:after="0" w:line="240" w:lineRule="auto"/>
        <w:ind w:firstLine="68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увеличена протяженность приведенных в нормативное состояние искусственных сооружений на автомобильных дорогах регионального или межмуниципального и местного значения к концу 2024 года до 2,1291 тыс. погонных метров</w:t>
      </w:r>
      <w:r w:rsidR="00104517" w:rsidRPr="00E47AA9">
        <w:rPr>
          <w:rFonts w:ascii="Times New Roman" w:eastAsia="Times New Roman" w:hAnsi="Times New Roman" w:cs="Times New Roman"/>
          <w:sz w:val="28"/>
          <w:szCs w:val="28"/>
          <w:lang w:eastAsia="ru-RU"/>
        </w:rPr>
        <w:t xml:space="preserve"> (план </w:t>
      </w:r>
      <w:r w:rsidR="00E02DD2" w:rsidRPr="00E47AA9">
        <w:rPr>
          <w:rFonts w:ascii="Times New Roman" w:eastAsia="Times New Roman" w:hAnsi="Times New Roman" w:cs="Times New Roman"/>
          <w:sz w:val="28"/>
          <w:szCs w:val="28"/>
          <w:lang w:eastAsia="ru-RU"/>
        </w:rPr>
        <w:t>–</w:t>
      </w:r>
      <w:r w:rsidR="00104517" w:rsidRPr="00E47AA9">
        <w:rPr>
          <w:rFonts w:ascii="Times New Roman" w:eastAsia="Times New Roman" w:hAnsi="Times New Roman" w:cs="Times New Roman"/>
          <w:sz w:val="28"/>
          <w:szCs w:val="28"/>
          <w:lang w:eastAsia="ru-RU"/>
        </w:rPr>
        <w:t xml:space="preserve"> 1,3 тыс. погонных метров)</w:t>
      </w:r>
      <w:r w:rsidRPr="00E47AA9">
        <w:rPr>
          <w:rFonts w:ascii="Times New Roman" w:eastAsia="Times New Roman" w:hAnsi="Times New Roman" w:cs="Times New Roman"/>
          <w:sz w:val="28"/>
          <w:szCs w:val="28"/>
          <w:lang w:eastAsia="ru-RU"/>
        </w:rPr>
        <w:t>;</w:t>
      </w:r>
    </w:p>
    <w:p w14:paraId="10626057" w14:textId="77777777" w:rsidR="00CA3DE4" w:rsidRPr="00E47AA9" w:rsidRDefault="00CA3DE4" w:rsidP="00CA3DE4">
      <w:pPr>
        <w:spacing w:after="0" w:line="240" w:lineRule="auto"/>
        <w:ind w:firstLine="68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прирост протяженности автомобильных дорог общего пользования регионального или межмуниципального и местного значения на территории Приморского края, соответствующих нормативным требованиям к транспортно-эксплуатационным показателям, в результате реконструкции автомобильных дорог до 4,9 км (план – 1,0 км);</w:t>
      </w:r>
    </w:p>
    <w:p w14:paraId="3936EF53" w14:textId="2916AB52" w:rsidR="00A86B54" w:rsidRPr="00E47AA9" w:rsidRDefault="00A86B54" w:rsidP="00CA3DE4">
      <w:pPr>
        <w:spacing w:after="0" w:line="240" w:lineRule="auto"/>
        <w:ind w:firstLine="680"/>
        <w:jc w:val="both"/>
        <w:rPr>
          <w:rFonts w:ascii="Times New Roman" w:hAnsi="Times New Roman" w:cs="Times New Roman"/>
          <w:sz w:val="28"/>
          <w:szCs w:val="28"/>
        </w:rPr>
      </w:pPr>
      <w:r w:rsidRPr="00E47AA9">
        <w:rPr>
          <w:rFonts w:ascii="Times New Roman" w:hAnsi="Times New Roman" w:cs="Times New Roman"/>
          <w:sz w:val="28"/>
          <w:szCs w:val="28"/>
        </w:rPr>
        <w:t>По</w:t>
      </w:r>
      <w:r w:rsidRPr="00E47AA9">
        <w:rPr>
          <w:rFonts w:ascii="Times New Roman" w:hAnsi="Times New Roman" w:cs="Times New Roman"/>
          <w:i/>
          <w:sz w:val="28"/>
          <w:szCs w:val="28"/>
        </w:rPr>
        <w:t xml:space="preserve"> РП "Общесистемные меры развития дорожного хозяйства" </w:t>
      </w:r>
      <w:r w:rsidRPr="00E47AA9">
        <w:rPr>
          <w:rFonts w:ascii="Times New Roman" w:hAnsi="Times New Roman" w:cs="Times New Roman"/>
          <w:sz w:val="28"/>
          <w:szCs w:val="28"/>
        </w:rPr>
        <w:t xml:space="preserve">исполнены в полном объеме расходы на сумму 0,58 млн рублей на внедрение интеллектуальных транспортных систем, предусматривающих автоматизацию процессов управления дорожным движением в городских агломерациях, включающих города с населением свыше 300 тысяч человек. В 2024 году </w:t>
      </w:r>
      <w:r w:rsidRPr="00E47AA9">
        <w:rPr>
          <w:rFonts w:ascii="Times New Roman" w:hAnsi="Times New Roman" w:cs="Times New Roman"/>
          <w:sz w:val="28"/>
          <w:szCs w:val="28"/>
        </w:rPr>
        <w:lastRenderedPageBreak/>
        <w:t>проведена работа по заключению государственного контракта с ООО "</w:t>
      </w:r>
      <w:proofErr w:type="spellStart"/>
      <w:r w:rsidRPr="00E47AA9">
        <w:rPr>
          <w:rFonts w:ascii="Times New Roman" w:hAnsi="Times New Roman" w:cs="Times New Roman"/>
          <w:sz w:val="28"/>
          <w:szCs w:val="28"/>
        </w:rPr>
        <w:t>Альтек</w:t>
      </w:r>
      <w:proofErr w:type="spellEnd"/>
      <w:r w:rsidRPr="00E47AA9">
        <w:rPr>
          <w:rFonts w:ascii="Times New Roman" w:hAnsi="Times New Roman" w:cs="Times New Roman"/>
          <w:sz w:val="28"/>
          <w:szCs w:val="28"/>
        </w:rPr>
        <w:t>" (№ 157/24 от 29.03.2024) на поставку интеграционной платформы интеллектуальных транспортных систем.</w:t>
      </w:r>
    </w:p>
    <w:p w14:paraId="0B880F6F" w14:textId="77777777"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eastAsia="Calibri" w:hAnsi="Times New Roman" w:cs="Times New Roman"/>
          <w:sz w:val="28"/>
          <w:szCs w:val="28"/>
        </w:rPr>
        <w:t xml:space="preserve">По </w:t>
      </w:r>
      <w:r w:rsidRPr="00E47AA9">
        <w:rPr>
          <w:rFonts w:ascii="Times New Roman" w:eastAsia="Times New Roman" w:hAnsi="Times New Roman" w:cs="Times New Roman"/>
          <w:i/>
          <w:sz w:val="28"/>
          <w:szCs w:val="28"/>
          <w:lang w:eastAsia="ru-RU"/>
        </w:rPr>
        <w:t xml:space="preserve">РП "Содействие развитию автомобильных дорог регионального, межмуниципального и местного значения (Приморский край)", </w:t>
      </w:r>
      <w:r w:rsidRPr="00E47AA9">
        <w:rPr>
          <w:rFonts w:ascii="Times New Roman" w:hAnsi="Times New Roman" w:cs="Times New Roman"/>
          <w:sz w:val="28"/>
          <w:szCs w:val="28"/>
        </w:rPr>
        <w:t>не входящему в состав национальных проектов, исполнение расходов составило 1987,40 млн рублей, или 71,21 % (2790,69 млн рублей), в том числе:</w:t>
      </w:r>
    </w:p>
    <w:p w14:paraId="7DC4C55A" w14:textId="77777777"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на капитальные вложения в объекты государственной собственности субъектов Российской Федерации (строительство автомобильной дороги Владивосток - Находка - порт Восточный на участке км 18+500 - км 40+800 в Приморском крае, </w:t>
      </w:r>
      <w:proofErr w:type="spellStart"/>
      <w:r w:rsidRPr="00E47AA9">
        <w:rPr>
          <w:rFonts w:ascii="Times New Roman" w:hAnsi="Times New Roman" w:cs="Times New Roman"/>
          <w:sz w:val="28"/>
          <w:szCs w:val="28"/>
        </w:rPr>
        <w:t>софинансируемой</w:t>
      </w:r>
      <w:proofErr w:type="spellEnd"/>
      <w:r w:rsidRPr="00E47AA9">
        <w:rPr>
          <w:rFonts w:ascii="Times New Roman" w:hAnsi="Times New Roman" w:cs="Times New Roman"/>
          <w:sz w:val="28"/>
          <w:szCs w:val="28"/>
        </w:rPr>
        <w:t xml:space="preserve"> из федерального бюджета) – 15,27 млн рублей, или 4,54 % (336,45 млн рублей). Не направлено 321,18 млн рублей в результате зачета в счет выполненных работ ранее выплаченных авансовых платежей;</w:t>
      </w:r>
    </w:p>
    <w:p w14:paraId="00D3F819" w14:textId="152E3F38" w:rsidR="00A86B54" w:rsidRPr="00E47AA9" w:rsidRDefault="00A86B54" w:rsidP="00A86B54">
      <w:pPr>
        <w:widowControl w:val="0"/>
        <w:spacing w:after="0" w:line="240" w:lineRule="auto"/>
        <w:ind w:firstLine="680"/>
        <w:jc w:val="both"/>
        <w:rPr>
          <w:rFonts w:ascii="Times New Roman" w:eastAsia="Times New Roman" w:hAnsi="Times New Roman" w:cs="Times New Roman"/>
          <w:sz w:val="28"/>
          <w:szCs w:val="28"/>
          <w:lang w:eastAsia="ru-RU"/>
        </w:rPr>
      </w:pPr>
      <w:r w:rsidRPr="00E47AA9">
        <w:rPr>
          <w:rFonts w:ascii="Times New Roman" w:hAnsi="Times New Roman" w:cs="Times New Roman"/>
          <w:sz w:val="28"/>
          <w:szCs w:val="28"/>
        </w:rPr>
        <w:t xml:space="preserve">на проектирование (включая изыскания), строительство, реконструкцию автомобильных дорог общего пользования регионального или межмуниципального значения и искусственных сооружений на них </w:t>
      </w:r>
      <w:r w:rsidR="005A18F7" w:rsidRPr="00E47AA9">
        <w:rPr>
          <w:rFonts w:ascii="Times New Roman" w:hAnsi="Times New Roman" w:cs="Times New Roman"/>
          <w:sz w:val="28"/>
          <w:szCs w:val="28"/>
        </w:rPr>
        <w:t>–</w:t>
      </w:r>
      <w:r w:rsidRPr="00E47AA9">
        <w:rPr>
          <w:rFonts w:ascii="Times New Roman" w:hAnsi="Times New Roman" w:cs="Times New Roman"/>
          <w:sz w:val="28"/>
          <w:szCs w:val="28"/>
        </w:rPr>
        <w:t xml:space="preserve"> 1972,13 млн рублей, или 80,36 % (2454,24 млн рублей). Не исполнено 482,11 млн рублей в связи с отсутствием положительных заключений государственной экспертизы на проектную документацию и результаты инженерных изысканий по реконструируемым объектам</w:t>
      </w:r>
      <w:r w:rsidR="0020373F" w:rsidRPr="00E47AA9">
        <w:rPr>
          <w:rFonts w:ascii="Times New Roman" w:hAnsi="Times New Roman" w:cs="Times New Roman"/>
          <w:sz w:val="28"/>
        </w:rPr>
        <w:t>, а также расторжением контракта.</w:t>
      </w:r>
      <w:r w:rsidRPr="00E47AA9">
        <w:rPr>
          <w:rFonts w:ascii="Times New Roman" w:hAnsi="Times New Roman" w:cs="Times New Roman"/>
          <w:sz w:val="28"/>
        </w:rPr>
        <w:t xml:space="preserve"> По указанной целевой статье запланировано на 2024 год финансовое обеспечение на реализацию 39 </w:t>
      </w:r>
      <w:r w:rsidRPr="00E47AA9">
        <w:rPr>
          <w:rFonts w:ascii="Times New Roman" w:eastAsia="Times New Roman" w:hAnsi="Times New Roman" w:cs="Times New Roman"/>
          <w:sz w:val="28"/>
          <w:szCs w:val="28"/>
          <w:lang w:eastAsia="ru-RU"/>
        </w:rPr>
        <w:t>мероприятий, из которых по 18 финансирование осуществлялось в полном объеме, по 16 на уровне от 95,35 % до 7,51 %, по 4 мероприятиям финансирование не осуществлялось, из них:</w:t>
      </w:r>
    </w:p>
    <w:p w14:paraId="5EE187DC" w14:textId="77777777" w:rsidR="00A86B54" w:rsidRPr="00E47AA9" w:rsidRDefault="00A86B54" w:rsidP="00A86B54">
      <w:pPr>
        <w:widowControl w:val="0"/>
        <w:spacing w:after="0" w:line="240" w:lineRule="auto"/>
        <w:ind w:firstLine="680"/>
        <w:jc w:val="both"/>
        <w:rPr>
          <w:rFonts w:ascii="Times New Roman" w:eastAsia="Times New Roman" w:hAnsi="Times New Roman" w:cs="Times New Roman"/>
          <w:i/>
          <w:iCs/>
          <w:sz w:val="28"/>
          <w:szCs w:val="28"/>
          <w:lang w:eastAsia="ru-RU"/>
        </w:rPr>
      </w:pPr>
      <w:r w:rsidRPr="00E47AA9">
        <w:rPr>
          <w:rFonts w:ascii="Times New Roman" w:eastAsia="Times New Roman" w:hAnsi="Times New Roman" w:cs="Times New Roman"/>
          <w:i/>
          <w:iCs/>
          <w:sz w:val="28"/>
          <w:szCs w:val="28"/>
          <w:lang w:eastAsia="ru-RU"/>
        </w:rPr>
        <w:t xml:space="preserve">не исполнены расходы в полном объеме: </w:t>
      </w:r>
    </w:p>
    <w:p w14:paraId="0D25E648" w14:textId="77777777" w:rsidR="00A86B54" w:rsidRPr="00E47AA9" w:rsidRDefault="00A86B54" w:rsidP="00A86B54">
      <w:pPr>
        <w:widowControl w:val="0"/>
        <w:spacing w:after="0" w:line="240" w:lineRule="auto"/>
        <w:ind w:firstLine="68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связи с получением положительного заключения </w:t>
      </w:r>
      <w:proofErr w:type="spellStart"/>
      <w:r w:rsidRPr="00E47AA9">
        <w:rPr>
          <w:rFonts w:ascii="Times New Roman" w:eastAsia="Times New Roman" w:hAnsi="Times New Roman" w:cs="Times New Roman"/>
          <w:sz w:val="28"/>
          <w:szCs w:val="28"/>
          <w:lang w:eastAsia="ru-RU"/>
        </w:rPr>
        <w:t>госэкспертизы</w:t>
      </w:r>
      <w:proofErr w:type="spellEnd"/>
      <w:r w:rsidRPr="00E47AA9">
        <w:rPr>
          <w:rFonts w:ascii="Times New Roman" w:eastAsia="Times New Roman" w:hAnsi="Times New Roman" w:cs="Times New Roman"/>
          <w:sz w:val="28"/>
          <w:szCs w:val="28"/>
          <w:lang w:eastAsia="ru-RU"/>
        </w:rPr>
        <w:t xml:space="preserve"> в конце 2024 года: по реконструкции мостового перехода через р. </w:t>
      </w:r>
      <w:proofErr w:type="spellStart"/>
      <w:r w:rsidRPr="00E47AA9">
        <w:rPr>
          <w:rFonts w:ascii="Times New Roman" w:eastAsia="Times New Roman" w:hAnsi="Times New Roman" w:cs="Times New Roman"/>
          <w:sz w:val="28"/>
          <w:szCs w:val="28"/>
          <w:lang w:eastAsia="ru-RU"/>
        </w:rPr>
        <w:t>Аввакумовка</w:t>
      </w:r>
      <w:proofErr w:type="spellEnd"/>
      <w:r w:rsidRPr="00E47AA9">
        <w:rPr>
          <w:rFonts w:ascii="Times New Roman" w:eastAsia="Times New Roman" w:hAnsi="Times New Roman" w:cs="Times New Roman"/>
          <w:sz w:val="28"/>
          <w:szCs w:val="28"/>
          <w:lang w:eastAsia="ru-RU"/>
        </w:rPr>
        <w:t xml:space="preserve"> на км 15+252 автомобильной дороги 300 км - Фурманово в Приморском крае (3,31 млн рублей), по строительству автомобильной дороги Соловей Ключ - 7-я площадка в Приморском крае (планировалось 6,16 млн рублей);</w:t>
      </w:r>
    </w:p>
    <w:p w14:paraId="0200118E" w14:textId="51F0E700" w:rsidR="00A86B54" w:rsidRPr="00E47AA9" w:rsidRDefault="00A86B54" w:rsidP="00A86B54">
      <w:pPr>
        <w:widowControl w:val="0"/>
        <w:spacing w:after="0" w:line="240" w:lineRule="auto"/>
        <w:ind w:firstLine="68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связи с работами по выкупу земельного участка, необход</w:t>
      </w:r>
      <w:r w:rsidR="005A18F7" w:rsidRPr="00E47AA9">
        <w:rPr>
          <w:rFonts w:ascii="Times New Roman" w:eastAsia="Times New Roman" w:hAnsi="Times New Roman" w:cs="Times New Roman"/>
          <w:sz w:val="28"/>
          <w:szCs w:val="28"/>
          <w:lang w:eastAsia="ru-RU"/>
        </w:rPr>
        <w:t>имого под строительство объекта, –</w:t>
      </w:r>
      <w:r w:rsidRPr="00E47AA9">
        <w:rPr>
          <w:rFonts w:ascii="Times New Roman" w:eastAsia="Times New Roman" w:hAnsi="Times New Roman" w:cs="Times New Roman"/>
          <w:sz w:val="28"/>
          <w:szCs w:val="28"/>
          <w:lang w:eastAsia="ru-RU"/>
        </w:rPr>
        <w:t xml:space="preserve"> на реконструкцию мостового перехода через ручей на км 4+842 автомобильной дороги Уссурийск - Пограничный - Госграница в Приморском крае (2,65 млн рублей);</w:t>
      </w:r>
    </w:p>
    <w:p w14:paraId="57AE2D4E" w14:textId="0E57139E" w:rsidR="00A86B54" w:rsidRPr="00E47AA9" w:rsidRDefault="000F37E6" w:rsidP="00A86B54">
      <w:pPr>
        <w:widowControl w:val="0"/>
        <w:spacing w:after="0" w:line="240" w:lineRule="auto"/>
        <w:ind w:firstLine="68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связи с </w:t>
      </w:r>
      <w:r w:rsidR="00A86B54" w:rsidRPr="00E47AA9">
        <w:rPr>
          <w:rFonts w:ascii="Times New Roman" w:hAnsi="Times New Roman" w:cs="Times New Roman"/>
          <w:sz w:val="28"/>
          <w:szCs w:val="28"/>
        </w:rPr>
        <w:t xml:space="preserve">отсутствием проектной документации по </w:t>
      </w:r>
      <w:r w:rsidR="00A86B54" w:rsidRPr="00E47AA9">
        <w:rPr>
          <w:rFonts w:ascii="Times New Roman" w:eastAsia="Times New Roman" w:hAnsi="Times New Roman" w:cs="Times New Roman"/>
          <w:sz w:val="28"/>
          <w:szCs w:val="28"/>
          <w:lang w:eastAsia="ru-RU"/>
        </w:rPr>
        <w:t>реконструкции автомобильной дороги Осиновка - Рудная Пристань - горнолыжная база в Приморском крае (10,26 млн рублей);</w:t>
      </w:r>
    </w:p>
    <w:p w14:paraId="500CF66F" w14:textId="77777777" w:rsidR="00A86B54" w:rsidRPr="00E47AA9" w:rsidRDefault="00A86B54" w:rsidP="00A86B54">
      <w:pPr>
        <w:widowControl w:val="0"/>
        <w:spacing w:after="0" w:line="240" w:lineRule="auto"/>
        <w:ind w:firstLine="68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i/>
          <w:iCs/>
          <w:sz w:val="28"/>
          <w:szCs w:val="28"/>
          <w:lang w:eastAsia="ru-RU"/>
        </w:rPr>
        <w:t>на уровне от 80,56 % до 7,51 % исполнены следующие расходы</w:t>
      </w:r>
      <w:r w:rsidRPr="00E47AA9">
        <w:rPr>
          <w:rFonts w:ascii="Times New Roman" w:eastAsia="Times New Roman" w:hAnsi="Times New Roman" w:cs="Times New Roman"/>
          <w:sz w:val="28"/>
          <w:szCs w:val="28"/>
          <w:lang w:eastAsia="ru-RU"/>
        </w:rPr>
        <w:t>:</w:t>
      </w:r>
    </w:p>
    <w:p w14:paraId="1C56DCCA" w14:textId="77777777" w:rsidR="00A86B54" w:rsidRPr="00E47AA9" w:rsidRDefault="00A86B54" w:rsidP="00A86B54">
      <w:pPr>
        <w:widowControl w:val="0"/>
        <w:spacing w:after="0" w:line="240" w:lineRule="auto"/>
        <w:ind w:firstLine="68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225,42 млн рублей, или 80,56 % (279,83 млн рублей) – на реконструкцию мостового перехода через р. Астраханка на км 78 + 675 автомобильной дороги Михайловка - Турий Рог в Приморском крае. Не исполнено 54,40 млн рублей </w:t>
      </w:r>
      <w:r w:rsidRPr="00E47AA9">
        <w:rPr>
          <w:rFonts w:ascii="Times New Roman" w:hAnsi="Times New Roman" w:cs="Times New Roman"/>
          <w:sz w:val="28"/>
          <w:szCs w:val="28"/>
        </w:rPr>
        <w:t xml:space="preserve">в связи с выполнением подрядной организаций ООО "РСК" корректировки проектно-сметной документации и прохождением повторной </w:t>
      </w:r>
      <w:r w:rsidRPr="00E47AA9">
        <w:rPr>
          <w:rFonts w:ascii="Times New Roman" w:hAnsi="Times New Roman" w:cs="Times New Roman"/>
          <w:sz w:val="28"/>
          <w:szCs w:val="28"/>
        </w:rPr>
        <w:lastRenderedPageBreak/>
        <w:t>государственной экспертизы;</w:t>
      </w:r>
    </w:p>
    <w:p w14:paraId="4B60EA67" w14:textId="6A870CAD" w:rsidR="00A86B54" w:rsidRPr="00E47AA9" w:rsidRDefault="00A86B54" w:rsidP="0020373F">
      <w:pPr>
        <w:widowControl w:val="0"/>
        <w:spacing w:after="0" w:line="240" w:lineRule="auto"/>
        <w:ind w:firstLine="68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374,42 млн рублей, или 78,57 % (509,25 млн рублей) – на реконструкцию путепровода через железную дорогу на км 6 + 028 автомобильной дороги Подъезд к с. Тереховка в Приморском крае. Не исполнено 134,83 млн рублей в </w:t>
      </w:r>
      <w:r w:rsidRPr="00E47AA9">
        <w:rPr>
          <w:rFonts w:ascii="Times New Roman" w:hAnsi="Times New Roman" w:cs="Times New Roman"/>
          <w:sz w:val="28"/>
          <w:szCs w:val="28"/>
        </w:rPr>
        <w:t>связи с нестабильным финансовым положением подрядной организации</w:t>
      </w:r>
      <w:r w:rsidR="0020373F" w:rsidRPr="00E47AA9">
        <w:rPr>
          <w:rStyle w:val="a8"/>
          <w:rFonts w:ascii="Times New Roman" w:hAnsi="Times New Roman"/>
          <w:sz w:val="28"/>
          <w:szCs w:val="28"/>
        </w:rPr>
        <w:footnoteReference w:id="95"/>
      </w:r>
      <w:r w:rsidRPr="00E47AA9">
        <w:rPr>
          <w:rFonts w:ascii="Times New Roman" w:hAnsi="Times New Roman" w:cs="Times New Roman"/>
          <w:sz w:val="28"/>
          <w:szCs w:val="28"/>
        </w:rPr>
        <w:t>;</w:t>
      </w:r>
    </w:p>
    <w:p w14:paraId="600D5406" w14:textId="60738123" w:rsidR="00A86B54" w:rsidRPr="00E47AA9" w:rsidRDefault="00A86B54" w:rsidP="00A86B54">
      <w:pPr>
        <w:widowControl w:val="0"/>
        <w:spacing w:after="0" w:line="240" w:lineRule="auto"/>
        <w:ind w:firstLine="68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7,30 млн рублей, или 7,51 % (97,17 млн рублей) – на реконструкцию путепровода через железную дорогу на км 19 + 524 автомобильной дороги Артем - Находка - порт Восточный в Приморском крае.  Не исполнено 89,87 млн рублей в связи с </w:t>
      </w:r>
      <w:r w:rsidRPr="00E47AA9">
        <w:rPr>
          <w:rFonts w:ascii="Times New Roman" w:hAnsi="Times New Roman" w:cs="Times New Roman"/>
          <w:sz w:val="28"/>
          <w:szCs w:val="28"/>
        </w:rPr>
        <w:t>корректировкой проектно-сметной документации в части выделения этапов реконструкции объекта ввиду невозможности выполнения строительно-монтажных работ.</w:t>
      </w:r>
    </w:p>
    <w:p w14:paraId="7A5D4584" w14:textId="77777777" w:rsidR="00A86B54" w:rsidRPr="00E47AA9" w:rsidRDefault="00A86B54" w:rsidP="00A86B54">
      <w:pPr>
        <w:widowControl w:val="0"/>
        <w:spacing w:after="0" w:line="240" w:lineRule="auto"/>
        <w:ind w:firstLine="680"/>
        <w:jc w:val="both"/>
        <w:rPr>
          <w:rFonts w:ascii="Times New Roman" w:hAnsi="Times New Roman" w:cs="Times New Roman"/>
          <w:sz w:val="28"/>
          <w:szCs w:val="28"/>
        </w:rPr>
      </w:pPr>
      <w:r w:rsidRPr="00E47AA9">
        <w:rPr>
          <w:rFonts w:ascii="Times New Roman" w:hAnsi="Times New Roman" w:cs="Times New Roman"/>
          <w:sz w:val="28"/>
          <w:szCs w:val="28"/>
        </w:rPr>
        <w:t>За отчетный период проведены работы по реконструкции 9 мостовых переходов общей протяженностью 7,5 км, из них в 2024 году введены в эксплуатацию 4 мостовых перехода</w:t>
      </w:r>
      <w:r w:rsidRPr="00E47AA9">
        <w:rPr>
          <w:rFonts w:ascii="Times New Roman" w:hAnsi="Times New Roman" w:cs="Times New Roman"/>
          <w:sz w:val="28"/>
          <w:szCs w:val="28"/>
          <w:vertAlign w:val="superscript"/>
        </w:rPr>
        <w:footnoteReference w:id="96"/>
      </w:r>
      <w:r w:rsidRPr="00E47AA9">
        <w:rPr>
          <w:rFonts w:ascii="Times New Roman" w:hAnsi="Times New Roman" w:cs="Times New Roman"/>
          <w:sz w:val="28"/>
          <w:szCs w:val="28"/>
        </w:rPr>
        <w:t xml:space="preserve"> из 12 планируемых, завершены строительно-монтажные работы на 5 мостовых переходах, планируемых к вводу в эксплуатацию в 2025 году.</w:t>
      </w:r>
      <w:r w:rsidRPr="00E47AA9">
        <w:t xml:space="preserve"> </w:t>
      </w:r>
      <w:r w:rsidRPr="00E47AA9">
        <w:rPr>
          <w:rFonts w:ascii="Times New Roman" w:hAnsi="Times New Roman" w:cs="Times New Roman"/>
          <w:sz w:val="28"/>
          <w:szCs w:val="28"/>
        </w:rPr>
        <w:t>Утверждена документация по планировке территории по 3 объектам реконструкции. Получено положительное заключение государственной экспертизы на проектную документацию по 17 объектам реконструкции.</w:t>
      </w:r>
    </w:p>
    <w:p w14:paraId="6740C2E6" w14:textId="6B9F2A7B" w:rsidR="00A86B54" w:rsidRPr="00E47AA9" w:rsidRDefault="00A86B54" w:rsidP="00A86B54">
      <w:pPr>
        <w:widowControl w:val="0"/>
        <w:tabs>
          <w:tab w:val="left" w:pos="284"/>
          <w:tab w:val="left" w:pos="1080"/>
        </w:tabs>
        <w:overflowPunct w:val="0"/>
        <w:autoSpaceDE w:val="0"/>
        <w:autoSpaceDN w:val="0"/>
        <w:adjustRightInd w:val="0"/>
        <w:spacing w:after="0" w:line="240" w:lineRule="auto"/>
        <w:ind w:firstLine="709"/>
        <w:contextualSpacing/>
        <w:jc w:val="both"/>
        <w:textAlignment w:val="baseline"/>
        <w:rPr>
          <w:rFonts w:ascii="Times New Roman" w:hAnsi="Times New Roman" w:cs="Times New Roman"/>
          <w:sz w:val="28"/>
          <w:szCs w:val="28"/>
        </w:rPr>
      </w:pPr>
      <w:r w:rsidRPr="00E47AA9">
        <w:rPr>
          <w:rFonts w:ascii="Times New Roman" w:eastAsia="Times New Roman" w:hAnsi="Times New Roman" w:cs="Times New Roman"/>
          <w:sz w:val="28"/>
          <w:szCs w:val="28"/>
          <w:lang w:eastAsia="ru-RU"/>
        </w:rPr>
        <w:t xml:space="preserve">Расходы по </w:t>
      </w:r>
      <w:r w:rsidRPr="00E47AA9">
        <w:rPr>
          <w:rFonts w:ascii="Times New Roman" w:eastAsia="Times New Roman" w:hAnsi="Times New Roman" w:cs="Times New Roman"/>
          <w:i/>
          <w:sz w:val="28"/>
          <w:szCs w:val="28"/>
          <w:lang w:eastAsia="ru-RU"/>
        </w:rPr>
        <w:t>ВП "Поддержка дорожного хозяйства муниципальных образований Приморского края"</w:t>
      </w:r>
      <w:r w:rsidRPr="00E47AA9">
        <w:rPr>
          <w:rFonts w:ascii="Times New Roman" w:eastAsia="Times New Roman" w:hAnsi="Times New Roman" w:cs="Times New Roman"/>
          <w:sz w:val="28"/>
          <w:szCs w:val="28"/>
          <w:lang w:eastAsia="ru-RU"/>
        </w:rPr>
        <w:t xml:space="preserve"> исполнены в сумме 2251,91 млн рублей, или 96,27 % (план</w:t>
      </w:r>
      <w:r w:rsidR="00E02DD2"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 2339,28 млн рублей)</w:t>
      </w:r>
      <w:r w:rsidRPr="00E47AA9">
        <w:rPr>
          <w:rFonts w:ascii="Times New Roman" w:hAnsi="Times New Roman" w:cs="Times New Roman"/>
          <w:sz w:val="28"/>
          <w:szCs w:val="28"/>
        </w:rPr>
        <w:t>, из них по таким мероприятиям, как:</w:t>
      </w:r>
    </w:p>
    <w:p w14:paraId="3A81EBC3" w14:textId="77777777"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на проектирование, строительство, капитальный ремонт и ремонт подъездных автомобильных дорог, проездов к земельным участкам, предоставленным (предоставляемым) на бесплатной основе гражданам, имеющим трех и более детей, и гражданам, имеющим двух детей, а также молодым семьям, за счет дорожного фонда Приморского края – 13,50 млн рублей, или 37,67 % (35,82 млн рублей). Не исполнено 22,32 млн рублей в связи отсутствием у подрядчика положительного заключения государственной экспертизы;</w:t>
      </w:r>
    </w:p>
    <w:p w14:paraId="253E7B7F" w14:textId="1B38538C"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eastAsia="Calibri" w:hAnsi="Times New Roman" w:cs="Times New Roman"/>
          <w:sz w:val="28"/>
          <w:szCs w:val="28"/>
        </w:rPr>
        <w:t>на капитальный ремонт и ремонт автомобильных дорог общего пользования населенных пунктов за счет дорожного фонда Приморского края</w:t>
      </w:r>
      <w:r w:rsidR="005A18F7"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 xml:space="preserve">– 1039,09 млн рублей, или 97,43 % (1066,49 млн рублей). Не исполнено 27,40 млн рублей в связи </w:t>
      </w:r>
      <w:r w:rsidRPr="00E47AA9">
        <w:rPr>
          <w:rFonts w:ascii="Times New Roman" w:hAnsi="Times New Roman" w:cs="Times New Roman"/>
          <w:sz w:val="28"/>
          <w:szCs w:val="28"/>
        </w:rPr>
        <w:t>невыполнением (или не в полном объеме) подрядчиком всех условий заключенных контрактов;</w:t>
      </w:r>
    </w:p>
    <w:p w14:paraId="691480F0" w14:textId="0411F284" w:rsidR="00A86B54" w:rsidRPr="00E47AA9" w:rsidRDefault="00A86B54" w:rsidP="00A86B54">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lastRenderedPageBreak/>
        <w:t>на проектирование, строительство (реконструкци</w:t>
      </w:r>
      <w:r w:rsidR="005A18F7" w:rsidRPr="00E47AA9">
        <w:rPr>
          <w:rFonts w:ascii="Times New Roman" w:eastAsia="Calibri" w:hAnsi="Times New Roman" w:cs="Times New Roman"/>
          <w:sz w:val="28"/>
          <w:szCs w:val="28"/>
        </w:rPr>
        <w:t>ю</w:t>
      </w:r>
      <w:r w:rsidRPr="00E47AA9">
        <w:rPr>
          <w:rFonts w:ascii="Times New Roman" w:eastAsia="Calibri" w:hAnsi="Times New Roman" w:cs="Times New Roman"/>
          <w:sz w:val="28"/>
          <w:szCs w:val="28"/>
        </w:rPr>
        <w:t>) автомобильных дорог общего пользования населенных пунктов за счет дорожного фонда Приморского края – 312,32 млн рублей, или 92,71 % (336,85 млн рублей). Отклонение 24,53 млн рублей в связи с экономией при проведении закупочных процедур и выявленных на объекте дополнительных работ, требу</w:t>
      </w:r>
      <w:r w:rsidR="00A706BB" w:rsidRPr="00E47AA9">
        <w:rPr>
          <w:rFonts w:ascii="Times New Roman" w:eastAsia="Calibri" w:hAnsi="Times New Roman" w:cs="Times New Roman"/>
          <w:sz w:val="28"/>
          <w:szCs w:val="28"/>
        </w:rPr>
        <w:t xml:space="preserve">ющих </w:t>
      </w:r>
      <w:r w:rsidRPr="00E47AA9">
        <w:rPr>
          <w:rFonts w:ascii="Times New Roman" w:eastAsia="Calibri" w:hAnsi="Times New Roman" w:cs="Times New Roman"/>
          <w:sz w:val="28"/>
          <w:szCs w:val="28"/>
        </w:rPr>
        <w:t>изменени</w:t>
      </w:r>
      <w:r w:rsidR="00A706BB" w:rsidRPr="00E47AA9">
        <w:rPr>
          <w:rFonts w:ascii="Times New Roman" w:eastAsia="Calibri" w:hAnsi="Times New Roman" w:cs="Times New Roman"/>
          <w:sz w:val="28"/>
          <w:szCs w:val="28"/>
        </w:rPr>
        <w:t>я</w:t>
      </w:r>
      <w:r w:rsidRPr="00E47AA9">
        <w:rPr>
          <w:rFonts w:ascii="Times New Roman" w:eastAsia="Calibri" w:hAnsi="Times New Roman" w:cs="Times New Roman"/>
          <w:sz w:val="28"/>
          <w:szCs w:val="28"/>
        </w:rPr>
        <w:t xml:space="preserve"> протяженности и стоимости работ;</w:t>
      </w:r>
    </w:p>
    <w:p w14:paraId="52A3742B" w14:textId="0BBAB514" w:rsidR="00A86B54" w:rsidRPr="00E47AA9" w:rsidRDefault="00A86B54" w:rsidP="00A86B54">
      <w:pPr>
        <w:spacing w:after="0" w:line="240" w:lineRule="auto"/>
        <w:ind w:firstLine="709"/>
        <w:jc w:val="both"/>
        <w:rPr>
          <w:rFonts w:ascii="Times New Roman" w:eastAsia="Calibri" w:hAnsi="Times New Roman" w:cs="Times New Roman"/>
          <w:sz w:val="28"/>
          <w:szCs w:val="28"/>
        </w:rPr>
      </w:pPr>
      <w:r w:rsidRPr="00E47AA9">
        <w:rPr>
          <w:rFonts w:ascii="Times New Roman" w:hAnsi="Times New Roman" w:cs="Times New Roman"/>
          <w:sz w:val="28"/>
          <w:szCs w:val="28"/>
        </w:rPr>
        <w:t>на содержание автомобильных дорог местного значения за счет дорожного фонда Приморского края – 267,32 млн рублей, или 97,32 % (274,68</w:t>
      </w:r>
      <w:r w:rsidR="005A18F7" w:rsidRPr="00E47AA9">
        <w:rPr>
          <w:rFonts w:ascii="Times New Roman" w:hAnsi="Times New Roman" w:cs="Times New Roman"/>
          <w:sz w:val="28"/>
          <w:szCs w:val="28"/>
        </w:rPr>
        <w:t> </w:t>
      </w:r>
      <w:r w:rsidRPr="00E47AA9">
        <w:rPr>
          <w:rFonts w:ascii="Times New Roman" w:hAnsi="Times New Roman" w:cs="Times New Roman"/>
          <w:sz w:val="28"/>
          <w:szCs w:val="28"/>
        </w:rPr>
        <w:t xml:space="preserve">млн рублей). Отклонение в сумме 7,36 млн рублей в связи с экономией, возникшей при оплате выполненных работ.  </w:t>
      </w:r>
    </w:p>
    <w:p w14:paraId="63AC6E8F" w14:textId="77918A17" w:rsidR="00A86B54" w:rsidRPr="00E47AA9" w:rsidRDefault="00A86B54" w:rsidP="00A86B54">
      <w:pPr>
        <w:autoSpaceDE w:val="0"/>
        <w:autoSpaceDN w:val="0"/>
        <w:adjustRightInd w:val="0"/>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Стоит отметить, что на уровне 99,06 % направлены расходы </w:t>
      </w:r>
      <w:r w:rsidRPr="00E47AA9">
        <w:rPr>
          <w:rFonts w:ascii="Times New Roman" w:hAnsi="Times New Roman" w:cs="Times New Roman"/>
          <w:sz w:val="28"/>
          <w:szCs w:val="28"/>
        </w:rPr>
        <w:t xml:space="preserve">на проектирование, строительство, реконструкцию автомобильных дорог общего пользования (за исключением автомобильных дорог федерального значения) с твердым покрытием до сельских населенных пунктов, не имеющих круглогодичной связи с сетью автомобильных дорог общего пользования, а также их капитальный ремонт и ремонт за счет средств дорожного фонда Приморского края – 559,50 млн рублей (план </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564,78 млн рублей). Не исполнено 5,28 млн рублей в связи с расторжением контракта на услуги по строительному контролю по муниципальному контракту Пограничного МО и отсутствием положительно</w:t>
      </w:r>
      <w:r w:rsidR="000F37E6" w:rsidRPr="00E47AA9">
        <w:rPr>
          <w:rFonts w:ascii="Times New Roman" w:hAnsi="Times New Roman" w:cs="Times New Roman"/>
          <w:sz w:val="28"/>
          <w:szCs w:val="28"/>
        </w:rPr>
        <w:t>го</w:t>
      </w:r>
      <w:r w:rsidRPr="00E47AA9">
        <w:rPr>
          <w:rFonts w:ascii="Times New Roman" w:hAnsi="Times New Roman" w:cs="Times New Roman"/>
          <w:sz w:val="28"/>
          <w:szCs w:val="28"/>
        </w:rPr>
        <w:t xml:space="preserve"> заключени</w:t>
      </w:r>
      <w:r w:rsidR="000F37E6" w:rsidRPr="00E47AA9">
        <w:rPr>
          <w:rFonts w:ascii="Times New Roman" w:hAnsi="Times New Roman" w:cs="Times New Roman"/>
          <w:sz w:val="28"/>
          <w:szCs w:val="28"/>
        </w:rPr>
        <w:t>я</w:t>
      </w:r>
      <w:r w:rsidRPr="00E47AA9">
        <w:rPr>
          <w:rFonts w:ascii="Times New Roman" w:hAnsi="Times New Roman" w:cs="Times New Roman"/>
          <w:sz w:val="28"/>
          <w:szCs w:val="28"/>
        </w:rPr>
        <w:t xml:space="preserve"> </w:t>
      </w:r>
      <w:proofErr w:type="spellStart"/>
      <w:r w:rsidRPr="00E47AA9">
        <w:rPr>
          <w:rFonts w:ascii="Times New Roman" w:hAnsi="Times New Roman" w:cs="Times New Roman"/>
          <w:sz w:val="28"/>
          <w:szCs w:val="28"/>
        </w:rPr>
        <w:t>госэкспертизы</w:t>
      </w:r>
      <w:proofErr w:type="spellEnd"/>
      <w:r w:rsidRPr="00E47AA9">
        <w:rPr>
          <w:rFonts w:ascii="Times New Roman" w:hAnsi="Times New Roman" w:cs="Times New Roman"/>
          <w:sz w:val="28"/>
          <w:szCs w:val="28"/>
        </w:rPr>
        <w:t xml:space="preserve"> Яковлевского МО. </w:t>
      </w:r>
      <w:r w:rsidRPr="00E47AA9">
        <w:rPr>
          <w:rFonts w:ascii="Times New Roman" w:eastAsia="Times New Roman" w:hAnsi="Times New Roman" w:cs="Times New Roman"/>
          <w:sz w:val="28"/>
          <w:szCs w:val="28"/>
          <w:lang w:eastAsia="ru-RU"/>
        </w:rPr>
        <w:t>Контрольно-счетная палата отмечает, что в 2024 году, как и в предыдущие периоды,</w:t>
      </w:r>
      <w:r w:rsidRPr="00E47AA9">
        <w:rPr>
          <w:rFonts w:ascii="Times New Roman" w:eastAsia="Calibri" w:hAnsi="Times New Roman" w:cs="Times New Roman"/>
          <w:sz w:val="28"/>
          <w:szCs w:val="28"/>
        </w:rPr>
        <w:t xml:space="preserve"> </w:t>
      </w:r>
      <w:r w:rsidRPr="00E47AA9">
        <w:rPr>
          <w:rFonts w:ascii="Times New Roman" w:eastAsia="Times New Roman" w:hAnsi="Times New Roman" w:cs="Times New Roman"/>
          <w:sz w:val="28"/>
          <w:szCs w:val="28"/>
          <w:lang w:eastAsia="ru-RU"/>
        </w:rPr>
        <w:t>плановые назначения</w:t>
      </w:r>
      <w:r w:rsidRPr="00E47AA9">
        <w:rPr>
          <w:rFonts w:ascii="Times New Roman" w:eastAsia="Calibri" w:hAnsi="Times New Roman" w:cs="Times New Roman"/>
          <w:sz w:val="28"/>
          <w:szCs w:val="28"/>
        </w:rPr>
        <w:t xml:space="preserve"> указанных субсидий не соответствуют условиям пункта 4.1 статьи 179.4 Бюджетного кодекса Российской Федерации, а также Порядку формирования и использования бюджетных ассигнований дорожного фонда Приморского края, утвержденного постановлением Администрации Приморского края от 01.02.2012 № 24-па (меньше установленного бюджетным законодательством размера </w:t>
      </w:r>
      <w:r w:rsidR="000F37E6" w:rsidRPr="00E47AA9">
        <w:rPr>
          <w:rFonts w:ascii="Times New Roman" w:eastAsia="Calibri" w:hAnsi="Times New Roman" w:cs="Times New Roman"/>
          <w:sz w:val="28"/>
          <w:szCs w:val="28"/>
        </w:rPr>
        <w:t xml:space="preserve">(698,50 млн рублей) </w:t>
      </w:r>
      <w:r w:rsidRPr="00E47AA9">
        <w:rPr>
          <w:rFonts w:ascii="Times New Roman" w:eastAsia="Calibri" w:hAnsi="Times New Roman" w:cs="Times New Roman"/>
          <w:sz w:val="28"/>
          <w:szCs w:val="28"/>
        </w:rPr>
        <w:t>на 133,72 млн рублей</w:t>
      </w:r>
      <w:r w:rsidRPr="00E47AA9">
        <w:rPr>
          <w:rFonts w:ascii="Times New Roman" w:eastAsia="Calibri" w:hAnsi="Times New Roman" w:cs="Times New Roman"/>
          <w:sz w:val="28"/>
          <w:szCs w:val="28"/>
          <w:vertAlign w:val="superscript"/>
        </w:rPr>
        <w:footnoteReference w:id="97"/>
      </w:r>
      <w:r w:rsidRPr="00E47AA9">
        <w:rPr>
          <w:rFonts w:ascii="Times New Roman" w:eastAsia="Calibri" w:hAnsi="Times New Roman" w:cs="Times New Roman"/>
          <w:sz w:val="28"/>
          <w:szCs w:val="28"/>
        </w:rPr>
        <w:t>).</w:t>
      </w:r>
    </w:p>
    <w:p w14:paraId="691A5517" w14:textId="4883A47D" w:rsidR="00A86B54" w:rsidRPr="00E47AA9" w:rsidRDefault="00A86B54" w:rsidP="00A86B54">
      <w:pPr>
        <w:autoSpaceDE w:val="0"/>
        <w:autoSpaceDN w:val="0"/>
        <w:adjustRightInd w:val="0"/>
        <w:spacing w:after="0" w:line="240" w:lineRule="auto"/>
        <w:ind w:firstLine="680"/>
        <w:jc w:val="both"/>
        <w:rPr>
          <w:rFonts w:ascii="Times New Roman" w:hAnsi="Times New Roman" w:cs="Times New Roman"/>
          <w:sz w:val="28"/>
          <w:szCs w:val="28"/>
        </w:rPr>
      </w:pPr>
      <w:r w:rsidRPr="00E47AA9">
        <w:rPr>
          <w:rFonts w:ascii="Times New Roman" w:eastAsia="Calibri" w:hAnsi="Times New Roman" w:cs="Times New Roman"/>
          <w:sz w:val="28"/>
          <w:szCs w:val="28"/>
        </w:rPr>
        <w:t xml:space="preserve">По информации министерства </w:t>
      </w:r>
      <w:r w:rsidRPr="00E47AA9">
        <w:rPr>
          <w:rFonts w:ascii="Times New Roman" w:hAnsi="Times New Roman" w:cs="Times New Roman"/>
          <w:sz w:val="28"/>
          <w:szCs w:val="28"/>
        </w:rPr>
        <w:t xml:space="preserve">в рамках реализации мероприятий МО: установлена круглогодичная связь до сельских населенных пунктов с сетью автомобильных дорог общего пользования в результате проектирования, строительства, реконструкции автомобильных дорог общего пользования в Пограничном, Анучинском, </w:t>
      </w:r>
      <w:proofErr w:type="spellStart"/>
      <w:r w:rsidRPr="00E47AA9">
        <w:rPr>
          <w:rFonts w:ascii="Times New Roman" w:hAnsi="Times New Roman" w:cs="Times New Roman"/>
          <w:sz w:val="28"/>
          <w:szCs w:val="28"/>
        </w:rPr>
        <w:t>Тернейском</w:t>
      </w:r>
      <w:proofErr w:type="spellEnd"/>
      <w:r w:rsidRPr="00E47AA9">
        <w:rPr>
          <w:rFonts w:ascii="Times New Roman" w:hAnsi="Times New Roman" w:cs="Times New Roman"/>
          <w:sz w:val="28"/>
          <w:szCs w:val="28"/>
        </w:rPr>
        <w:t>, Пожарском и Яковлевском МО на автомобильных дорог</w:t>
      </w:r>
      <w:r w:rsidR="00FA6BCE" w:rsidRPr="00E47AA9">
        <w:rPr>
          <w:rFonts w:ascii="Times New Roman" w:hAnsi="Times New Roman" w:cs="Times New Roman"/>
          <w:sz w:val="28"/>
          <w:szCs w:val="28"/>
        </w:rPr>
        <w:t>ах</w:t>
      </w:r>
      <w:r w:rsidRPr="00E47AA9">
        <w:rPr>
          <w:rFonts w:ascii="Times New Roman" w:hAnsi="Times New Roman" w:cs="Times New Roman"/>
          <w:sz w:val="28"/>
          <w:szCs w:val="28"/>
        </w:rPr>
        <w:t xml:space="preserve"> общей протяженностью 38,347км/246943 кв.</w:t>
      </w:r>
      <w:r w:rsidR="00FD1970" w:rsidRPr="00E47AA9">
        <w:rPr>
          <w:rFonts w:ascii="Times New Roman" w:hAnsi="Times New Roman" w:cs="Times New Roman"/>
          <w:sz w:val="28"/>
          <w:szCs w:val="28"/>
        </w:rPr>
        <w:t xml:space="preserve"> </w:t>
      </w:r>
      <w:r w:rsidRPr="00E47AA9">
        <w:rPr>
          <w:rFonts w:ascii="Times New Roman" w:hAnsi="Times New Roman" w:cs="Times New Roman"/>
          <w:sz w:val="28"/>
          <w:szCs w:val="28"/>
        </w:rPr>
        <w:t>м;</w:t>
      </w:r>
    </w:p>
    <w:p w14:paraId="323F37D6" w14:textId="7D9E99EA" w:rsidR="00A86B54" w:rsidRPr="00E47AA9" w:rsidRDefault="00A86B54" w:rsidP="00A86B54">
      <w:pPr>
        <w:autoSpaceDE w:val="0"/>
        <w:autoSpaceDN w:val="0"/>
        <w:adjustRightInd w:val="0"/>
        <w:spacing w:after="0" w:line="240" w:lineRule="auto"/>
        <w:ind w:firstLine="680"/>
        <w:jc w:val="both"/>
        <w:rPr>
          <w:rFonts w:ascii="Times New Roman" w:hAnsi="Times New Roman" w:cs="Times New Roman"/>
          <w:sz w:val="28"/>
          <w:szCs w:val="28"/>
        </w:rPr>
      </w:pPr>
      <w:r w:rsidRPr="00E47AA9">
        <w:rPr>
          <w:rFonts w:ascii="Times New Roman" w:hAnsi="Times New Roman" w:cs="Times New Roman"/>
          <w:sz w:val="28"/>
          <w:szCs w:val="28"/>
        </w:rPr>
        <w:t>приведены в нормативное состояние автомобильные дороги общего пользования населенных пунктов в результате капитального ремонта и ремонта в 28 МО Приморского края общей протяженности 93,74 км/562852,7 кв.</w:t>
      </w:r>
      <w:r w:rsidR="00FD1970" w:rsidRPr="00E47AA9">
        <w:t xml:space="preserve"> </w:t>
      </w:r>
      <w:r w:rsidRPr="00E47AA9">
        <w:rPr>
          <w:rFonts w:ascii="Times New Roman" w:hAnsi="Times New Roman" w:cs="Times New Roman"/>
          <w:sz w:val="28"/>
          <w:szCs w:val="28"/>
        </w:rPr>
        <w:t>м;</w:t>
      </w:r>
    </w:p>
    <w:p w14:paraId="3E4DD679" w14:textId="45F9076C" w:rsidR="00A86B54" w:rsidRPr="00E47AA9" w:rsidRDefault="00A86B54" w:rsidP="00A86B54">
      <w:pPr>
        <w:autoSpaceDE w:val="0"/>
        <w:autoSpaceDN w:val="0"/>
        <w:adjustRightInd w:val="0"/>
        <w:spacing w:after="0" w:line="240" w:lineRule="auto"/>
        <w:ind w:firstLine="680"/>
        <w:jc w:val="both"/>
        <w:rPr>
          <w:rFonts w:ascii="Times New Roman" w:eastAsia="Calibri" w:hAnsi="Times New Roman" w:cs="Times New Roman"/>
          <w:sz w:val="28"/>
          <w:szCs w:val="28"/>
        </w:rPr>
      </w:pPr>
      <w:r w:rsidRPr="00E47AA9">
        <w:rPr>
          <w:rFonts w:ascii="Times New Roman" w:hAnsi="Times New Roman" w:cs="Times New Roman"/>
          <w:sz w:val="28"/>
          <w:szCs w:val="28"/>
        </w:rPr>
        <w:lastRenderedPageBreak/>
        <w:t>приведены в нормативное состояние автомобильные дороги общего пользования населенных пунктов в результате проектирования, строительства, реконструкции автомобильных дорог общего пользования в Артемовском, Владивостокском, Уссурийском ГО и ГО Большой Камень в общей протяженности 1,752км/11952 кв.</w:t>
      </w:r>
      <w:r w:rsidR="00FD1970" w:rsidRPr="00E47AA9">
        <w:rPr>
          <w:rFonts w:ascii="Times New Roman" w:hAnsi="Times New Roman" w:cs="Times New Roman"/>
          <w:sz w:val="28"/>
          <w:szCs w:val="28"/>
        </w:rPr>
        <w:t> </w:t>
      </w:r>
      <w:r w:rsidRPr="00E47AA9">
        <w:rPr>
          <w:rFonts w:ascii="Times New Roman" w:hAnsi="Times New Roman" w:cs="Times New Roman"/>
          <w:sz w:val="28"/>
          <w:szCs w:val="28"/>
        </w:rPr>
        <w:t xml:space="preserve">м, разработано 3 проектные документации. </w:t>
      </w:r>
    </w:p>
    <w:p w14:paraId="4B29AF9B" w14:textId="27B10BD8" w:rsidR="00A86B54" w:rsidRPr="00E47AA9" w:rsidRDefault="00A86B54" w:rsidP="00A86B54">
      <w:pPr>
        <w:autoSpaceDE w:val="0"/>
        <w:autoSpaceDN w:val="0"/>
        <w:adjustRightInd w:val="0"/>
        <w:spacing w:after="0" w:line="240" w:lineRule="auto"/>
        <w:ind w:firstLine="680"/>
        <w:jc w:val="both"/>
        <w:rPr>
          <w:rFonts w:ascii="Times New Roman" w:hAnsi="Times New Roman" w:cs="Times New Roman"/>
          <w:sz w:val="28"/>
          <w:szCs w:val="28"/>
        </w:rPr>
      </w:pPr>
      <w:r w:rsidRPr="00E47AA9">
        <w:rPr>
          <w:rFonts w:ascii="Times New Roman" w:hAnsi="Times New Roman" w:cs="Times New Roman"/>
          <w:sz w:val="28"/>
          <w:szCs w:val="28"/>
        </w:rPr>
        <w:t>По</w:t>
      </w:r>
      <w:r w:rsidRPr="00E47AA9">
        <w:rPr>
          <w:rFonts w:ascii="Times New Roman" w:hAnsi="Times New Roman" w:cs="Times New Roman"/>
          <w:i/>
          <w:sz w:val="28"/>
          <w:szCs w:val="28"/>
        </w:rPr>
        <w:t xml:space="preserve"> КПМ "</w:t>
      </w:r>
      <w:r w:rsidRPr="00E47AA9">
        <w:rPr>
          <w:rFonts w:ascii="Times New Roman" w:hAnsi="Times New Roman" w:cs="Times New Roman"/>
          <w:i/>
          <w:iCs/>
          <w:sz w:val="28"/>
          <w:szCs w:val="28"/>
        </w:rPr>
        <w:t>Восстановление и поддержание до нормативных требований транспортно-эксплуатационного состояния автомобильных дорог общего пользования регионального или межмуниципального и местного значения Приморского края"</w:t>
      </w:r>
      <w:r w:rsidRPr="00E47AA9">
        <w:rPr>
          <w:rFonts w:ascii="Times New Roman" w:hAnsi="Times New Roman" w:cs="Times New Roman"/>
          <w:sz w:val="28"/>
          <w:szCs w:val="28"/>
        </w:rPr>
        <w:t xml:space="preserve"> исполнено 13589,60 млн рублей, или 94,13 % (план</w:t>
      </w:r>
      <w:r w:rsidR="00E02DD2" w:rsidRPr="00E47AA9">
        <w:rPr>
          <w:rFonts w:ascii="Times New Roman" w:hAnsi="Times New Roman" w:cs="Times New Roman"/>
          <w:sz w:val="28"/>
          <w:szCs w:val="28"/>
        </w:rPr>
        <w:t> –</w:t>
      </w:r>
      <w:r w:rsidRPr="00E47AA9">
        <w:rPr>
          <w:rFonts w:ascii="Times New Roman" w:hAnsi="Times New Roman" w:cs="Times New Roman"/>
          <w:sz w:val="28"/>
          <w:szCs w:val="28"/>
        </w:rPr>
        <w:t xml:space="preserve"> 14436,38 млн рублей</w:t>
      </w:r>
      <w:r w:rsidR="00FA6BCE" w:rsidRPr="00E47AA9">
        <w:rPr>
          <w:rFonts w:ascii="Times New Roman" w:hAnsi="Times New Roman" w:cs="Times New Roman"/>
          <w:sz w:val="28"/>
          <w:szCs w:val="28"/>
        </w:rPr>
        <w:t>)</w:t>
      </w:r>
      <w:r w:rsidRPr="00E47AA9">
        <w:rPr>
          <w:rFonts w:ascii="Times New Roman" w:hAnsi="Times New Roman" w:cs="Times New Roman"/>
          <w:sz w:val="28"/>
          <w:szCs w:val="28"/>
        </w:rPr>
        <w:t>, из которых:</w:t>
      </w:r>
    </w:p>
    <w:p w14:paraId="1942AA5F" w14:textId="77777777"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в полном объеме направлены расходы:</w:t>
      </w:r>
    </w:p>
    <w:p w14:paraId="2D8EC8EB" w14:textId="77777777"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на предоставление бюджетных инвестиций акционерному обществу "Приморское автодорожное ремонтное предприятие" в целях развития дорожной деятельности на автомобильных дорогах регионального или межмуниципального значения на территории Приморского края – 1750,00 млн рублей;</w:t>
      </w:r>
    </w:p>
    <w:p w14:paraId="59BEA102" w14:textId="0EF4E751"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на восстановление автомобильных дорог регионального или межмуниципального и местного значения при ликвидации последствий чрезвычайных ситуаций – 829,20 млн рублей (восстановлено 88,239 км дорог и 28 водопропускных труб);</w:t>
      </w:r>
    </w:p>
    <w:p w14:paraId="0133A811" w14:textId="77777777"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на мероприятия по приобретению в собственность Приморского края разборных автомобильных мостов, их установка, содержание, монтаж, демонтаж (переустановка), прочие работы и услуги – 114,88 млн рублей;</w:t>
      </w:r>
    </w:p>
    <w:p w14:paraId="35C33B97" w14:textId="417E6B55"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на 97,85 %, или 1034,36 млн рублей (план</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 1057,03 млн рублей) направлены расходы на реализацию мероприятий планов социального развития центров экономического роста субъектов Российской Федерации, входящих в состав Дальневосточного федерального округа (ремонт участков автомобильной дороги общего пользования регионального значения Михайловка - Дальнее, км 7+300 - км 9+250 и км 11+150 - км 35 +176 (ТОР "Михайловский"). По информации министерства, не исполнено 22,67 млн рублей из-за отсутствия необходимости выполнения работ, необходимые работы выполнены в полном объеме;</w:t>
      </w:r>
    </w:p>
    <w:p w14:paraId="1DD1D82A" w14:textId="0BE8B571"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на 97,81 %, или 7572,76 млн рублей (7742,27 млн рублей) </w:t>
      </w:r>
      <w:r w:rsidR="00FA6BCE" w:rsidRPr="00E47AA9">
        <w:rPr>
          <w:rFonts w:ascii="Times New Roman" w:hAnsi="Times New Roman" w:cs="Times New Roman"/>
          <w:sz w:val="28"/>
          <w:szCs w:val="28"/>
        </w:rPr>
        <w:t>–</w:t>
      </w:r>
      <w:r w:rsidRPr="00E47AA9">
        <w:rPr>
          <w:rFonts w:ascii="Times New Roman" w:hAnsi="Times New Roman" w:cs="Times New Roman"/>
          <w:sz w:val="28"/>
          <w:szCs w:val="28"/>
        </w:rPr>
        <w:t xml:space="preserve"> на содержание автомобильных дорог регионального или межмуниципального значения на территории Приморского края. Не исполнено 169,50 млн рублей по причине отсутствия необходимости выполнения работ, а также из-за несвоевременного предоставления подрядчиками документов на оплату;</w:t>
      </w:r>
    </w:p>
    <w:p w14:paraId="165E8D11" w14:textId="5704397D"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94,1 %, или 171,43 млн рублей (план </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182,18 млн рублей) на капитальный ремонт автомобильных дорог регионального или межмуниципального значения на территории Приморского края (в целях выполнения работ по капитальному ремонту моста на км 34 автомобильной дороги Находка </w:t>
      </w:r>
      <w:r w:rsidR="00FA6BCE" w:rsidRPr="00E47AA9">
        <w:rPr>
          <w:rFonts w:ascii="Times New Roman" w:hAnsi="Times New Roman" w:cs="Times New Roman"/>
          <w:sz w:val="28"/>
          <w:szCs w:val="28"/>
        </w:rPr>
        <w:t>–</w:t>
      </w:r>
      <w:r w:rsidRPr="00E47AA9">
        <w:rPr>
          <w:rFonts w:ascii="Times New Roman" w:hAnsi="Times New Roman" w:cs="Times New Roman"/>
          <w:sz w:val="28"/>
          <w:szCs w:val="28"/>
        </w:rPr>
        <w:t xml:space="preserve"> Лазо</w:t>
      </w:r>
      <w:r w:rsidR="00FA6BCE" w:rsidRPr="00E47AA9">
        <w:rPr>
          <w:rFonts w:ascii="Times New Roman" w:hAnsi="Times New Roman" w:cs="Times New Roman"/>
          <w:sz w:val="28"/>
          <w:szCs w:val="28"/>
        </w:rPr>
        <w:t> -</w:t>
      </w:r>
      <w:r w:rsidRPr="00E47AA9">
        <w:rPr>
          <w:rFonts w:ascii="Times New Roman" w:hAnsi="Times New Roman" w:cs="Times New Roman"/>
          <w:sz w:val="28"/>
          <w:szCs w:val="28"/>
        </w:rPr>
        <w:t xml:space="preserve"> Ольга </w:t>
      </w:r>
      <w:r w:rsidR="00FA6BCE" w:rsidRPr="00E47AA9">
        <w:rPr>
          <w:rFonts w:ascii="Times New Roman" w:hAnsi="Times New Roman" w:cs="Times New Roman"/>
          <w:sz w:val="28"/>
          <w:szCs w:val="28"/>
        </w:rPr>
        <w:t>-</w:t>
      </w:r>
      <w:r w:rsidRPr="00E47AA9">
        <w:rPr>
          <w:rFonts w:ascii="Times New Roman" w:hAnsi="Times New Roman" w:cs="Times New Roman"/>
          <w:sz w:val="28"/>
          <w:szCs w:val="28"/>
        </w:rPr>
        <w:t xml:space="preserve"> Кавалерово с разработкой проектной </w:t>
      </w:r>
      <w:r w:rsidRPr="00E47AA9">
        <w:rPr>
          <w:rFonts w:ascii="Times New Roman" w:hAnsi="Times New Roman" w:cs="Times New Roman"/>
          <w:sz w:val="28"/>
          <w:szCs w:val="28"/>
        </w:rPr>
        <w:lastRenderedPageBreak/>
        <w:t>документации). Не исполнено 10,75 млн рублей в связи с экономией, сложившейся по результатам конкурсных процедур;</w:t>
      </w:r>
    </w:p>
    <w:p w14:paraId="4456756E" w14:textId="545955A0"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76,8 %, или 1884,32 млн рублей (2453,47 млн рублей)</w:t>
      </w:r>
      <w:r w:rsidR="00FA6BCE" w:rsidRPr="00E47AA9">
        <w:rPr>
          <w:rFonts w:ascii="Times New Roman" w:hAnsi="Times New Roman" w:cs="Times New Roman"/>
          <w:sz w:val="28"/>
          <w:szCs w:val="28"/>
        </w:rPr>
        <w:t>,</w:t>
      </w:r>
      <w:r w:rsidRPr="00E47AA9">
        <w:rPr>
          <w:rFonts w:ascii="Times New Roman" w:hAnsi="Times New Roman" w:cs="Times New Roman"/>
          <w:sz w:val="28"/>
          <w:szCs w:val="28"/>
        </w:rPr>
        <w:t xml:space="preserve"> на ремонт автомобильных дорог регионального или межмуниципального значения на территории Приморского края. Не исполнено 569,15 млн рублей в связи с нарушением подрядчиками сроков и условий контрактов.</w:t>
      </w:r>
    </w:p>
    <w:p w14:paraId="43E3D5E7" w14:textId="77777777"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Расходы за счет пожертвований</w:t>
      </w:r>
      <w:r w:rsidRPr="00E47AA9">
        <w:rPr>
          <w:rFonts w:ascii="Times New Roman" w:hAnsi="Times New Roman" w:cs="Times New Roman"/>
          <w:sz w:val="28"/>
          <w:szCs w:val="28"/>
          <w:vertAlign w:val="superscript"/>
        </w:rPr>
        <w:footnoteReference w:id="98"/>
      </w:r>
      <w:r w:rsidRPr="00E47AA9">
        <w:rPr>
          <w:rFonts w:ascii="Times New Roman" w:hAnsi="Times New Roman" w:cs="Times New Roman"/>
          <w:sz w:val="28"/>
          <w:szCs w:val="28"/>
        </w:rPr>
        <w:t xml:space="preserve"> на ремонт автомобильных дорог регионального или межмуниципального значения на территории Приморского края исполнены в сумме 94,99 млн рублей, или 70,60 % (134,54 млн рублей). Не исполнено 39,56 млн рублей в связи с нарушением подрядчиками сроков и условий контрактов.</w:t>
      </w:r>
    </w:p>
    <w:p w14:paraId="1691C9B3" w14:textId="77777777"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Не расходовались в полном объеме бюджетные назначения на приобретение в собственность Приморского края пакетов пролетных строений мостовых переходов – 34,50 млн рублей в связи с длительностью проведения конкурсных процедур.</w:t>
      </w:r>
    </w:p>
    <w:p w14:paraId="71F39624" w14:textId="77777777" w:rsidR="00A86B54" w:rsidRPr="00E47AA9" w:rsidRDefault="00A86B54" w:rsidP="00A86B54">
      <w:pPr>
        <w:spacing w:after="0" w:line="240" w:lineRule="auto"/>
        <w:ind w:firstLine="709"/>
        <w:jc w:val="both"/>
        <w:rPr>
          <w:rFonts w:ascii="Times New Roman" w:eastAsia="Calibri" w:hAnsi="Times New Roman" w:cs="Times New Roman"/>
          <w:b/>
          <w:sz w:val="28"/>
          <w:szCs w:val="28"/>
        </w:rPr>
      </w:pPr>
      <w:r w:rsidRPr="00E47AA9">
        <w:rPr>
          <w:rFonts w:ascii="Times New Roman" w:eastAsia="Calibri" w:hAnsi="Times New Roman" w:cs="Times New Roman"/>
          <w:b/>
          <w:sz w:val="28"/>
          <w:szCs w:val="28"/>
        </w:rPr>
        <w:t>Подпрограмма "Управление в сфере реализации развития транспортного комплекса и дорожной отрасли в Приморском крае"</w:t>
      </w:r>
    </w:p>
    <w:p w14:paraId="28D3D32C" w14:textId="77777777" w:rsidR="00A86B54" w:rsidRPr="00E47AA9" w:rsidRDefault="00A86B54" w:rsidP="00A86B54">
      <w:pPr>
        <w:spacing w:after="0" w:line="240" w:lineRule="auto"/>
        <w:ind w:firstLine="709"/>
        <w:jc w:val="both"/>
        <w:rPr>
          <w:rFonts w:ascii="Times New Roman" w:eastAsia="Calibri" w:hAnsi="Times New Roman" w:cs="Times New Roman"/>
          <w:b/>
          <w:i/>
          <w:sz w:val="28"/>
          <w:szCs w:val="28"/>
        </w:rPr>
      </w:pPr>
      <w:r w:rsidRPr="00E47AA9">
        <w:rPr>
          <w:rFonts w:ascii="Times New Roman" w:eastAsia="Calibri" w:hAnsi="Times New Roman" w:cs="Times New Roman"/>
          <w:bCs/>
          <w:sz w:val="28"/>
          <w:szCs w:val="28"/>
        </w:rPr>
        <w:t>Бюджетные расходы направлены</w:t>
      </w:r>
      <w:r w:rsidRPr="00E47AA9">
        <w:rPr>
          <w:rFonts w:ascii="Times New Roman" w:eastAsia="Calibri" w:hAnsi="Times New Roman" w:cs="Times New Roman"/>
          <w:b/>
          <w:sz w:val="28"/>
          <w:szCs w:val="28"/>
        </w:rPr>
        <w:t xml:space="preserve"> </w:t>
      </w:r>
      <w:r w:rsidRPr="00E47AA9">
        <w:rPr>
          <w:rFonts w:ascii="Times New Roman" w:eastAsia="Calibri" w:hAnsi="Times New Roman" w:cs="Times New Roman"/>
          <w:sz w:val="28"/>
          <w:szCs w:val="28"/>
        </w:rPr>
        <w:t>по</w:t>
      </w:r>
      <w:r w:rsidRPr="00E47AA9">
        <w:rPr>
          <w:rFonts w:ascii="Times New Roman" w:hAnsi="Times New Roman" w:cs="Times New Roman"/>
          <w:bCs/>
          <w:sz w:val="28"/>
          <w:szCs w:val="28"/>
        </w:rPr>
        <w:t>:</w:t>
      </w:r>
    </w:p>
    <w:p w14:paraId="61590EA2" w14:textId="1D106B0E" w:rsidR="00A86B54" w:rsidRPr="00E47AA9" w:rsidRDefault="00A86B54" w:rsidP="00A86B54">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hAnsi="Times New Roman" w:cs="Times New Roman"/>
          <w:bCs/>
          <w:i/>
          <w:sz w:val="28"/>
          <w:szCs w:val="28"/>
        </w:rPr>
        <w:t>КПМ "Государственное управление и регулирование в сфере транспорта и дорожного хозяйства Приморского края"</w:t>
      </w:r>
      <w:r w:rsidRPr="00E47AA9">
        <w:rPr>
          <w:rFonts w:ascii="Times New Roman" w:hAnsi="Times New Roman" w:cs="Times New Roman"/>
          <w:bCs/>
          <w:sz w:val="28"/>
          <w:szCs w:val="28"/>
        </w:rPr>
        <w:t xml:space="preserve"> – 170,48 млн рублей, или 99,62 % (план </w:t>
      </w:r>
      <w:r w:rsidR="00E02DD2" w:rsidRPr="00E47AA9">
        <w:rPr>
          <w:rFonts w:ascii="Times New Roman" w:hAnsi="Times New Roman" w:cs="Times New Roman"/>
          <w:bCs/>
          <w:sz w:val="28"/>
          <w:szCs w:val="28"/>
        </w:rPr>
        <w:t xml:space="preserve">– </w:t>
      </w:r>
      <w:r w:rsidRPr="00E47AA9">
        <w:rPr>
          <w:rFonts w:ascii="Times New Roman" w:hAnsi="Times New Roman" w:cs="Times New Roman"/>
          <w:bCs/>
          <w:sz w:val="28"/>
          <w:szCs w:val="28"/>
        </w:rPr>
        <w:t>171,13 млн рублей), из них на обеспечение деятельности (оказание услуг, выполнение работ) краевых государственных учреждений – 170,27 млн рублей, или 99,79 % (170,63 млн рублей).</w:t>
      </w:r>
    </w:p>
    <w:p w14:paraId="309339EA" w14:textId="77777777" w:rsidR="00A86B54" w:rsidRPr="00E47AA9" w:rsidRDefault="00A86B54" w:rsidP="00A86B54">
      <w:pPr>
        <w:spacing w:after="0" w:line="240" w:lineRule="auto"/>
        <w:ind w:firstLine="709"/>
        <w:jc w:val="both"/>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ГП "Обеспечение доступным жильем и качественными услугами жилищно-коммунального хозяйства населения Приморского края"</w:t>
      </w:r>
    </w:p>
    <w:p w14:paraId="1B21906A" w14:textId="683A5EA5" w:rsidR="00A86B54" w:rsidRPr="00E47AA9" w:rsidRDefault="00A86B54" w:rsidP="00A86B54">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По </w:t>
      </w:r>
      <w:r w:rsidRPr="00E47AA9">
        <w:rPr>
          <w:rFonts w:ascii="Times New Roman" w:eastAsia="Times New Roman" w:hAnsi="Times New Roman" w:cs="Times New Roman"/>
          <w:i/>
          <w:sz w:val="28"/>
          <w:szCs w:val="28"/>
          <w:lang w:eastAsia="ru-RU"/>
        </w:rPr>
        <w:t>КПМ "Создание условий для развития жилищного строительства"</w:t>
      </w:r>
      <w:r w:rsidRPr="00E47AA9">
        <w:rPr>
          <w:rFonts w:ascii="Times New Roman" w:eastAsia="Times New Roman" w:hAnsi="Times New Roman" w:cs="Times New Roman"/>
          <w:sz w:val="28"/>
          <w:szCs w:val="28"/>
          <w:lang w:eastAsia="ru-RU"/>
        </w:rPr>
        <w:t xml:space="preserve"> исполнение составило 199,62 млн рублей, или 58,31 % (план </w:t>
      </w:r>
      <w:r w:rsidR="00E02DD2"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342,31 млн рублей). Средства направлены на реализацию инфраструктурных проектов за счет бюджетных кредитов из федерального бюджета на объекты:</w:t>
      </w:r>
    </w:p>
    <w:p w14:paraId="71ADF424" w14:textId="77777777" w:rsidR="00A86B54" w:rsidRPr="00E47AA9" w:rsidRDefault="00A86B54" w:rsidP="00A86B54">
      <w:pPr>
        <w:spacing w:after="0" w:line="240" w:lineRule="auto"/>
        <w:ind w:firstLine="709"/>
        <w:jc w:val="both"/>
        <w:rPr>
          <w:rFonts w:ascii="Times New Roman" w:eastAsia="SimSun" w:hAnsi="Times New Roman" w:cs="Times New Roman"/>
          <w:iCs/>
          <w:sz w:val="28"/>
          <w:szCs w:val="28"/>
        </w:rPr>
      </w:pPr>
      <w:r w:rsidRPr="00E47AA9">
        <w:rPr>
          <w:rFonts w:ascii="Times New Roman" w:hAnsi="Times New Roman" w:cs="Times New Roman"/>
          <w:sz w:val="28"/>
          <w:szCs w:val="28"/>
          <w:u w:val="single"/>
        </w:rPr>
        <w:t>м</w:t>
      </w:r>
      <w:r w:rsidRPr="00E47AA9">
        <w:rPr>
          <w:rFonts w:ascii="Times New Roman" w:eastAsia="SimSun" w:hAnsi="Times New Roman" w:cs="Times New Roman"/>
          <w:iCs/>
          <w:sz w:val="28"/>
          <w:szCs w:val="28"/>
          <w:u w:val="single"/>
        </w:rPr>
        <w:t xml:space="preserve">инистерством транспорта и дорожного хозяйства Приморского края </w:t>
      </w:r>
      <w:r w:rsidRPr="00E47AA9">
        <w:rPr>
          <w:rFonts w:ascii="Times New Roman" w:eastAsia="SimSun" w:hAnsi="Times New Roman" w:cs="Times New Roman"/>
          <w:iCs/>
          <w:sz w:val="28"/>
          <w:szCs w:val="28"/>
        </w:rPr>
        <w:t>– 125,45 млн рублей в полном объеме на завершение строительства дороги к ЖСК "Остров" на полуострове Саперном. Объект введен в эксплуатацию</w:t>
      </w:r>
      <w:r w:rsidRPr="00E47AA9">
        <w:rPr>
          <w:rFonts w:ascii="Times New Roman" w:eastAsia="Times New Roman" w:hAnsi="Times New Roman" w:cs="Times New Roman"/>
          <w:sz w:val="28"/>
          <w:szCs w:val="28"/>
          <w:lang w:eastAsia="ru-RU"/>
        </w:rPr>
        <w:t xml:space="preserve">, </w:t>
      </w:r>
      <w:r w:rsidRPr="00E47AA9">
        <w:rPr>
          <w:rFonts w:ascii="Times New Roman" w:eastAsia="SimSun" w:hAnsi="Times New Roman" w:cs="Times New Roman"/>
          <w:iCs/>
          <w:sz w:val="28"/>
          <w:szCs w:val="28"/>
        </w:rPr>
        <w:t>произведена реконструкция путепровода через железную дорогу на км 19+524 автомобильной дороги Артем-Находка-порт Восточный и подходов к нему, открыто движение в тестовом режиме;</w:t>
      </w:r>
    </w:p>
    <w:p w14:paraId="397C0DC7" w14:textId="1F076F5A" w:rsidR="00A86B54" w:rsidRPr="00E47AA9" w:rsidRDefault="00A86B54" w:rsidP="00A86B54">
      <w:pPr>
        <w:spacing w:after="0" w:line="240" w:lineRule="auto"/>
        <w:ind w:firstLine="709"/>
        <w:jc w:val="both"/>
        <w:rPr>
          <w:rFonts w:ascii="Times New Roman" w:eastAsia="SimSun" w:hAnsi="Times New Roman" w:cs="Times New Roman"/>
          <w:iCs/>
          <w:sz w:val="28"/>
          <w:szCs w:val="28"/>
        </w:rPr>
      </w:pPr>
      <w:r w:rsidRPr="00E47AA9">
        <w:rPr>
          <w:rFonts w:ascii="Times New Roman" w:eastAsia="SimSun" w:hAnsi="Times New Roman" w:cs="Times New Roman"/>
          <w:iCs/>
          <w:sz w:val="28"/>
          <w:szCs w:val="28"/>
          <w:u w:val="single"/>
        </w:rPr>
        <w:t>министерством строительства Приморского края</w:t>
      </w:r>
      <w:r w:rsidRPr="00E47AA9">
        <w:rPr>
          <w:rFonts w:ascii="Times New Roman" w:eastAsia="SimSun" w:hAnsi="Times New Roman" w:cs="Times New Roman"/>
          <w:iCs/>
          <w:sz w:val="28"/>
          <w:szCs w:val="28"/>
        </w:rPr>
        <w:t xml:space="preserve"> – 74,17 млн рублей, или 34,20 % (</w:t>
      </w:r>
      <w:r w:rsidR="00FA6BCE" w:rsidRPr="00E47AA9">
        <w:rPr>
          <w:rFonts w:ascii="Times New Roman" w:eastAsia="SimSun" w:hAnsi="Times New Roman" w:cs="Times New Roman"/>
          <w:iCs/>
          <w:sz w:val="28"/>
          <w:szCs w:val="28"/>
        </w:rPr>
        <w:t>план</w:t>
      </w:r>
      <w:r w:rsidR="00E02DD2" w:rsidRPr="00E47AA9">
        <w:rPr>
          <w:rFonts w:ascii="Times New Roman" w:eastAsia="SimSun" w:hAnsi="Times New Roman" w:cs="Times New Roman"/>
          <w:iCs/>
          <w:sz w:val="28"/>
          <w:szCs w:val="28"/>
        </w:rPr>
        <w:t xml:space="preserve"> –</w:t>
      </w:r>
      <w:r w:rsidR="00FA6BCE" w:rsidRPr="00E47AA9">
        <w:rPr>
          <w:rFonts w:ascii="Times New Roman" w:eastAsia="SimSun" w:hAnsi="Times New Roman" w:cs="Times New Roman"/>
          <w:iCs/>
          <w:sz w:val="28"/>
          <w:szCs w:val="28"/>
        </w:rPr>
        <w:t xml:space="preserve"> </w:t>
      </w:r>
      <w:r w:rsidRPr="00E47AA9">
        <w:rPr>
          <w:rFonts w:ascii="Times New Roman" w:eastAsia="SimSun" w:hAnsi="Times New Roman" w:cs="Times New Roman"/>
          <w:iCs/>
          <w:sz w:val="28"/>
          <w:szCs w:val="28"/>
        </w:rPr>
        <w:t>216,86 млн рублей), в том числе по мероприяти</w:t>
      </w:r>
      <w:r w:rsidR="00FA6BCE" w:rsidRPr="00E47AA9">
        <w:rPr>
          <w:rFonts w:ascii="Times New Roman" w:eastAsia="SimSun" w:hAnsi="Times New Roman" w:cs="Times New Roman"/>
          <w:iCs/>
          <w:sz w:val="28"/>
          <w:szCs w:val="28"/>
        </w:rPr>
        <w:t>я</w:t>
      </w:r>
      <w:r w:rsidRPr="00E47AA9">
        <w:rPr>
          <w:rFonts w:ascii="Times New Roman" w:eastAsia="SimSun" w:hAnsi="Times New Roman" w:cs="Times New Roman"/>
          <w:iCs/>
          <w:sz w:val="28"/>
          <w:szCs w:val="28"/>
        </w:rPr>
        <w:t xml:space="preserve">м: </w:t>
      </w:r>
    </w:p>
    <w:p w14:paraId="67295924" w14:textId="024657BD"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iCs/>
          <w:sz w:val="28"/>
          <w:szCs w:val="28"/>
          <w:shd w:val="clear" w:color="auto" w:fill="FFFFFF"/>
        </w:rPr>
        <w:t xml:space="preserve">не направлены в полном объеме субсидии </w:t>
      </w:r>
      <w:r w:rsidRPr="00E47AA9">
        <w:rPr>
          <w:rFonts w:ascii="Times New Roman" w:hAnsi="Times New Roman" w:cs="Times New Roman"/>
          <w:sz w:val="28"/>
          <w:szCs w:val="28"/>
        </w:rPr>
        <w:t xml:space="preserve">на музейный и театрально-образовательный комплекс г. Владивосток (реконструкция улично-дорожной </w:t>
      </w:r>
      <w:r w:rsidRPr="00E47AA9">
        <w:rPr>
          <w:rFonts w:ascii="Times New Roman" w:hAnsi="Times New Roman" w:cs="Times New Roman"/>
          <w:sz w:val="28"/>
          <w:szCs w:val="28"/>
        </w:rPr>
        <w:lastRenderedPageBreak/>
        <w:t xml:space="preserve">сети) (план </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118,67 млн рублей). Срок завершения мероприятия перенесен на 2025 год, в настоящий момент </w:t>
      </w:r>
      <w:r w:rsidRPr="00E47AA9">
        <w:rPr>
          <w:rFonts w:ascii="Times New Roman" w:eastAsia="Times New Roman" w:hAnsi="Times New Roman" w:cs="Times New Roman"/>
          <w:sz w:val="28"/>
          <w:szCs w:val="28"/>
          <w:lang w:eastAsia="ru-RU"/>
        </w:rPr>
        <w:t>ведется работа по передаче земельных участков из краевой собственности в муниципальную для проведения мероприятий по указанному объекту</w:t>
      </w:r>
      <w:r w:rsidRPr="00E47AA9">
        <w:rPr>
          <w:rFonts w:ascii="Times New Roman" w:hAnsi="Times New Roman" w:cs="Times New Roman"/>
          <w:sz w:val="28"/>
          <w:szCs w:val="28"/>
        </w:rPr>
        <w:t xml:space="preserve">; </w:t>
      </w:r>
    </w:p>
    <w:p w14:paraId="384DAFB7" w14:textId="2DE5A953" w:rsidR="00A86B54" w:rsidRPr="00E47AA9" w:rsidRDefault="00A86B54" w:rsidP="00A86B54">
      <w:pPr>
        <w:spacing w:after="0" w:line="240" w:lineRule="auto"/>
        <w:ind w:firstLine="709"/>
        <w:jc w:val="both"/>
        <w:rPr>
          <w:rFonts w:ascii="Times New Roman" w:eastAsia="SimSun" w:hAnsi="Times New Roman" w:cs="Times New Roman"/>
          <w:iCs/>
          <w:sz w:val="28"/>
          <w:szCs w:val="28"/>
        </w:rPr>
      </w:pPr>
      <w:r w:rsidRPr="00E47AA9">
        <w:rPr>
          <w:rFonts w:ascii="Times New Roman" w:hAnsi="Times New Roman" w:cs="Times New Roman"/>
          <w:sz w:val="28"/>
          <w:szCs w:val="28"/>
        </w:rPr>
        <w:t xml:space="preserve">на 75,53 %, или 74,17 млн рублей (план </w:t>
      </w:r>
      <w:r w:rsidR="00E02DD2" w:rsidRPr="00E47AA9">
        <w:rPr>
          <w:rFonts w:ascii="Times New Roman" w:hAnsi="Times New Roman" w:cs="Times New Roman"/>
          <w:sz w:val="28"/>
          <w:szCs w:val="28"/>
        </w:rPr>
        <w:t xml:space="preserve">– </w:t>
      </w:r>
      <w:r w:rsidRPr="00E47AA9">
        <w:rPr>
          <w:rFonts w:ascii="Times New Roman" w:hAnsi="Times New Roman" w:cs="Times New Roman"/>
          <w:sz w:val="28"/>
          <w:szCs w:val="28"/>
        </w:rPr>
        <w:t xml:space="preserve">98,19 млн рублей) </w:t>
      </w:r>
      <w:r w:rsidR="00A917BB" w:rsidRPr="00E47AA9">
        <w:rPr>
          <w:rFonts w:ascii="Times New Roman" w:hAnsi="Times New Roman" w:cs="Times New Roman"/>
          <w:sz w:val="28"/>
          <w:szCs w:val="28"/>
        </w:rPr>
        <w:t>–</w:t>
      </w:r>
      <w:r w:rsidRPr="00E47AA9">
        <w:rPr>
          <w:rFonts w:ascii="Times New Roman" w:hAnsi="Times New Roman" w:cs="Times New Roman"/>
          <w:sz w:val="28"/>
          <w:szCs w:val="28"/>
        </w:rPr>
        <w:t xml:space="preserve"> по объекту музейный и театрально-образовательный комплекс г. Владивосток (капитальный ремонт улично-дорожной сети). Не направлено 24,02 млн рублей в связи с экономией, сложившейся в результате корректировки проектных решений.</w:t>
      </w:r>
    </w:p>
    <w:p w14:paraId="175AE011" w14:textId="29739FB3" w:rsidR="00A86B54" w:rsidRPr="00E47AA9" w:rsidRDefault="00A86B54" w:rsidP="00A86B54">
      <w:pPr>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sz w:val="28"/>
          <w:szCs w:val="28"/>
          <w:lang w:eastAsia="ru-RU"/>
        </w:rPr>
        <w:t xml:space="preserve">По </w:t>
      </w:r>
      <w:r w:rsidRPr="00E47AA9">
        <w:rPr>
          <w:rFonts w:ascii="Times New Roman" w:eastAsia="Times New Roman" w:hAnsi="Times New Roman" w:cs="Times New Roman"/>
          <w:i/>
          <w:sz w:val="28"/>
          <w:szCs w:val="28"/>
          <w:lang w:eastAsia="ru-RU"/>
        </w:rPr>
        <w:t>КПМ "Реализация мероприятий, источником финансового обеспечения которых являются специальные казначейские кредиты из федерального бюджета"</w:t>
      </w:r>
      <w:r w:rsidR="00A917BB" w:rsidRPr="00E47AA9">
        <w:rPr>
          <w:rFonts w:ascii="Times New Roman" w:eastAsia="Times New Roman" w:hAnsi="Times New Roman" w:cs="Times New Roman"/>
          <w:i/>
          <w:sz w:val="28"/>
          <w:szCs w:val="28"/>
          <w:lang w:eastAsia="ru-RU"/>
        </w:rPr>
        <w:t>,</w:t>
      </w:r>
      <w:r w:rsidRPr="00E47AA9">
        <w:rPr>
          <w:rFonts w:ascii="Times New Roman" w:eastAsia="Times New Roman" w:hAnsi="Times New Roman" w:cs="Times New Roman"/>
          <w:sz w:val="28"/>
          <w:szCs w:val="28"/>
          <w:lang w:eastAsia="ru-RU"/>
        </w:rPr>
        <w:t xml:space="preserve"> направлено 367,06 млн рублей, или 35,61 % (1030,84 млн рублей)</w:t>
      </w:r>
      <w:r w:rsidR="00A917BB"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 на</w:t>
      </w:r>
      <w:r w:rsidRPr="00E47AA9">
        <w:rPr>
          <w:rFonts w:ascii="Times New Roman" w:hAnsi="Times New Roman" w:cs="Times New Roman"/>
          <w:sz w:val="28"/>
          <w:szCs w:val="28"/>
        </w:rPr>
        <w:t xml:space="preserve"> </w:t>
      </w:r>
      <w:r w:rsidRPr="00E47AA9">
        <w:rPr>
          <w:rFonts w:ascii="Times New Roman" w:eastAsia="Times New Roman" w:hAnsi="Times New Roman" w:cs="Times New Roman"/>
          <w:sz w:val="28"/>
          <w:szCs w:val="28"/>
          <w:lang w:eastAsia="ru-RU"/>
        </w:rPr>
        <w:t>строительство, реконструкцию (модернизаци</w:t>
      </w:r>
      <w:r w:rsidR="00A0501C" w:rsidRPr="00E47AA9">
        <w:rPr>
          <w:rFonts w:ascii="Times New Roman" w:eastAsia="Times New Roman" w:hAnsi="Times New Roman" w:cs="Times New Roman"/>
          <w:sz w:val="28"/>
          <w:szCs w:val="28"/>
          <w:lang w:eastAsia="ru-RU"/>
        </w:rPr>
        <w:t>ю</w:t>
      </w:r>
      <w:r w:rsidRPr="00E47AA9">
        <w:rPr>
          <w:rFonts w:ascii="Times New Roman" w:eastAsia="Times New Roman" w:hAnsi="Times New Roman" w:cs="Times New Roman"/>
          <w:sz w:val="28"/>
          <w:szCs w:val="28"/>
          <w:lang w:eastAsia="ru-RU"/>
        </w:rPr>
        <w:t xml:space="preserve">), капитальный ремонт объектов коммунальной, транспортной инфраструктур, приобретение подвижного состава городского транспорта общего пользования, технологическое присоединение к сетям инженерно-технического обеспечения, выполнение работ по благоустройству территорий). Не исполнено </w:t>
      </w:r>
      <w:r w:rsidRPr="00E47AA9">
        <w:rPr>
          <w:rFonts w:ascii="Times New Roman" w:hAnsi="Times New Roman" w:cs="Times New Roman"/>
          <w:sz w:val="28"/>
          <w:szCs w:val="28"/>
        </w:rPr>
        <w:t>663,78 млн рублей. По информации министерства строительства Приморского края</w:t>
      </w:r>
      <w:r w:rsidR="00A0501C" w:rsidRPr="00E47AA9">
        <w:rPr>
          <w:rFonts w:ascii="Times New Roman" w:hAnsi="Times New Roman" w:cs="Times New Roman"/>
          <w:sz w:val="28"/>
          <w:szCs w:val="28"/>
        </w:rPr>
        <w:t>,</w:t>
      </w:r>
      <w:r w:rsidRPr="00E47AA9">
        <w:rPr>
          <w:rFonts w:ascii="Times New Roman" w:hAnsi="Times New Roman" w:cs="Times New Roman"/>
          <w:sz w:val="28"/>
          <w:szCs w:val="28"/>
        </w:rPr>
        <w:t xml:space="preserve"> финансирование по фактически выполненным и документально подтвержденным работам на указанные цели произведено в полном объеме.</w:t>
      </w:r>
    </w:p>
    <w:p w14:paraId="1452A4D3" w14:textId="77777777" w:rsidR="00A86B54" w:rsidRPr="00E47AA9" w:rsidRDefault="00A86B54" w:rsidP="00A86B54">
      <w:pPr>
        <w:spacing w:after="0" w:line="240" w:lineRule="auto"/>
        <w:ind w:firstLine="708"/>
        <w:jc w:val="center"/>
        <w:rPr>
          <w:rFonts w:ascii="Times New Roman" w:eastAsia="Calibri" w:hAnsi="Times New Roman" w:cs="Times New Roman"/>
          <w:sz w:val="28"/>
          <w:szCs w:val="28"/>
        </w:rPr>
      </w:pPr>
    </w:p>
    <w:p w14:paraId="4189F26B" w14:textId="77777777" w:rsidR="000711E6" w:rsidRPr="00E47AA9" w:rsidRDefault="000711E6" w:rsidP="00515109">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 xml:space="preserve">5.4. Непрограммные направления деятельности </w:t>
      </w:r>
    </w:p>
    <w:p w14:paraId="6425BC73" w14:textId="77777777" w:rsidR="000711E6" w:rsidRPr="00E47AA9" w:rsidRDefault="000711E6" w:rsidP="000711E6">
      <w:pPr>
        <w:spacing w:after="0" w:line="240" w:lineRule="auto"/>
        <w:ind w:firstLine="708"/>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органов государственной власти</w:t>
      </w:r>
    </w:p>
    <w:p w14:paraId="16BB6FDB"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Законом о краевом бюджете на 2024 год в первоначальной редакции бюджетные ассигнования на непрограммные расходы утверждены в размере 6291,91 млн рублей. В действующей редакции Закона № 687-КЗ бюджетные ассигнования составили 12463,71 млн рублей. </w:t>
      </w:r>
    </w:p>
    <w:p w14:paraId="2FBEE380"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rPr>
      </w:pPr>
      <w:r w:rsidRPr="00E47AA9">
        <w:rPr>
          <w:rFonts w:ascii="Times New Roman" w:eastAsia="Times New Roman" w:hAnsi="Times New Roman" w:cs="Times New Roman"/>
          <w:sz w:val="28"/>
          <w:szCs w:val="28"/>
        </w:rPr>
        <w:t xml:space="preserve">Согласно </w:t>
      </w:r>
      <w:proofErr w:type="gramStart"/>
      <w:r w:rsidRPr="00E47AA9">
        <w:rPr>
          <w:rFonts w:ascii="Times New Roman" w:eastAsia="Times New Roman" w:hAnsi="Times New Roman" w:cs="Times New Roman"/>
          <w:sz w:val="28"/>
          <w:szCs w:val="28"/>
          <w:lang w:eastAsia="ru-RU"/>
        </w:rPr>
        <w:t>отчету</w:t>
      </w:r>
      <w:proofErr w:type="gramEnd"/>
      <w:r w:rsidRPr="00E47AA9">
        <w:rPr>
          <w:rFonts w:ascii="Times New Roman" w:eastAsia="Times New Roman" w:hAnsi="Times New Roman" w:cs="Times New Roman"/>
          <w:sz w:val="28"/>
          <w:szCs w:val="28"/>
          <w:lang w:eastAsia="ru-RU"/>
        </w:rPr>
        <w:t xml:space="preserve"> плановые назначения увеличены на 284,24 млн рублей</w:t>
      </w:r>
      <w:r w:rsidRPr="00E47AA9">
        <w:rPr>
          <w:rFonts w:ascii="Times New Roman" w:eastAsia="Times New Roman" w:hAnsi="Times New Roman" w:cs="Times New Roman"/>
          <w:sz w:val="28"/>
          <w:szCs w:val="28"/>
        </w:rPr>
        <w:t xml:space="preserve"> до 12947,95 млн рублей. Исполнение составило 12481,08 млн рублей, или 96,39 %. </w:t>
      </w:r>
    </w:p>
    <w:p w14:paraId="492A6F27"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4"/>
          <w:lang w:eastAsia="ru-RU"/>
        </w:rPr>
      </w:pPr>
      <w:r w:rsidRPr="00E47AA9">
        <w:rPr>
          <w:rFonts w:ascii="Times New Roman" w:eastAsia="Times New Roman" w:hAnsi="Times New Roman" w:cs="Times New Roman"/>
          <w:sz w:val="28"/>
          <w:szCs w:val="24"/>
          <w:lang w:eastAsia="ru-RU"/>
        </w:rPr>
        <w:t>Удельный вес кассовых н</w:t>
      </w:r>
      <w:r w:rsidRPr="00E47AA9">
        <w:rPr>
          <w:rFonts w:ascii="Times New Roman" w:eastAsia="Times New Roman" w:hAnsi="Times New Roman" w:cs="Times New Roman"/>
          <w:sz w:val="28"/>
          <w:szCs w:val="28"/>
          <w:lang w:eastAsia="ru-RU"/>
        </w:rPr>
        <w:t>епрограммных</w:t>
      </w:r>
      <w:r w:rsidRPr="00E47AA9">
        <w:rPr>
          <w:rFonts w:ascii="Times New Roman" w:eastAsia="Times New Roman" w:hAnsi="Times New Roman" w:cs="Times New Roman"/>
          <w:sz w:val="28"/>
          <w:szCs w:val="24"/>
          <w:lang w:eastAsia="ru-RU"/>
        </w:rPr>
        <w:t xml:space="preserve"> расходов в общем объеме исполненных расходов краевого бюджета составил 5,27 %. </w:t>
      </w:r>
    </w:p>
    <w:p w14:paraId="7BF71A35" w14:textId="1D428CE0" w:rsidR="000711E6" w:rsidRPr="00E47AA9" w:rsidRDefault="000711E6" w:rsidP="000711E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В 2024 году расходы краевого бюджета на исполнение непрограммных мероприятий осуществляли 30</w:t>
      </w:r>
      <w:r w:rsidR="00A0501C" w:rsidRPr="00E47AA9">
        <w:rPr>
          <w:rFonts w:ascii="Times New Roman" w:eastAsia="Calibri" w:hAnsi="Times New Roman" w:cs="Times New Roman"/>
          <w:sz w:val="28"/>
          <w:szCs w:val="28"/>
        </w:rPr>
        <w:t xml:space="preserve"> ГРБС, из них основной объем: </w:t>
      </w:r>
      <w:r w:rsidRPr="00E47AA9">
        <w:rPr>
          <w:rFonts w:ascii="Times New Roman" w:eastAsia="Calibri" w:hAnsi="Times New Roman" w:cs="Times New Roman"/>
          <w:sz w:val="28"/>
          <w:szCs w:val="28"/>
        </w:rPr>
        <w:t>по министерству труда и социальной политики Приморского края – 4068,05 млн рублей, министерству по делам гражданской обороны, защиты от чрезвычайных ситуаций и ликвидации последствий стихийных бедствий Приморского края – 3127,14 млн рублей, Правительств</w:t>
      </w:r>
      <w:r w:rsidR="00330F59" w:rsidRPr="00E47AA9">
        <w:rPr>
          <w:rFonts w:ascii="Times New Roman" w:eastAsia="Calibri" w:hAnsi="Times New Roman" w:cs="Times New Roman"/>
          <w:sz w:val="28"/>
          <w:szCs w:val="28"/>
        </w:rPr>
        <w:t>у</w:t>
      </w:r>
      <w:r w:rsidRPr="00E47AA9">
        <w:rPr>
          <w:rFonts w:ascii="Times New Roman" w:eastAsia="Calibri" w:hAnsi="Times New Roman" w:cs="Times New Roman"/>
          <w:sz w:val="28"/>
          <w:szCs w:val="28"/>
        </w:rPr>
        <w:t xml:space="preserve"> Приморского края – 993,26 млн рублей, министерств</w:t>
      </w:r>
      <w:r w:rsidR="00330F59" w:rsidRPr="00E47AA9">
        <w:rPr>
          <w:rFonts w:ascii="Times New Roman" w:eastAsia="Calibri" w:hAnsi="Times New Roman" w:cs="Times New Roman"/>
          <w:sz w:val="28"/>
          <w:szCs w:val="28"/>
        </w:rPr>
        <w:t>у</w:t>
      </w:r>
      <w:r w:rsidRPr="00E47AA9">
        <w:rPr>
          <w:rFonts w:ascii="Times New Roman" w:eastAsia="Calibri" w:hAnsi="Times New Roman" w:cs="Times New Roman"/>
          <w:sz w:val="28"/>
          <w:szCs w:val="28"/>
        </w:rPr>
        <w:t xml:space="preserve"> финансов Приморского края – 520,34 млн рублей, департаменту внутренней политики Приморского края – 474,74 млн рублей.</w:t>
      </w:r>
    </w:p>
    <w:p w14:paraId="51B56ACC" w14:textId="77777777" w:rsidR="000711E6" w:rsidRPr="00E47AA9" w:rsidRDefault="000711E6" w:rsidP="000711E6">
      <w:pPr>
        <w:spacing w:after="0" w:line="240" w:lineRule="auto"/>
        <w:ind w:firstLine="709"/>
        <w:jc w:val="both"/>
        <w:rPr>
          <w:rFonts w:ascii="Times New Roman" w:eastAsia="Calibri" w:hAnsi="Times New Roman" w:cs="Times New Roman"/>
          <w:sz w:val="28"/>
          <w:szCs w:val="28"/>
        </w:rPr>
      </w:pPr>
      <w:r w:rsidRPr="00E47AA9">
        <w:rPr>
          <w:rFonts w:ascii="Times New Roman" w:eastAsia="Times New Roman" w:hAnsi="Times New Roman" w:cs="Times New Roman"/>
          <w:sz w:val="28"/>
          <w:szCs w:val="28"/>
        </w:rPr>
        <w:t>Неисполненный остаток уточненных бюджетных назначений на конец отчетного года составил 466,87 млн рублей, из них большая часть (414,32 млн рублей) приходится на</w:t>
      </w:r>
      <w:r w:rsidRPr="00E47AA9">
        <w:rPr>
          <w:rFonts w:ascii="Times New Roman" w:eastAsia="Calibri" w:hAnsi="Times New Roman" w:cs="Times New Roman"/>
          <w:sz w:val="28"/>
          <w:szCs w:val="28"/>
        </w:rPr>
        <w:t>:</w:t>
      </w:r>
    </w:p>
    <w:p w14:paraId="37CF0494" w14:textId="77777777" w:rsidR="000711E6" w:rsidRPr="00E47AA9" w:rsidRDefault="000711E6" w:rsidP="000711E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lastRenderedPageBreak/>
        <w:t>министерство по делам гражданской обороны, защиты от чрезвычайных ситуаций и ликвидации последствий стихийных бедствий Приморского края –200,33 млн рублей, из них 196,83 млн рублей – по Резервному фонду Правительства Приморского края по ликвидации чрезвычайных ситуаций природного и техногенного характера в связи с отсутствием непредвиденных ситуаций;</w:t>
      </w:r>
    </w:p>
    <w:p w14:paraId="1BEF6DE5" w14:textId="77777777" w:rsidR="000711E6" w:rsidRPr="00E47AA9" w:rsidRDefault="000711E6" w:rsidP="000711E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министерство финансов Приморского края – 147,56 млн рублей, из них 142,74 млн рублей – остаток зарезервированных средств, подлежащих перераспределению в ходе исполнения бюджетов на соответствующие группы, подгруппы и элементы;</w:t>
      </w:r>
    </w:p>
    <w:p w14:paraId="4B57B2A6" w14:textId="07962199" w:rsidR="000711E6" w:rsidRPr="00E47AA9" w:rsidRDefault="000711E6" w:rsidP="000711E6">
      <w:pPr>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Государственную ветеринарную инспекцию Приморского края – </w:t>
      </w:r>
      <w:r w:rsidRPr="00E47AA9">
        <w:rPr>
          <w:rFonts w:ascii="Times New Roman" w:eastAsia="Calibri" w:hAnsi="Times New Roman" w:cs="Times New Roman"/>
          <w:sz w:val="28"/>
          <w:szCs w:val="28"/>
        </w:rPr>
        <w:br/>
        <w:t xml:space="preserve">33,87 млн рублей на реализацию государственных полномочий по организации мероприятий при осуществлении деятельности по обращению с животными без владельцев. Расходы осуществлены </w:t>
      </w:r>
      <w:r w:rsidR="00A706BB" w:rsidRPr="00E47AA9">
        <w:rPr>
          <w:rFonts w:ascii="Times New Roman" w:eastAsia="Calibri" w:hAnsi="Times New Roman" w:cs="Times New Roman"/>
          <w:sz w:val="28"/>
          <w:szCs w:val="28"/>
        </w:rPr>
        <w:t>по</w:t>
      </w:r>
      <w:r w:rsidRPr="00E47AA9">
        <w:rPr>
          <w:rFonts w:ascii="Times New Roman" w:eastAsia="Calibri" w:hAnsi="Times New Roman" w:cs="Times New Roman"/>
          <w:sz w:val="28"/>
          <w:szCs w:val="28"/>
        </w:rPr>
        <w:t xml:space="preserve"> </w:t>
      </w:r>
      <w:r w:rsidR="00A706BB" w:rsidRPr="00E47AA9">
        <w:rPr>
          <w:rFonts w:ascii="Times New Roman" w:eastAsia="Calibri" w:hAnsi="Times New Roman" w:cs="Times New Roman"/>
          <w:sz w:val="28"/>
          <w:szCs w:val="28"/>
        </w:rPr>
        <w:t>заявкам муниципальных образований Приморского края</w:t>
      </w:r>
      <w:r w:rsidRPr="00E47AA9">
        <w:rPr>
          <w:rFonts w:ascii="Times New Roman" w:eastAsia="Calibri" w:hAnsi="Times New Roman" w:cs="Times New Roman"/>
          <w:sz w:val="28"/>
          <w:szCs w:val="28"/>
        </w:rPr>
        <w:t xml:space="preserve"> в объеме фактической потребности;</w:t>
      </w:r>
    </w:p>
    <w:p w14:paraId="7E6D5694" w14:textId="77777777" w:rsidR="000711E6" w:rsidRPr="00E47AA9" w:rsidRDefault="000711E6" w:rsidP="000711E6">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Calibri" w:hAnsi="Times New Roman" w:cs="Times New Roman"/>
          <w:sz w:val="28"/>
          <w:szCs w:val="28"/>
        </w:rPr>
        <w:t xml:space="preserve">Правительство Приморского края – 32,56 млн рублей, из них: 24,83 млн рублей – остаток из </w:t>
      </w:r>
      <w:r w:rsidRPr="00E47AA9">
        <w:rPr>
          <w:rFonts w:ascii="Times New Roman" w:eastAsia="Times New Roman" w:hAnsi="Times New Roman" w:cs="Times New Roman"/>
          <w:sz w:val="28"/>
          <w:szCs w:val="28"/>
          <w:lang w:eastAsia="ru-RU"/>
        </w:rPr>
        <w:t>резервного фонда Правительства Приморского края в связи с отсутствием необходимости.</w:t>
      </w:r>
    </w:p>
    <w:p w14:paraId="439F6885" w14:textId="611B85C8" w:rsidR="000711E6" w:rsidRPr="00E47AA9" w:rsidRDefault="000711E6" w:rsidP="000711E6">
      <w:pPr>
        <w:spacing w:after="0" w:line="240" w:lineRule="auto"/>
        <w:ind w:firstLine="708"/>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В непрограммных расходах предусмотрен </w:t>
      </w:r>
      <w:r w:rsidRPr="00E47AA9">
        <w:rPr>
          <w:rFonts w:ascii="Times New Roman" w:eastAsia="Calibri" w:hAnsi="Times New Roman" w:cs="Times New Roman"/>
          <w:b/>
          <w:i/>
          <w:sz w:val="28"/>
          <w:szCs w:val="28"/>
        </w:rPr>
        <w:t>резерв материальных ресурсов Приморского края для ликвидации чрезвычайных ситуаций природного и техногенного характера</w:t>
      </w:r>
      <w:r w:rsidRPr="00E47AA9">
        <w:rPr>
          <w:rFonts w:ascii="Times New Roman" w:eastAsia="Calibri" w:hAnsi="Times New Roman" w:cs="Times New Roman"/>
          <w:sz w:val="28"/>
          <w:szCs w:val="28"/>
        </w:rPr>
        <w:t xml:space="preserve">, который за отчетный год освоен </w:t>
      </w:r>
      <w:r w:rsidRPr="00E47AA9">
        <w:rPr>
          <w:rFonts w:ascii="Times New Roman" w:eastAsia="Calibri" w:hAnsi="Times New Roman" w:cs="Times New Roman"/>
          <w:sz w:val="28"/>
          <w:szCs w:val="28"/>
        </w:rPr>
        <w:br/>
        <w:t xml:space="preserve">в сумме 68,03 млн рублей, или 98,25 % (план </w:t>
      </w:r>
      <w:r w:rsidR="00E02DD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69,25 млн рублей), из которых в основном:</w:t>
      </w:r>
    </w:p>
    <w:p w14:paraId="5579A0CA" w14:textId="226C90DE" w:rsidR="000711E6" w:rsidRPr="00E47AA9" w:rsidRDefault="000711E6" w:rsidP="000711E6">
      <w:pPr>
        <w:spacing w:after="0" w:line="240" w:lineRule="auto"/>
        <w:ind w:firstLine="70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министерством по делам гражданской обороны, защиты </w:t>
      </w:r>
      <w:r w:rsidRPr="00E47AA9">
        <w:rPr>
          <w:rFonts w:ascii="Times New Roman" w:eastAsia="Calibri" w:hAnsi="Times New Roman" w:cs="Times New Roman"/>
          <w:sz w:val="28"/>
          <w:szCs w:val="28"/>
        </w:rPr>
        <w:br/>
        <w:t xml:space="preserve">от чрезвычайных ситуаций и ликвидации последствий стихийных бедствий Приморского края – </w:t>
      </w:r>
      <w:r w:rsidRPr="00E47AA9">
        <w:rPr>
          <w:rFonts w:ascii="Times New Roman" w:eastAsia="Times New Roman" w:hAnsi="Times New Roman" w:cs="Times New Roman"/>
          <w:sz w:val="28"/>
        </w:rPr>
        <w:t xml:space="preserve">30,53 млн рублей, или 99,08 % (план </w:t>
      </w:r>
      <w:r w:rsidR="00E02DD2" w:rsidRPr="00E47AA9">
        <w:rPr>
          <w:rFonts w:ascii="Times New Roman" w:eastAsia="Times New Roman" w:hAnsi="Times New Roman" w:cs="Times New Roman"/>
          <w:sz w:val="28"/>
        </w:rPr>
        <w:t xml:space="preserve">– </w:t>
      </w:r>
      <w:r w:rsidRPr="00E47AA9">
        <w:rPr>
          <w:rFonts w:ascii="Times New Roman" w:eastAsia="Times New Roman" w:hAnsi="Times New Roman" w:cs="Times New Roman"/>
          <w:sz w:val="28"/>
        </w:rPr>
        <w:t xml:space="preserve">30,81 млн рублей). </w:t>
      </w:r>
      <w:r w:rsidRPr="00E47AA9">
        <w:rPr>
          <w:rFonts w:ascii="Times New Roman" w:eastAsia="Calibri" w:hAnsi="Times New Roman" w:cs="Times New Roman"/>
          <w:sz w:val="28"/>
          <w:szCs w:val="28"/>
        </w:rPr>
        <w:t>Не исполнен</w:t>
      </w:r>
      <w:r w:rsidR="00A0501C" w:rsidRPr="00E47AA9">
        <w:rPr>
          <w:rFonts w:ascii="Times New Roman" w:eastAsia="Calibri" w:hAnsi="Times New Roman" w:cs="Times New Roman"/>
          <w:sz w:val="28"/>
          <w:szCs w:val="28"/>
        </w:rPr>
        <w:t xml:space="preserve">о </w:t>
      </w:r>
      <w:r w:rsidRPr="00E47AA9">
        <w:rPr>
          <w:rFonts w:ascii="Times New Roman" w:eastAsia="Calibri" w:hAnsi="Times New Roman" w:cs="Times New Roman"/>
          <w:sz w:val="28"/>
          <w:szCs w:val="28"/>
        </w:rPr>
        <w:t xml:space="preserve">0,28 млн рублей в связи с экономией, сложившейся </w:t>
      </w:r>
      <w:r w:rsidRPr="00E47AA9">
        <w:rPr>
          <w:rFonts w:ascii="Times New Roman" w:eastAsia="Calibri" w:hAnsi="Times New Roman" w:cs="Times New Roman"/>
          <w:sz w:val="28"/>
          <w:szCs w:val="28"/>
        </w:rPr>
        <w:br/>
        <w:t>в результате проведенных конкурсных процедур;</w:t>
      </w:r>
    </w:p>
    <w:p w14:paraId="361A437E" w14:textId="413ACBE0" w:rsidR="000711E6" w:rsidRPr="00E47AA9" w:rsidRDefault="000711E6" w:rsidP="000711E6">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министерством цифрового развития и связи Приморского края –26,57 млн рублей в полном объеме</w:t>
      </w:r>
      <w:r w:rsidR="00A0501C"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w:t>
      </w:r>
    </w:p>
    <w:p w14:paraId="289C1802" w14:textId="6DC26708" w:rsidR="000711E6" w:rsidRPr="00E47AA9" w:rsidRDefault="000711E6" w:rsidP="000711E6">
      <w:pPr>
        <w:pStyle w:val="aff8"/>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министерством сельского хозяйства Приморского края средства резерва</w:t>
      </w:r>
      <w:r w:rsidR="00A0501C"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 xml:space="preserve"> 8,19 млн рублей, или 92,84 % (план </w:t>
      </w:r>
      <w:r w:rsidR="00E02DD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 xml:space="preserve">8,82 млн рублей). Остаток неосвоенных 0,63  млн рублей сложился по причине расторжения государственного контракта от 18.04.2024 № 116601 "Передача отходов I и (или) II классов опасности федеральному оператору, а федеральный оператор обязуется принять отходы и оказать услугу по обращению с отходами </w:t>
      </w:r>
      <w:r w:rsidR="00A0501C"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сбор, транспортирование, обработку, утилизацию, обезвреживание, размещение отходов в соответствии с законодательством Российской Федерации" в связи </w:t>
      </w:r>
      <w:r w:rsidR="00A0501C" w:rsidRPr="00E47AA9">
        <w:rPr>
          <w:rFonts w:ascii="Times New Roman" w:eastAsia="Calibri" w:hAnsi="Times New Roman" w:cs="Times New Roman"/>
          <w:sz w:val="28"/>
          <w:szCs w:val="28"/>
        </w:rPr>
        <w:t xml:space="preserve">с </w:t>
      </w:r>
      <w:r w:rsidRPr="00E47AA9">
        <w:rPr>
          <w:rFonts w:ascii="Times New Roman" w:eastAsia="Calibri" w:hAnsi="Times New Roman" w:cs="Times New Roman"/>
          <w:sz w:val="28"/>
          <w:szCs w:val="28"/>
        </w:rPr>
        <w:t>невозможностью его исполнения до конца финансового года из-за длительной доставки отходов транспортной компанией.</w:t>
      </w:r>
    </w:p>
    <w:p w14:paraId="074D2EDD" w14:textId="77777777" w:rsidR="00626BCE" w:rsidRPr="00E47AA9" w:rsidRDefault="00626BCE" w:rsidP="000711E6">
      <w:pPr>
        <w:pStyle w:val="aff8"/>
        <w:ind w:firstLine="709"/>
        <w:jc w:val="both"/>
        <w:rPr>
          <w:rFonts w:ascii="Times New Roman" w:eastAsia="Calibri" w:hAnsi="Times New Roman" w:cs="Times New Roman"/>
          <w:sz w:val="16"/>
          <w:szCs w:val="16"/>
        </w:rPr>
      </w:pPr>
    </w:p>
    <w:p w14:paraId="6A0DDB45" w14:textId="77777777" w:rsidR="000711E6" w:rsidRPr="00E47AA9" w:rsidRDefault="000711E6" w:rsidP="00515109">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5.5. Резервные фонды Правительства Приморского края</w:t>
      </w:r>
    </w:p>
    <w:p w14:paraId="30A1CF44" w14:textId="141921C1" w:rsidR="000711E6" w:rsidRPr="00E47AA9" w:rsidRDefault="000711E6" w:rsidP="000711E6">
      <w:pPr>
        <w:spacing w:after="0" w:line="240" w:lineRule="auto"/>
        <w:ind w:firstLine="708"/>
        <w:jc w:val="both"/>
        <w:rPr>
          <w:rFonts w:ascii="Times New Roman" w:hAnsi="Times New Roman" w:cs="Times New Roman"/>
          <w:bCs/>
          <w:iCs/>
          <w:sz w:val="28"/>
          <w:szCs w:val="28"/>
        </w:rPr>
      </w:pPr>
      <w:r w:rsidRPr="00E47AA9">
        <w:rPr>
          <w:rFonts w:ascii="Times New Roman" w:hAnsi="Times New Roman" w:cs="Times New Roman"/>
          <w:sz w:val="28"/>
          <w:szCs w:val="28"/>
        </w:rPr>
        <w:t>В соответствии со статьей 81.1 Бюджетного кодекса</w:t>
      </w:r>
      <w:r w:rsidR="00330F59" w:rsidRPr="00E47AA9">
        <w:rPr>
          <w:rFonts w:ascii="Times New Roman" w:hAnsi="Times New Roman" w:cs="Times New Roman"/>
          <w:sz w:val="28"/>
          <w:szCs w:val="28"/>
        </w:rPr>
        <w:t xml:space="preserve"> Российской Федерации</w:t>
      </w:r>
      <w:r w:rsidRPr="00E47AA9">
        <w:rPr>
          <w:rFonts w:ascii="Times New Roman" w:hAnsi="Times New Roman" w:cs="Times New Roman"/>
          <w:sz w:val="28"/>
          <w:szCs w:val="28"/>
        </w:rPr>
        <w:t xml:space="preserve">, пунктом 3 Порядка создания и использования бюджетных </w:t>
      </w:r>
      <w:r w:rsidRPr="00E47AA9">
        <w:rPr>
          <w:rFonts w:ascii="Times New Roman" w:hAnsi="Times New Roman" w:cs="Times New Roman"/>
          <w:sz w:val="28"/>
          <w:szCs w:val="28"/>
        </w:rPr>
        <w:lastRenderedPageBreak/>
        <w:t>ассигнований резервного фонда Правительства Приморского края по ликвидации чрезвычайных ситуаций природного и техногенного характера на территории Приморского края, утвержденного постановлением Правительства Приморского края</w:t>
      </w:r>
      <w:r w:rsidR="00330F59" w:rsidRPr="00E47AA9">
        <w:rPr>
          <w:rFonts w:ascii="Times New Roman" w:hAnsi="Times New Roman" w:cs="Times New Roman"/>
          <w:sz w:val="28"/>
          <w:szCs w:val="28"/>
        </w:rPr>
        <w:t xml:space="preserve"> </w:t>
      </w:r>
      <w:r w:rsidRPr="00E47AA9">
        <w:rPr>
          <w:rFonts w:ascii="Times New Roman" w:hAnsi="Times New Roman" w:cs="Times New Roman"/>
          <w:sz w:val="28"/>
          <w:szCs w:val="28"/>
        </w:rPr>
        <w:t>от 13.07.2023 № 478-пп, ч</w:t>
      </w:r>
      <w:r w:rsidRPr="00E47AA9">
        <w:rPr>
          <w:rFonts w:ascii="Times New Roman" w:eastAsia="Times New Roman" w:hAnsi="Times New Roman" w:cs="Times New Roman"/>
          <w:sz w:val="28"/>
          <w:szCs w:val="28"/>
          <w:lang w:eastAsia="ru-RU"/>
        </w:rPr>
        <w:t xml:space="preserve">астью 8 статьи 10 закона о краевом бюджете на 2024 год утвержден размер </w:t>
      </w:r>
      <w:r w:rsidRPr="00E47AA9">
        <w:rPr>
          <w:rFonts w:ascii="Times New Roman" w:eastAsia="Times New Roman" w:hAnsi="Times New Roman" w:cs="Times New Roman"/>
          <w:b/>
          <w:i/>
          <w:sz w:val="28"/>
          <w:szCs w:val="28"/>
          <w:lang w:eastAsia="ru-RU"/>
        </w:rPr>
        <w:t xml:space="preserve">резервного фонда Правительства Приморского края по ликвидации чрезвычайных ситуаций природного и техногенного характера </w:t>
      </w:r>
      <w:r w:rsidRPr="00E47AA9">
        <w:rPr>
          <w:rFonts w:ascii="Times New Roman" w:eastAsia="Times New Roman" w:hAnsi="Times New Roman" w:cs="Times New Roman"/>
          <w:sz w:val="28"/>
          <w:szCs w:val="28"/>
          <w:lang w:eastAsia="ru-RU"/>
        </w:rPr>
        <w:t>(далее – фонд по ЧС) в сумме 338,00 </w:t>
      </w:r>
      <w:r w:rsidRPr="00E47AA9">
        <w:rPr>
          <w:rFonts w:ascii="Times New Roman" w:hAnsi="Times New Roman" w:cs="Times New Roman"/>
          <w:bCs/>
          <w:iCs/>
          <w:sz w:val="28"/>
          <w:szCs w:val="28"/>
        </w:rPr>
        <w:t xml:space="preserve">млн рублей. </w:t>
      </w:r>
    </w:p>
    <w:p w14:paraId="4A993E71" w14:textId="77777777" w:rsidR="000711E6" w:rsidRPr="00E47AA9" w:rsidRDefault="000711E6" w:rsidP="000711E6">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Согласно </w:t>
      </w:r>
      <w:proofErr w:type="gramStart"/>
      <w:r w:rsidRPr="00E47AA9">
        <w:rPr>
          <w:rFonts w:ascii="Times New Roman" w:eastAsia="Times New Roman" w:hAnsi="Times New Roman" w:cs="Times New Roman"/>
          <w:sz w:val="28"/>
          <w:szCs w:val="28"/>
          <w:lang w:eastAsia="ru-RU"/>
        </w:rPr>
        <w:t>отчету</w:t>
      </w:r>
      <w:proofErr w:type="gramEnd"/>
      <w:r w:rsidRPr="00E47AA9">
        <w:rPr>
          <w:rFonts w:ascii="Times New Roman" w:eastAsia="Times New Roman" w:hAnsi="Times New Roman" w:cs="Times New Roman"/>
          <w:sz w:val="28"/>
          <w:szCs w:val="28"/>
          <w:lang w:eastAsia="ru-RU"/>
        </w:rPr>
        <w:t xml:space="preserve"> об исполнении краевого бюджета расходование средств фонда по ЧС сформировано в составе непрограммных расходов </w:t>
      </w:r>
      <w:r w:rsidRPr="00E47AA9">
        <w:rPr>
          <w:rFonts w:ascii="Times New Roman" w:eastAsia="Times New Roman" w:hAnsi="Times New Roman" w:cs="Times New Roman"/>
          <w:sz w:val="28"/>
          <w:szCs w:val="28"/>
          <w:lang w:eastAsia="ru-RU"/>
        </w:rPr>
        <w:br/>
        <w:t xml:space="preserve">в сумме 1378,85 млн рублей, что больше на 840,80 млн рублей законодательно утвержденных назначений в связи с их уточнением финансовым органом </w:t>
      </w:r>
      <w:r w:rsidRPr="00E47AA9">
        <w:rPr>
          <w:rFonts w:ascii="Times New Roman" w:eastAsia="Times New Roman" w:hAnsi="Times New Roman" w:cs="Times New Roman"/>
          <w:sz w:val="28"/>
          <w:szCs w:val="28"/>
          <w:lang w:eastAsia="ru-RU"/>
        </w:rPr>
        <w:br/>
        <w:t>без внесения изменений в закон о краевом бюджете.</w:t>
      </w:r>
    </w:p>
    <w:p w14:paraId="73FD4D9D" w14:textId="77777777" w:rsidR="000711E6" w:rsidRPr="00E47AA9" w:rsidRDefault="000711E6" w:rsidP="000711E6">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За 2024 год уточненные бюджетные назначения фонда по ЧС исполнены на 85,35 %, или 1176,81 млн рублей. В связи с отсутствием необходимости в нераспределенном остатке 202,04 млн рублей, из них: 200,05 млн рублей числящиеся по министерству по делам гражданской обороны, защиты от чрезвычайных ситуаций и ликвидации последствий стихийных бедствий Приморского края.</w:t>
      </w:r>
    </w:p>
    <w:p w14:paraId="579774B3" w14:textId="77777777" w:rsidR="000711E6" w:rsidRPr="00E47AA9" w:rsidRDefault="000711E6" w:rsidP="000711E6">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2024 году расходы осуществляли восемь ГРБС, из них в наибольших объемах:</w:t>
      </w:r>
    </w:p>
    <w:p w14:paraId="6864C9D2" w14:textId="7CE09F57" w:rsidR="000711E6" w:rsidRPr="00E47AA9" w:rsidRDefault="000711E6" w:rsidP="000711E6">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министерством по делам гражданской обороны, защиты от чрезвычайных ситуаций и ликвидации последствий стихийных бедствий Приморского края – 584,31 млн рублей, или 74,50 % (план </w:t>
      </w:r>
      <w:r w:rsidR="00FD1970"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 xml:space="preserve">784,36 млн рублей) на размещение и питание в пунктах временного размещения и питания граждан Российской Федерации, иностранных граждан и лиц без гражданства, постоянно проживающих на территории Украины, а также на территориях субъектов Российской Федерации, на которых введены максимальный и средний уровни реагирования, вынужденно покинувших жилые помещения; на оплату государственных контрактов, заключаемых на закупку горюче-смазочных материалов, комплектующего оборудования для экскаваторов, проведения регламентного технического обслуживания тяжелой (тракторной) техники (РТО) и технического обслуживания по пробегу тяжелой (автомобильной) техники; на закупку и поставку горюче-смазочных материалов для заправки пожарной и тяжелой техники, задействованной в проведении аварийно-спасательных работ по расчистке русел рек и дноуглубительных работ; на экстренную закупку и поставку материальных средств, не включенных в резерв материальных ресурсов для ликвидации чрезвычайных ситуаций природного и техногенного характера на территории Приморского края, при введении режима чрезвычайной ситуации, режима повышенной готовности и мониторинга пожарной обстановки и координации сил и средств, задействованных в тушении пожаров; на закупку на экстренную закупку тяжелой и грузовой колесной техники, дизельных электростанций для осуществления аварийно-спасательных и неотложных </w:t>
      </w:r>
      <w:r w:rsidRPr="00E47AA9">
        <w:rPr>
          <w:rFonts w:ascii="Times New Roman" w:eastAsia="Times New Roman" w:hAnsi="Times New Roman" w:cs="Times New Roman"/>
          <w:sz w:val="28"/>
          <w:szCs w:val="28"/>
          <w:lang w:eastAsia="ru-RU"/>
        </w:rPr>
        <w:lastRenderedPageBreak/>
        <w:t xml:space="preserve">аварийно-восстановительных работ по локализации и ликвидации очагов повышенной опасности, связанных с восстановлением пропускной способности русел рек; на оплату </w:t>
      </w:r>
      <w:proofErr w:type="spellStart"/>
      <w:r w:rsidRPr="00E47AA9">
        <w:rPr>
          <w:rFonts w:ascii="Times New Roman" w:eastAsia="Times New Roman" w:hAnsi="Times New Roman" w:cs="Times New Roman"/>
          <w:sz w:val="28"/>
          <w:szCs w:val="28"/>
          <w:lang w:eastAsia="ru-RU"/>
        </w:rPr>
        <w:t>авиаработ</w:t>
      </w:r>
      <w:proofErr w:type="spellEnd"/>
      <w:r w:rsidRPr="00E47AA9">
        <w:rPr>
          <w:rFonts w:ascii="Times New Roman" w:eastAsia="Times New Roman" w:hAnsi="Times New Roman" w:cs="Times New Roman"/>
          <w:sz w:val="28"/>
          <w:szCs w:val="28"/>
          <w:lang w:eastAsia="ru-RU"/>
        </w:rPr>
        <w:t xml:space="preserve"> на вертолетах в 2024 году с целью определения мест, границ и характера разрушений, завалов, образовавшихся в зоне чрезвычайной ситуации, ввода (вывода) сил и средств в зону (из зоны) чрезвычайной ситуации, поиска пострадавших в зоне чрезвычайной ситуации, эвакуации населения из зоны чрезвычайной ситуации и его возвращения в места постоянного проживания, доставки грузов в пострадавшие </w:t>
      </w:r>
      <w:r w:rsidRPr="00E47AA9">
        <w:rPr>
          <w:rFonts w:ascii="Times New Roman" w:eastAsia="Times New Roman" w:hAnsi="Times New Roman" w:cs="Times New Roman"/>
          <w:sz w:val="28"/>
          <w:szCs w:val="28"/>
          <w:lang w:eastAsia="ru-RU"/>
        </w:rPr>
        <w:br/>
        <w:t xml:space="preserve">при чрезвычайной ситуации районы; </w:t>
      </w:r>
    </w:p>
    <w:p w14:paraId="7D9F7279" w14:textId="169EF3C0" w:rsidR="000711E6" w:rsidRPr="00E47AA9" w:rsidRDefault="000711E6" w:rsidP="000711E6">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министерством труда и социальной политики Приморского края – 205,85 млн рублей (план </w:t>
      </w:r>
      <w:r w:rsidR="00E02DD2"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206,04 млн рублей) на: оказание единовременной материальной помощи гражданам Российской Федерации, иностранным гражданам и лицам без гражданства, пострадавшим в результате чрезвычайной ситуации природного и техногенного характера (</w:t>
      </w:r>
      <w:proofErr w:type="spellStart"/>
      <w:r w:rsidRPr="00E47AA9">
        <w:rPr>
          <w:rFonts w:ascii="Times New Roman" w:eastAsia="Times New Roman" w:hAnsi="Times New Roman" w:cs="Times New Roman"/>
          <w:sz w:val="28"/>
          <w:szCs w:val="28"/>
          <w:lang w:eastAsia="ru-RU"/>
        </w:rPr>
        <w:t>Ольгинский</w:t>
      </w:r>
      <w:proofErr w:type="spellEnd"/>
      <w:r w:rsidRPr="00E47AA9">
        <w:rPr>
          <w:rFonts w:ascii="Times New Roman" w:eastAsia="Times New Roman" w:hAnsi="Times New Roman" w:cs="Times New Roman"/>
          <w:sz w:val="28"/>
          <w:szCs w:val="28"/>
          <w:lang w:eastAsia="ru-RU"/>
        </w:rPr>
        <w:t xml:space="preserve"> МО, Кавалеровский МО); предоставление выплат на осуществление капитального ремонта жилых помещений, поврежденных в результате чрезвычайной ситуации природного и техногенного характера, обусловленной комплексом неблагоприятных метеорологических явлений, произошедших в августе 2023 года на территории Приморского края; оказание финансовой помощи в связи с утратой имущества первой необходимости гражданам Российской Федерации, иностранным гражданам и лицам без гражданства, пострадавшим в результате чрезвычайной ситуации природного и техногенного характера; предоставление выплат на приобретение жилых помещений гражданам, жилые помещения которых утрачены в результате чрезвычайной ситуации, обусловленной комплексом неблагоприятных метеорологических явлений, произошедших в августе 2023 года на территории Приморского края; оказание финансовой помощи в связи с утратой имущества первой необходимости гражданам Российской Федерации, иностранным гражданам и лицам без гражданства, пострадавшим в результате чрезвычайной ситуации природного и техногенного характера;</w:t>
      </w:r>
    </w:p>
    <w:p w14:paraId="68F78F74" w14:textId="0C3BCCA2" w:rsidR="000711E6" w:rsidRPr="00E47AA9" w:rsidRDefault="000711E6" w:rsidP="000711E6">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министерством транспорта и дорожного хозяйства Приморского края –123,04 млн рублей, или 99,60 % (план </w:t>
      </w:r>
      <w:r w:rsidR="00E02DD2"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123,53 млн рублей) на проведение неотложных аварийно-восстановительных работ на объектах транспортной инфраструктуры местного значения, пострадавших в результате чрезвычайной ситуации регионального характера (автомобильная дорога микрорайона Каменушка Дальнереченского  ГО, участок 32-39-го км автомобильной дороги "с. </w:t>
      </w:r>
      <w:proofErr w:type="spellStart"/>
      <w:r w:rsidRPr="00E47AA9">
        <w:rPr>
          <w:rFonts w:ascii="Times New Roman" w:eastAsia="Times New Roman" w:hAnsi="Times New Roman" w:cs="Times New Roman"/>
          <w:sz w:val="28"/>
          <w:szCs w:val="28"/>
          <w:lang w:eastAsia="ru-RU"/>
        </w:rPr>
        <w:t>Федосьевка</w:t>
      </w:r>
      <w:proofErr w:type="spellEnd"/>
      <w:r w:rsidRPr="00E47AA9">
        <w:rPr>
          <w:rFonts w:ascii="Times New Roman" w:eastAsia="Times New Roman" w:hAnsi="Times New Roman" w:cs="Times New Roman"/>
          <w:sz w:val="28"/>
          <w:szCs w:val="28"/>
          <w:lang w:eastAsia="ru-RU"/>
        </w:rPr>
        <w:t xml:space="preserve"> </w:t>
      </w:r>
      <w:r w:rsidR="003B79A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с. Верхний Перевал", объектов</w:t>
      </w:r>
      <w:r w:rsidR="003B79A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пострадавших в результате чрезвычайной ситуации, вызванной ливневыми дождями на территории Партизанского муниципального округа Приморского края 23.07.2024), на оплату государственного контракта (договора), заключаемого на экстренную закупку металлических гофрированных конструкций для проведения аварийно-восстановительных работ </w:t>
      </w:r>
      <w:r w:rsidRPr="00E47AA9">
        <w:rPr>
          <w:rFonts w:ascii="Times New Roman" w:eastAsia="Times New Roman" w:hAnsi="Times New Roman" w:cs="Times New Roman"/>
          <w:sz w:val="28"/>
          <w:szCs w:val="28"/>
          <w:lang w:eastAsia="ru-RU"/>
        </w:rPr>
        <w:br/>
        <w:t>на территории Приморского края;</w:t>
      </w:r>
    </w:p>
    <w:p w14:paraId="7C474CF3" w14:textId="79F3835A" w:rsidR="000711E6" w:rsidRPr="00E47AA9" w:rsidRDefault="000711E6" w:rsidP="000711E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 xml:space="preserve">Агентством по гидротехническим сооружениям, мелиорации </w:t>
      </w:r>
      <w:r w:rsidRPr="00E47AA9">
        <w:rPr>
          <w:rFonts w:ascii="Times New Roman" w:eastAsia="Times New Roman" w:hAnsi="Times New Roman" w:cs="Times New Roman"/>
          <w:sz w:val="28"/>
          <w:szCs w:val="28"/>
          <w:lang w:eastAsia="ru-RU"/>
        </w:rPr>
        <w:br/>
        <w:t xml:space="preserve">и гидрологии Приморского края </w:t>
      </w:r>
      <w:r w:rsidR="003B79A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106,68 млн рублей, или 98,79 % (</w:t>
      </w:r>
      <w:r w:rsidR="006B7EC2" w:rsidRPr="00E47AA9">
        <w:rPr>
          <w:rFonts w:ascii="Times New Roman" w:eastAsia="Times New Roman" w:hAnsi="Times New Roman" w:cs="Times New Roman"/>
          <w:sz w:val="28"/>
          <w:szCs w:val="28"/>
          <w:lang w:eastAsia="ru-RU"/>
        </w:rPr>
        <w:t>план –</w:t>
      </w:r>
      <w:r w:rsidRPr="00E47AA9">
        <w:rPr>
          <w:rFonts w:ascii="Times New Roman" w:eastAsia="Times New Roman" w:hAnsi="Times New Roman" w:cs="Times New Roman"/>
          <w:sz w:val="28"/>
          <w:szCs w:val="28"/>
          <w:lang w:eastAsia="ru-RU"/>
        </w:rPr>
        <w:br/>
        <w:t xml:space="preserve">107,99 млн рублей. Средства направлены: </w:t>
      </w:r>
      <w:proofErr w:type="spellStart"/>
      <w:r w:rsidRPr="00E47AA9">
        <w:rPr>
          <w:rFonts w:ascii="Times New Roman" w:eastAsia="Times New Roman" w:hAnsi="Times New Roman" w:cs="Times New Roman"/>
          <w:sz w:val="28"/>
          <w:szCs w:val="28"/>
          <w:lang w:eastAsia="ru-RU"/>
        </w:rPr>
        <w:t>Хасанскому</w:t>
      </w:r>
      <w:proofErr w:type="spellEnd"/>
      <w:r w:rsidRPr="00E47AA9">
        <w:rPr>
          <w:rFonts w:ascii="Times New Roman" w:eastAsia="Times New Roman" w:hAnsi="Times New Roman" w:cs="Times New Roman"/>
          <w:sz w:val="28"/>
          <w:szCs w:val="28"/>
          <w:lang w:eastAsia="ru-RU"/>
        </w:rPr>
        <w:t xml:space="preserve"> МО – на проведение аварийно-спасательных работ на участках рек Андреевка и </w:t>
      </w:r>
      <w:proofErr w:type="spellStart"/>
      <w:r w:rsidRPr="00E47AA9">
        <w:rPr>
          <w:rFonts w:ascii="Times New Roman" w:eastAsia="Times New Roman" w:hAnsi="Times New Roman" w:cs="Times New Roman"/>
          <w:sz w:val="28"/>
          <w:szCs w:val="28"/>
          <w:lang w:eastAsia="ru-RU"/>
        </w:rPr>
        <w:t>Барабашевка</w:t>
      </w:r>
      <w:proofErr w:type="spellEnd"/>
      <w:r w:rsidRPr="00E47AA9">
        <w:rPr>
          <w:rFonts w:ascii="Times New Roman" w:eastAsia="Times New Roman" w:hAnsi="Times New Roman" w:cs="Times New Roman"/>
          <w:sz w:val="28"/>
          <w:szCs w:val="28"/>
          <w:lang w:eastAsia="ru-RU"/>
        </w:rPr>
        <w:t xml:space="preserve">, проходящих по территории Хасанского МО, </w:t>
      </w:r>
      <w:proofErr w:type="spellStart"/>
      <w:r w:rsidRPr="00E47AA9">
        <w:rPr>
          <w:rFonts w:ascii="Times New Roman" w:eastAsia="Times New Roman" w:hAnsi="Times New Roman" w:cs="Times New Roman"/>
          <w:sz w:val="28"/>
          <w:szCs w:val="28"/>
          <w:lang w:eastAsia="ru-RU"/>
        </w:rPr>
        <w:t>Дальнереченскому</w:t>
      </w:r>
      <w:proofErr w:type="spellEnd"/>
      <w:r w:rsidRPr="00E47AA9">
        <w:rPr>
          <w:rFonts w:ascii="Times New Roman" w:eastAsia="Times New Roman" w:hAnsi="Times New Roman" w:cs="Times New Roman"/>
          <w:sz w:val="28"/>
          <w:szCs w:val="28"/>
          <w:lang w:eastAsia="ru-RU"/>
        </w:rPr>
        <w:t xml:space="preserve"> ГО – </w:t>
      </w:r>
      <w:r w:rsidRPr="00E47AA9">
        <w:rPr>
          <w:rFonts w:ascii="Times New Roman" w:eastAsia="Times New Roman" w:hAnsi="Times New Roman" w:cs="Times New Roman"/>
          <w:sz w:val="28"/>
          <w:szCs w:val="28"/>
          <w:lang w:eastAsia="ru-RU"/>
        </w:rPr>
        <w:br/>
        <w:t xml:space="preserve">на проведение аварийно-спасательных работ по устройству заградительных насыпей для отвода вод рек Белая, Малиновка и Большая Уссурка </w:t>
      </w:r>
      <w:r w:rsidRPr="00E47AA9">
        <w:rPr>
          <w:rFonts w:ascii="Times New Roman" w:eastAsia="Times New Roman" w:hAnsi="Times New Roman" w:cs="Times New Roman"/>
          <w:sz w:val="28"/>
          <w:szCs w:val="28"/>
          <w:lang w:eastAsia="ru-RU"/>
        </w:rPr>
        <w:br/>
        <w:t>и восстановлению тела ограждающей дамбы ДО-4 для защиты жилого сектора г. Дальнереченска; КГБУ "Управление по эксплуатации и капитальному строительству гидротехнических сооружений Приморского края" – на закупку горюче-смазочных материалов для обеспечения заправки техники, задействованной в осуществлении работ по локализации и ликвидации очагов повышенной опасности, связанных с восстановлением пропускной способности русел рек;</w:t>
      </w:r>
    </w:p>
    <w:p w14:paraId="565FF120" w14:textId="77777777" w:rsidR="000711E6" w:rsidRPr="00E47AA9" w:rsidRDefault="000711E6" w:rsidP="000711E6">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министерством лесного хозяйства, охраны окружающей среды, животного мира и природных ресурсов Приморского края – 99,82 млн рублей в полном объеме Средства направлены КГБУ "Приморская авиабаза" (80,27 млн рублей) и КГКУ "</w:t>
      </w:r>
      <w:proofErr w:type="spellStart"/>
      <w:r w:rsidRPr="00E47AA9">
        <w:rPr>
          <w:rFonts w:ascii="Times New Roman" w:eastAsia="Times New Roman" w:hAnsi="Times New Roman" w:cs="Times New Roman"/>
          <w:sz w:val="28"/>
          <w:szCs w:val="28"/>
          <w:lang w:eastAsia="ru-RU"/>
        </w:rPr>
        <w:t>Примлес</w:t>
      </w:r>
      <w:proofErr w:type="spellEnd"/>
      <w:r w:rsidRPr="00E47AA9">
        <w:rPr>
          <w:rFonts w:ascii="Times New Roman" w:eastAsia="Times New Roman" w:hAnsi="Times New Roman" w:cs="Times New Roman"/>
          <w:sz w:val="28"/>
          <w:szCs w:val="28"/>
          <w:lang w:eastAsia="ru-RU"/>
        </w:rPr>
        <w:t>" (19,55 млн рублей) на оплату государственных контрактов (договоров), заключаемых на экстренную закупку и поставку материальных средств, не включенных в резерв материальных ресурсов для ликвидации чрезвычайных ситуаций природного и техногенного характера на территории Приморского края.</w:t>
      </w:r>
    </w:p>
    <w:p w14:paraId="39B2335D" w14:textId="54787004" w:rsidR="000711E6" w:rsidRPr="00E47AA9" w:rsidRDefault="000711E6" w:rsidP="000711E6">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Также в полном объеме направлены средства из фонда по ЧС министерством образования Приморского края в сумме 44,08 млн рублей</w:t>
      </w:r>
      <w:r w:rsidR="003B79A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министерством зд</w:t>
      </w:r>
      <w:r w:rsidR="003B79A9" w:rsidRPr="00E47AA9">
        <w:rPr>
          <w:rFonts w:ascii="Times New Roman" w:eastAsia="Times New Roman" w:hAnsi="Times New Roman" w:cs="Times New Roman"/>
          <w:sz w:val="28"/>
          <w:szCs w:val="28"/>
          <w:lang w:eastAsia="ru-RU"/>
        </w:rPr>
        <w:t>равоохранения Приморского края – 1,22 млн рублей,</w:t>
      </w:r>
      <w:r w:rsidRPr="00E47AA9">
        <w:rPr>
          <w:rFonts w:ascii="Times New Roman" w:eastAsia="Times New Roman" w:hAnsi="Times New Roman" w:cs="Times New Roman"/>
          <w:sz w:val="28"/>
          <w:szCs w:val="28"/>
          <w:lang w:eastAsia="ru-RU"/>
        </w:rPr>
        <w:t xml:space="preserve"> министерством жилищно-коммунального хозяйства Приморского края </w:t>
      </w:r>
      <w:r w:rsidR="003B79A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11,81 млн рублей.  </w:t>
      </w:r>
    </w:p>
    <w:p w14:paraId="04694F5B" w14:textId="77777777" w:rsidR="000711E6" w:rsidRPr="00E47AA9" w:rsidRDefault="000711E6" w:rsidP="000711E6">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hAnsi="Times New Roman" w:cs="Times New Roman"/>
          <w:sz w:val="28"/>
          <w:szCs w:val="28"/>
        </w:rPr>
        <w:t xml:space="preserve">Кроме того, в соответствии со статьей 81.1 Бюджетного кодекса, пунктом 2 </w:t>
      </w:r>
      <w:r w:rsidRPr="00E47AA9">
        <w:rPr>
          <w:rFonts w:ascii="Times New Roman" w:eastAsia="Times New Roman" w:hAnsi="Times New Roman" w:cs="Times New Roman"/>
          <w:sz w:val="28"/>
          <w:szCs w:val="28"/>
          <w:lang w:eastAsia="ru-RU"/>
        </w:rPr>
        <w:t xml:space="preserve">Порядка использования бюджетных ассигнований резервного фонда Правительства Приморского края, утвержденного постановлением Администрации Приморского края от 19.09.2007 № 252-па, частью 8 статьи 10 закона о краевом бюджете на 2024 год в первоначальной редакции определен размер </w:t>
      </w:r>
      <w:r w:rsidRPr="00E47AA9">
        <w:rPr>
          <w:rFonts w:ascii="Times New Roman" w:eastAsia="Times New Roman" w:hAnsi="Times New Roman" w:cs="Times New Roman"/>
          <w:b/>
          <w:i/>
          <w:sz w:val="28"/>
          <w:szCs w:val="28"/>
          <w:lang w:eastAsia="ru-RU"/>
        </w:rPr>
        <w:t xml:space="preserve">резервного фонда Правительства Приморского края </w:t>
      </w:r>
      <w:r w:rsidRPr="00E47AA9">
        <w:rPr>
          <w:rFonts w:ascii="Times New Roman" w:eastAsia="Times New Roman" w:hAnsi="Times New Roman" w:cs="Times New Roman"/>
          <w:sz w:val="28"/>
          <w:szCs w:val="28"/>
          <w:lang w:eastAsia="ru-RU"/>
        </w:rPr>
        <w:t xml:space="preserve">в сумме </w:t>
      </w:r>
      <w:r w:rsidRPr="00E47AA9">
        <w:rPr>
          <w:rFonts w:ascii="Times New Roman" w:hAnsi="Times New Roman" w:cs="Times New Roman"/>
          <w:sz w:val="28"/>
          <w:szCs w:val="28"/>
        </w:rPr>
        <w:t xml:space="preserve">646,49 млн рублей. </w:t>
      </w:r>
      <w:r w:rsidRPr="00E47AA9">
        <w:rPr>
          <w:rFonts w:ascii="Times New Roman" w:eastAsia="Times New Roman" w:hAnsi="Times New Roman" w:cs="Times New Roman"/>
          <w:sz w:val="28"/>
          <w:szCs w:val="28"/>
          <w:lang w:eastAsia="ru-RU"/>
        </w:rPr>
        <w:t xml:space="preserve">В соответствии с вышеуказанным постановлением контроль за расходованием средств резервного фонда Правительства Приморского края осуществляет министерство финансов Приморского края. </w:t>
      </w:r>
    </w:p>
    <w:p w14:paraId="5715FDFF" w14:textId="77777777" w:rsidR="000711E6" w:rsidRPr="00E47AA9" w:rsidRDefault="000711E6" w:rsidP="000711E6">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действующей редакции закона о краевом бюджете бюджетные ассигнования резервного фонда Правительства Приморского края составили 5955,31 млн рублей. </w:t>
      </w:r>
    </w:p>
    <w:p w14:paraId="01BDF25D" w14:textId="32E4FF43" w:rsidR="000711E6" w:rsidRPr="00E47AA9" w:rsidRDefault="000711E6" w:rsidP="000711E6">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Согласно </w:t>
      </w:r>
      <w:proofErr w:type="gramStart"/>
      <w:r w:rsidRPr="00E47AA9">
        <w:rPr>
          <w:rFonts w:ascii="Times New Roman" w:eastAsia="Times New Roman" w:hAnsi="Times New Roman" w:cs="Times New Roman"/>
          <w:sz w:val="28"/>
          <w:szCs w:val="28"/>
          <w:lang w:eastAsia="ru-RU"/>
        </w:rPr>
        <w:t>отчету</w:t>
      </w:r>
      <w:proofErr w:type="gramEnd"/>
      <w:r w:rsidRPr="00E47AA9">
        <w:rPr>
          <w:rFonts w:ascii="Times New Roman" w:eastAsia="Times New Roman" w:hAnsi="Times New Roman" w:cs="Times New Roman"/>
          <w:sz w:val="28"/>
          <w:szCs w:val="28"/>
          <w:lang w:eastAsia="ru-RU"/>
        </w:rPr>
        <w:t xml:space="preserve"> об исполнении краевого бюджета уточненные бюджетные назначения составляют 5955,40 млн рублей, что больше на 0,09 млн рублей</w:t>
      </w:r>
      <w:r w:rsidR="00BB0F69" w:rsidRPr="00E47AA9">
        <w:rPr>
          <w:rFonts w:ascii="Times New Roman" w:eastAsia="Times New Roman" w:hAnsi="Times New Roman" w:cs="Times New Roman"/>
          <w:sz w:val="28"/>
          <w:szCs w:val="28"/>
          <w:lang w:eastAsia="ru-RU"/>
        </w:rPr>
        <w:t xml:space="preserve"> законодательно утвержденных назначений</w:t>
      </w:r>
      <w:r w:rsidRPr="00E47AA9">
        <w:rPr>
          <w:rFonts w:ascii="Times New Roman" w:eastAsia="Times New Roman" w:hAnsi="Times New Roman" w:cs="Times New Roman"/>
          <w:sz w:val="28"/>
          <w:szCs w:val="28"/>
          <w:lang w:eastAsia="ru-RU"/>
        </w:rPr>
        <w:t xml:space="preserve"> в связи с уточнением финансовым органом без внесения изменений в закон о краевом бюджете. </w:t>
      </w:r>
    </w:p>
    <w:p w14:paraId="6F077B47" w14:textId="328F6CC5" w:rsidR="000711E6" w:rsidRPr="00E47AA9" w:rsidRDefault="000711E6" w:rsidP="000711E6">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В 2024 году расходы осуществляли 12 ГРБС в общей сумме 5915,93 млн рублей, или 99,34 %. В связи с отсутствием необходимости</w:t>
      </w:r>
      <w:r w:rsidR="00BB0F69" w:rsidRPr="00E47AA9">
        <w:rPr>
          <w:rFonts w:ascii="Times New Roman" w:eastAsia="Times New Roman" w:hAnsi="Times New Roman" w:cs="Times New Roman"/>
          <w:sz w:val="28"/>
          <w:szCs w:val="28"/>
          <w:lang w:eastAsia="ru-RU"/>
        </w:rPr>
        <w:t xml:space="preserve"> неисполненный остаток составил</w:t>
      </w:r>
      <w:r w:rsidRPr="00E47AA9">
        <w:rPr>
          <w:rFonts w:ascii="Times New Roman" w:eastAsia="Times New Roman" w:hAnsi="Times New Roman" w:cs="Times New Roman"/>
          <w:sz w:val="28"/>
          <w:szCs w:val="28"/>
          <w:lang w:eastAsia="ru-RU"/>
        </w:rPr>
        <w:t xml:space="preserve"> 39,47 млн рублей.</w:t>
      </w:r>
    </w:p>
    <w:p w14:paraId="0D11340E" w14:textId="77777777" w:rsidR="000711E6" w:rsidRPr="00E47AA9" w:rsidRDefault="000711E6" w:rsidP="000711E6">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2024 году средства резервного фонда Правительства Приморского края в основном направлены на:</w:t>
      </w:r>
    </w:p>
    <w:p w14:paraId="6806BECC" w14:textId="77777777" w:rsidR="000711E6" w:rsidRPr="00E47AA9" w:rsidRDefault="000711E6" w:rsidP="000711E6">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оказание материальной помощи отдельным категориям граждан в связи </w:t>
      </w:r>
      <w:r w:rsidRPr="00E47AA9">
        <w:rPr>
          <w:rFonts w:ascii="Times New Roman" w:eastAsia="Times New Roman" w:hAnsi="Times New Roman" w:cs="Times New Roman"/>
          <w:sz w:val="28"/>
          <w:szCs w:val="28"/>
          <w:lang w:eastAsia="ru-RU"/>
        </w:rPr>
        <w:br/>
        <w:t xml:space="preserve">с проведением специальной военной операции на территориях Донецкой Народной Республики, Луганской Народной Республики, Запорожской области и Херсонской области, Украины, отражением вооруженного вторжения на территорию Российской Федерации, вооруженной провокацией на Государственной границе Российской Федерации и приграничных территориях субъектов Российской Федерации, прилегающих к районам проведения специальной военной операции на территориях Донецкой Народной Республики, Луганской Народной Республики, Запорожской области и Херсонской области, Украины, а также отдельным категориям граждан в связи с проведением частичной мобилизации – 3855,24 млн рублей; </w:t>
      </w:r>
    </w:p>
    <w:p w14:paraId="65D27D69" w14:textId="0F37E303" w:rsidR="000711E6" w:rsidRPr="00E47AA9" w:rsidRDefault="000711E6" w:rsidP="000711E6">
      <w:pPr>
        <w:spacing w:after="0" w:line="240" w:lineRule="auto"/>
        <w:ind w:firstLine="720"/>
        <w:jc w:val="both"/>
      </w:pPr>
      <w:r w:rsidRPr="00E47AA9">
        <w:rPr>
          <w:rFonts w:ascii="Times New Roman" w:eastAsia="Times New Roman" w:hAnsi="Times New Roman" w:cs="Times New Roman"/>
          <w:sz w:val="28"/>
          <w:szCs w:val="28"/>
          <w:lang w:eastAsia="ru-RU"/>
        </w:rPr>
        <w:t>расход</w:t>
      </w:r>
      <w:r w:rsidR="00BB0F69" w:rsidRPr="00E47AA9">
        <w:rPr>
          <w:rFonts w:ascii="Times New Roman" w:eastAsia="Times New Roman" w:hAnsi="Times New Roman" w:cs="Times New Roman"/>
          <w:sz w:val="28"/>
          <w:szCs w:val="28"/>
          <w:lang w:eastAsia="ru-RU"/>
        </w:rPr>
        <w:t>ы</w:t>
      </w:r>
      <w:r w:rsidRPr="00E47AA9">
        <w:rPr>
          <w:rFonts w:ascii="Times New Roman" w:eastAsia="Times New Roman" w:hAnsi="Times New Roman" w:cs="Times New Roman"/>
          <w:sz w:val="28"/>
          <w:szCs w:val="28"/>
          <w:lang w:eastAsia="ru-RU"/>
        </w:rPr>
        <w:t>, связанны</w:t>
      </w:r>
      <w:r w:rsidR="00BB0F69" w:rsidRPr="00E47AA9">
        <w:rPr>
          <w:rFonts w:ascii="Times New Roman" w:eastAsia="Times New Roman" w:hAnsi="Times New Roman" w:cs="Times New Roman"/>
          <w:sz w:val="28"/>
          <w:szCs w:val="28"/>
          <w:lang w:eastAsia="ru-RU"/>
        </w:rPr>
        <w:t>е</w:t>
      </w:r>
      <w:r w:rsidRPr="00E47AA9">
        <w:rPr>
          <w:rFonts w:ascii="Times New Roman" w:eastAsia="Times New Roman" w:hAnsi="Times New Roman" w:cs="Times New Roman"/>
          <w:sz w:val="28"/>
          <w:szCs w:val="28"/>
          <w:lang w:eastAsia="ru-RU"/>
        </w:rPr>
        <w:t xml:space="preserve"> с осуществлением закупок товаров, работ (услуг) </w:t>
      </w:r>
      <w:r w:rsidRPr="00E47AA9">
        <w:rPr>
          <w:rFonts w:ascii="Times New Roman" w:eastAsia="Times New Roman" w:hAnsi="Times New Roman" w:cs="Times New Roman"/>
          <w:sz w:val="28"/>
          <w:szCs w:val="28"/>
          <w:lang w:eastAsia="ru-RU"/>
        </w:rPr>
        <w:br/>
        <w:t xml:space="preserve">в целях реализации специальной меры в сфере экономики, введенной </w:t>
      </w:r>
      <w:r w:rsidR="003B79A9" w:rsidRPr="00E47AA9">
        <w:rPr>
          <w:rFonts w:ascii="Times New Roman" w:eastAsia="Times New Roman" w:hAnsi="Times New Roman" w:cs="Times New Roman"/>
          <w:sz w:val="28"/>
          <w:szCs w:val="28"/>
          <w:lang w:eastAsia="ru-RU"/>
        </w:rPr>
        <w:t>П</w:t>
      </w:r>
      <w:r w:rsidRPr="00E47AA9">
        <w:rPr>
          <w:rFonts w:ascii="Times New Roman" w:eastAsia="Times New Roman" w:hAnsi="Times New Roman" w:cs="Times New Roman"/>
          <w:sz w:val="28"/>
          <w:szCs w:val="28"/>
          <w:lang w:eastAsia="ru-RU"/>
        </w:rPr>
        <w:t xml:space="preserve">остановлением Правительства Российской Федерации от 03.10.2022 № 1745 "О специальной мере в сфере экономики и внесении изменения </w:t>
      </w:r>
      <w:r w:rsidRPr="00E47AA9">
        <w:rPr>
          <w:rFonts w:ascii="Times New Roman" w:eastAsia="Times New Roman" w:hAnsi="Times New Roman" w:cs="Times New Roman"/>
          <w:sz w:val="28"/>
          <w:szCs w:val="28"/>
          <w:lang w:eastAsia="ru-RU"/>
        </w:rPr>
        <w:br/>
        <w:t>в Постановление Правительства Российской Федерации от 30.04.2020 № 616"</w:t>
      </w:r>
      <w:r w:rsidR="003B79A9" w:rsidRPr="00E47AA9">
        <w:rPr>
          <w:rFonts w:ascii="Times New Roman" w:eastAsia="Times New Roman" w:hAnsi="Times New Roman" w:cs="Times New Roman"/>
          <w:sz w:val="28"/>
          <w:szCs w:val="28"/>
          <w:lang w:eastAsia="ru-RU"/>
        </w:rPr>
        <w:t> –</w:t>
      </w:r>
      <w:r w:rsidRPr="00E47AA9">
        <w:rPr>
          <w:rFonts w:ascii="Times New Roman" w:eastAsia="Times New Roman" w:hAnsi="Times New Roman" w:cs="Times New Roman"/>
          <w:sz w:val="28"/>
          <w:szCs w:val="28"/>
          <w:lang w:eastAsia="ru-RU"/>
        </w:rPr>
        <w:t xml:space="preserve"> 1530,56 млн рублей;</w:t>
      </w:r>
    </w:p>
    <w:p w14:paraId="57221529" w14:textId="312DBA54" w:rsidR="001E031B" w:rsidRDefault="000711E6" w:rsidP="000711E6">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расход</w:t>
      </w:r>
      <w:r w:rsidR="00BB0F69" w:rsidRPr="00E47AA9">
        <w:rPr>
          <w:rFonts w:ascii="Times New Roman" w:eastAsia="Times New Roman" w:hAnsi="Times New Roman" w:cs="Times New Roman"/>
          <w:sz w:val="28"/>
          <w:szCs w:val="28"/>
          <w:lang w:eastAsia="ru-RU"/>
        </w:rPr>
        <w:t>ы</w:t>
      </w:r>
      <w:r w:rsidRPr="00E47AA9">
        <w:rPr>
          <w:rFonts w:ascii="Times New Roman" w:eastAsia="Times New Roman" w:hAnsi="Times New Roman" w:cs="Times New Roman"/>
          <w:sz w:val="28"/>
          <w:szCs w:val="28"/>
          <w:lang w:eastAsia="ru-RU"/>
        </w:rPr>
        <w:t xml:space="preserve">, связанные с участием Приморского края в мероприятиях общегосударственного значения </w:t>
      </w:r>
      <w:r w:rsidR="003B79A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519,18 млн рублей.</w:t>
      </w:r>
    </w:p>
    <w:p w14:paraId="4251E67B" w14:textId="77777777" w:rsidR="001E031B" w:rsidRDefault="001E031B">
      <w:pPr>
        <w:spacing w:after="160" w:line="259"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33FE71D4" w14:textId="77777777" w:rsidR="00ED0234" w:rsidRPr="00E47AA9" w:rsidRDefault="00A02C43" w:rsidP="00515109">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 xml:space="preserve">6. Источники внутреннего финансирования </w:t>
      </w:r>
    </w:p>
    <w:p w14:paraId="04343C60" w14:textId="43618FC2" w:rsidR="00A02C43" w:rsidRPr="00E47AA9" w:rsidRDefault="00A02C43" w:rsidP="00515109">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дефицита краевого бюджета</w:t>
      </w:r>
    </w:p>
    <w:p w14:paraId="62FCD28A" w14:textId="77777777" w:rsidR="00A02C43" w:rsidRPr="00E47AA9" w:rsidRDefault="00A02C43" w:rsidP="00A02C43">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соответствии с действующим законодательством</w:t>
      </w:r>
      <w:r w:rsidRPr="00E47AA9">
        <w:rPr>
          <w:rFonts w:ascii="Times New Roman" w:eastAsia="Times New Roman" w:hAnsi="Times New Roman" w:cs="Times New Roman"/>
          <w:sz w:val="28"/>
          <w:szCs w:val="28"/>
          <w:vertAlign w:val="superscript"/>
          <w:lang w:eastAsia="ru-RU"/>
        </w:rPr>
        <w:footnoteReference w:id="99"/>
      </w:r>
      <w:r w:rsidRPr="00E47AA9">
        <w:rPr>
          <w:rFonts w:ascii="Times New Roman" w:eastAsia="Times New Roman" w:hAnsi="Times New Roman" w:cs="Times New Roman"/>
          <w:sz w:val="28"/>
          <w:szCs w:val="28"/>
          <w:lang w:eastAsia="ru-RU"/>
        </w:rPr>
        <w:t xml:space="preserve"> главными администраторами источников внутреннего финансирования дефицита краевого бюджета в 2024 году установлены министерство финансов Приморского края и министерство имущественных и земельных отношений Приморского края.</w:t>
      </w:r>
    </w:p>
    <w:p w14:paraId="1825E3A8" w14:textId="77777777" w:rsidR="00A02C43" w:rsidRPr="00E47AA9" w:rsidRDefault="00A02C43" w:rsidP="00A02C43">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первоначальной редакции Закона № 495-КЗ планируемый размер дефицита на 2024 год составлял 17068,34 млн рублей по следующим источникам: привлечение в краевой бюджет кредитов кредитных организаций (8052,27 млн рублей) и бюджетных кредитов (6000,00 млн рублей). Погашение кредитов кредитных организаций не планировалось. Бюджетный кредит планировалось погасить в объеме 7600,83 млн рублей. Прогнозировалось предоставление бюджетных кредитов из краевого бюджета </w:t>
      </w:r>
      <w:r w:rsidRPr="00E47AA9">
        <w:rPr>
          <w:rFonts w:ascii="Times New Roman" w:eastAsia="Times New Roman" w:hAnsi="Times New Roman" w:cs="Times New Roman"/>
          <w:sz w:val="28"/>
          <w:szCs w:val="28"/>
          <w:lang w:eastAsia="ru-RU"/>
        </w:rPr>
        <w:lastRenderedPageBreak/>
        <w:t>(1000,00 млн рублей) и их возврат бюджетами муниципальных образований в том же объеме. В составе источников отражено изменение остатков средств на счетах по учету средств бюджета (10616,90 млн рублей).</w:t>
      </w:r>
    </w:p>
    <w:p w14:paraId="009B709D" w14:textId="77777777" w:rsidR="00A02C43" w:rsidRPr="00E47AA9" w:rsidRDefault="00A02C43" w:rsidP="00A02C43">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ходе исполнения краевого бюджета в отчетном году соответствующими изменениями в Закон № 495-КЗ объем привлечения кредитов кредитных организаций снижен на 4707,61 млн рублей до 3344,66 млн рублей. В то же время увеличен планируемый объем привлечения бюджетного кредита из федерального бюджета на 611,54 млн рублей до 6611,54 млн рублей, и увеличен объем погашения бюджетных кредитов на 30,92 млн рублей до 7631,75 млн рублей. </w:t>
      </w:r>
    </w:p>
    <w:p w14:paraId="663BDC92" w14:textId="0BB39432" w:rsidR="00A02C43" w:rsidRPr="00E47AA9" w:rsidRDefault="00A02C43" w:rsidP="00A02C43">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Также в 2024 году в результате корректировок увеличен объем предоставления бюджетных кредитов из краевого бюджета муниципальным бюджетам на 320,00 млн рублей, что составило 1320,00 млн рублей. Планируемый объем возврата бюджетных кредитов, предоставленных бюджетам муниципальных образований Приморского края</w:t>
      </w:r>
      <w:r w:rsidR="003B79A9"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оставлен без изменений (1000,00 млн рублей).</w:t>
      </w:r>
    </w:p>
    <w:p w14:paraId="2189CD52" w14:textId="77777777" w:rsidR="00A02C43" w:rsidRPr="00E47AA9" w:rsidRDefault="00A02C43" w:rsidP="00A02C43">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По результатам произведенных 8 корректировок Закона № 495-КЗ первоначально утвержденный </w:t>
      </w:r>
      <w:r w:rsidRPr="00E47AA9">
        <w:rPr>
          <w:rFonts w:ascii="Times New Roman" w:eastAsia="Times New Roman" w:hAnsi="Times New Roman" w:cs="Times New Roman"/>
          <w:i/>
          <w:sz w:val="28"/>
          <w:szCs w:val="28"/>
          <w:lang w:eastAsia="ru-RU"/>
        </w:rPr>
        <w:t xml:space="preserve">размер дефицита </w:t>
      </w:r>
      <w:r w:rsidRPr="00E47AA9">
        <w:rPr>
          <w:rFonts w:ascii="Times New Roman" w:eastAsia="Times New Roman" w:hAnsi="Times New Roman" w:cs="Times New Roman"/>
          <w:sz w:val="28"/>
          <w:szCs w:val="28"/>
          <w:lang w:eastAsia="ru-RU"/>
        </w:rPr>
        <w:t xml:space="preserve">краевого бюджета прибавил 3448,34 млн рублей и </w:t>
      </w:r>
      <w:r w:rsidRPr="00E47AA9">
        <w:rPr>
          <w:rFonts w:ascii="Times New Roman" w:eastAsia="Times New Roman" w:hAnsi="Times New Roman" w:cs="Times New Roman"/>
          <w:i/>
          <w:sz w:val="28"/>
          <w:szCs w:val="28"/>
          <w:lang w:eastAsia="ru-RU"/>
        </w:rPr>
        <w:t>составил 20516,68 млн рублей</w:t>
      </w:r>
      <w:r w:rsidRPr="00E47AA9">
        <w:rPr>
          <w:rFonts w:ascii="Times New Roman" w:eastAsia="Times New Roman" w:hAnsi="Times New Roman" w:cs="Times New Roman"/>
          <w:sz w:val="28"/>
          <w:szCs w:val="28"/>
          <w:lang w:eastAsia="ru-RU"/>
        </w:rPr>
        <w:t xml:space="preserve">. </w:t>
      </w:r>
    </w:p>
    <w:p w14:paraId="3E968088" w14:textId="77777777" w:rsidR="00A02C43" w:rsidRPr="00E47AA9" w:rsidRDefault="00A02C43" w:rsidP="00A02C43">
      <w:pPr>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Размер дефицита краевого бюджета на 2024 год не превышает ограничения, установленные статьей 92.1 Бюджетного кодекса Российской Федерации.</w:t>
      </w:r>
    </w:p>
    <w:p w14:paraId="2ECDAEA9" w14:textId="77777777" w:rsidR="00A02C43" w:rsidRPr="00E47AA9" w:rsidRDefault="00A02C43" w:rsidP="00A02C43">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В соответствии с Отчетом краевой бюджет за 2024 год исполнен с дефицитом в размере </w:t>
      </w:r>
      <w:r w:rsidRPr="00E47AA9">
        <w:rPr>
          <w:rFonts w:ascii="Times New Roman" w:eastAsia="Calibri" w:hAnsi="Times New Roman" w:cs="Times New Roman"/>
          <w:i/>
          <w:sz w:val="28"/>
          <w:szCs w:val="28"/>
        </w:rPr>
        <w:t>7710,13 млн рублей</w:t>
      </w:r>
      <w:r w:rsidRPr="00E47AA9">
        <w:rPr>
          <w:rFonts w:ascii="Times New Roman" w:eastAsia="Calibri" w:hAnsi="Times New Roman" w:cs="Times New Roman"/>
          <w:sz w:val="28"/>
          <w:szCs w:val="28"/>
        </w:rPr>
        <w:t>.</w:t>
      </w:r>
    </w:p>
    <w:p w14:paraId="23B2474A" w14:textId="77777777" w:rsidR="00A02C43" w:rsidRPr="00E47AA9" w:rsidRDefault="00A02C43" w:rsidP="00A02C43">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Изменение плановых назначений источников финансирования дефицита и их исполнение за отчетный период представлено в таблице.</w:t>
      </w:r>
    </w:p>
    <w:p w14:paraId="096596B6" w14:textId="77777777" w:rsidR="00A02C43" w:rsidRPr="00E47AA9" w:rsidRDefault="00A02C43" w:rsidP="00A02C43">
      <w:pPr>
        <w:spacing w:after="0" w:line="240" w:lineRule="auto"/>
        <w:ind w:firstLine="709"/>
        <w:jc w:val="both"/>
        <w:rPr>
          <w:rFonts w:ascii="Times New Roman" w:eastAsia="Calibri" w:hAnsi="Times New Roman" w:cs="Times New Roman"/>
          <w:sz w:val="28"/>
          <w:szCs w:val="28"/>
        </w:rPr>
      </w:pPr>
    </w:p>
    <w:tbl>
      <w:tblPr>
        <w:tblW w:w="10358" w:type="dxa"/>
        <w:tblInd w:w="-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1134"/>
        <w:gridCol w:w="1134"/>
        <w:gridCol w:w="1205"/>
        <w:gridCol w:w="1159"/>
        <w:gridCol w:w="1180"/>
      </w:tblGrid>
      <w:tr w:rsidR="00E47AA9" w:rsidRPr="00E47AA9" w14:paraId="305AE103" w14:textId="77777777" w:rsidTr="0034644C">
        <w:trPr>
          <w:trHeight w:val="20"/>
          <w:tblHeader/>
        </w:trPr>
        <w:tc>
          <w:tcPr>
            <w:tcW w:w="4546" w:type="dxa"/>
            <w:tcBorders>
              <w:top w:val="nil"/>
              <w:left w:val="nil"/>
              <w:bottom w:val="single" w:sz="4" w:space="0" w:color="auto"/>
              <w:right w:val="nil"/>
            </w:tcBorders>
            <w:shd w:val="clear" w:color="auto" w:fill="auto"/>
            <w:noWrap/>
            <w:vAlign w:val="center"/>
          </w:tcPr>
          <w:p w14:paraId="195379C5" w14:textId="77777777" w:rsidR="00A02C43" w:rsidRPr="00E47AA9" w:rsidRDefault="00A02C43" w:rsidP="0034644C">
            <w:pPr>
              <w:spacing w:after="0" w:line="240" w:lineRule="auto"/>
              <w:rPr>
                <w:rFonts w:ascii="Times New Roman" w:eastAsia="Times New Roman" w:hAnsi="Times New Roman" w:cs="Times New Roman"/>
                <w:b/>
                <w:bCs/>
                <w:sz w:val="20"/>
                <w:szCs w:val="20"/>
                <w:lang w:eastAsia="ru-RU"/>
              </w:rPr>
            </w:pPr>
          </w:p>
        </w:tc>
        <w:tc>
          <w:tcPr>
            <w:tcW w:w="1134" w:type="dxa"/>
            <w:tcBorders>
              <w:top w:val="nil"/>
              <w:left w:val="nil"/>
              <w:bottom w:val="single" w:sz="4" w:space="0" w:color="auto"/>
              <w:right w:val="nil"/>
            </w:tcBorders>
            <w:shd w:val="clear" w:color="auto" w:fill="auto"/>
            <w:vAlign w:val="center"/>
          </w:tcPr>
          <w:p w14:paraId="32733024"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p>
        </w:tc>
        <w:tc>
          <w:tcPr>
            <w:tcW w:w="1134" w:type="dxa"/>
            <w:tcBorders>
              <w:top w:val="nil"/>
              <w:left w:val="nil"/>
              <w:bottom w:val="single" w:sz="4" w:space="0" w:color="auto"/>
              <w:right w:val="nil"/>
            </w:tcBorders>
            <w:shd w:val="clear" w:color="auto" w:fill="auto"/>
            <w:vAlign w:val="center"/>
          </w:tcPr>
          <w:p w14:paraId="080AAA0D"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p>
        </w:tc>
        <w:tc>
          <w:tcPr>
            <w:tcW w:w="1205" w:type="dxa"/>
            <w:tcBorders>
              <w:top w:val="nil"/>
              <w:left w:val="nil"/>
              <w:bottom w:val="single" w:sz="4" w:space="0" w:color="auto"/>
              <w:right w:val="nil"/>
            </w:tcBorders>
            <w:shd w:val="clear" w:color="auto" w:fill="auto"/>
            <w:vAlign w:val="center"/>
          </w:tcPr>
          <w:p w14:paraId="1C2A6774"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p>
        </w:tc>
        <w:tc>
          <w:tcPr>
            <w:tcW w:w="2339" w:type="dxa"/>
            <w:gridSpan w:val="2"/>
            <w:tcBorders>
              <w:top w:val="nil"/>
              <w:left w:val="nil"/>
              <w:bottom w:val="single" w:sz="4" w:space="0" w:color="auto"/>
              <w:right w:val="nil"/>
            </w:tcBorders>
            <w:shd w:val="clear" w:color="auto" w:fill="auto"/>
            <w:vAlign w:val="center"/>
          </w:tcPr>
          <w:p w14:paraId="21CF7F7F"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4"/>
                <w:szCs w:val="20"/>
                <w:lang w:eastAsia="ru-RU"/>
              </w:rPr>
              <w:t>(млн рублей)</w:t>
            </w:r>
          </w:p>
        </w:tc>
      </w:tr>
      <w:tr w:rsidR="00E47AA9" w:rsidRPr="00E47AA9" w14:paraId="7636F6B1" w14:textId="77777777" w:rsidTr="0034644C">
        <w:trPr>
          <w:trHeight w:val="20"/>
          <w:tblHeader/>
        </w:trPr>
        <w:tc>
          <w:tcPr>
            <w:tcW w:w="4546" w:type="dxa"/>
            <w:vMerge w:val="restart"/>
            <w:tcBorders>
              <w:top w:val="single" w:sz="4" w:space="0" w:color="auto"/>
            </w:tcBorders>
            <w:shd w:val="clear" w:color="auto" w:fill="auto"/>
            <w:noWrap/>
            <w:vAlign w:val="center"/>
          </w:tcPr>
          <w:p w14:paraId="2976FA92" w14:textId="77777777" w:rsidR="00A02C43" w:rsidRPr="00E47AA9" w:rsidRDefault="00A02C43" w:rsidP="0034644C">
            <w:pPr>
              <w:spacing w:after="0" w:line="240" w:lineRule="auto"/>
              <w:jc w:val="center"/>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sz w:val="20"/>
                <w:szCs w:val="20"/>
                <w:lang w:eastAsia="ru-RU"/>
              </w:rPr>
              <w:t>Наименование источников</w:t>
            </w:r>
          </w:p>
        </w:tc>
        <w:tc>
          <w:tcPr>
            <w:tcW w:w="3473" w:type="dxa"/>
            <w:gridSpan w:val="3"/>
            <w:tcBorders>
              <w:top w:val="single" w:sz="4" w:space="0" w:color="auto"/>
            </w:tcBorders>
            <w:shd w:val="clear" w:color="auto" w:fill="auto"/>
            <w:vAlign w:val="center"/>
          </w:tcPr>
          <w:p w14:paraId="54777BA5" w14:textId="77777777" w:rsidR="00A02C43" w:rsidRPr="00E47AA9" w:rsidRDefault="00A02C43" w:rsidP="0034644C">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Закон № 495-КЗ</w:t>
            </w:r>
          </w:p>
          <w:p w14:paraId="06CF4329" w14:textId="77777777" w:rsidR="00A02C43" w:rsidRPr="00E47AA9" w:rsidRDefault="00A02C43" w:rsidP="0034644C">
            <w:pPr>
              <w:spacing w:after="0" w:line="240" w:lineRule="auto"/>
              <w:jc w:val="center"/>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 на 2024 год</w:t>
            </w:r>
          </w:p>
        </w:tc>
        <w:tc>
          <w:tcPr>
            <w:tcW w:w="1159" w:type="dxa"/>
            <w:vMerge w:val="restart"/>
            <w:tcBorders>
              <w:top w:val="single" w:sz="4" w:space="0" w:color="auto"/>
            </w:tcBorders>
            <w:shd w:val="clear" w:color="auto" w:fill="auto"/>
            <w:vAlign w:val="center"/>
          </w:tcPr>
          <w:p w14:paraId="585023AE" w14:textId="77777777" w:rsidR="00A02C43" w:rsidRPr="00E47AA9" w:rsidRDefault="00A02C43" w:rsidP="0034644C">
            <w:pPr>
              <w:spacing w:after="0" w:line="240" w:lineRule="auto"/>
              <w:jc w:val="center"/>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sz w:val="20"/>
                <w:szCs w:val="20"/>
                <w:lang w:eastAsia="ru-RU"/>
              </w:rPr>
              <w:t>Исполнено за 2024 год</w:t>
            </w:r>
          </w:p>
        </w:tc>
        <w:tc>
          <w:tcPr>
            <w:tcW w:w="1180" w:type="dxa"/>
            <w:vMerge w:val="restart"/>
            <w:tcBorders>
              <w:top w:val="single" w:sz="4" w:space="0" w:color="auto"/>
            </w:tcBorders>
            <w:shd w:val="clear" w:color="auto" w:fill="auto"/>
            <w:vAlign w:val="center"/>
          </w:tcPr>
          <w:p w14:paraId="1575B55C" w14:textId="77777777" w:rsidR="00A02C43" w:rsidRPr="00E47AA9" w:rsidRDefault="00A02C43" w:rsidP="0034644C">
            <w:pPr>
              <w:spacing w:after="0" w:line="240" w:lineRule="auto"/>
              <w:ind w:right="-113"/>
              <w:jc w:val="center"/>
              <w:rPr>
                <w:rFonts w:ascii="Times New Roman" w:eastAsia="Times New Roman" w:hAnsi="Times New Roman" w:cs="Times New Roman"/>
                <w:sz w:val="20"/>
                <w:szCs w:val="20"/>
                <w:lang w:eastAsia="ru-RU"/>
              </w:rPr>
            </w:pPr>
            <w:proofErr w:type="spellStart"/>
            <w:r w:rsidRPr="00E47AA9">
              <w:rPr>
                <w:rFonts w:ascii="Times New Roman" w:eastAsia="Times New Roman" w:hAnsi="Times New Roman" w:cs="Times New Roman"/>
                <w:sz w:val="20"/>
                <w:szCs w:val="20"/>
                <w:lang w:eastAsia="ru-RU"/>
              </w:rPr>
              <w:t>Отклоне</w:t>
            </w:r>
            <w:proofErr w:type="spellEnd"/>
            <w:r w:rsidRPr="00E47AA9">
              <w:rPr>
                <w:rFonts w:ascii="Times New Roman" w:eastAsia="Times New Roman" w:hAnsi="Times New Roman" w:cs="Times New Roman"/>
                <w:sz w:val="20"/>
                <w:szCs w:val="20"/>
                <w:lang w:eastAsia="ru-RU"/>
              </w:rPr>
              <w:t>-</w:t>
            </w:r>
          </w:p>
          <w:p w14:paraId="5FBB5A85" w14:textId="77777777" w:rsidR="00A02C43" w:rsidRPr="00E47AA9" w:rsidRDefault="00A02C43" w:rsidP="0034644C">
            <w:pPr>
              <w:spacing w:after="0" w:line="240" w:lineRule="auto"/>
              <w:ind w:right="-113"/>
              <w:jc w:val="center"/>
              <w:rPr>
                <w:rFonts w:ascii="Times New Roman" w:eastAsia="Times New Roman" w:hAnsi="Times New Roman" w:cs="Times New Roman"/>
                <w:sz w:val="20"/>
                <w:szCs w:val="20"/>
                <w:lang w:eastAsia="ru-RU"/>
              </w:rPr>
            </w:pPr>
            <w:proofErr w:type="spellStart"/>
            <w:r w:rsidRPr="00E47AA9">
              <w:rPr>
                <w:rFonts w:ascii="Times New Roman" w:eastAsia="Times New Roman" w:hAnsi="Times New Roman" w:cs="Times New Roman"/>
                <w:sz w:val="20"/>
                <w:szCs w:val="20"/>
                <w:lang w:eastAsia="ru-RU"/>
              </w:rPr>
              <w:t>ние</w:t>
            </w:r>
            <w:proofErr w:type="spellEnd"/>
            <w:r w:rsidRPr="00E47AA9">
              <w:rPr>
                <w:rFonts w:ascii="Times New Roman" w:eastAsia="Times New Roman" w:hAnsi="Times New Roman" w:cs="Times New Roman"/>
                <w:sz w:val="20"/>
                <w:szCs w:val="20"/>
                <w:lang w:eastAsia="ru-RU"/>
              </w:rPr>
              <w:t xml:space="preserve"> </w:t>
            </w:r>
            <w:proofErr w:type="spellStart"/>
            <w:r w:rsidRPr="00E47AA9">
              <w:rPr>
                <w:rFonts w:ascii="Times New Roman" w:eastAsia="Times New Roman" w:hAnsi="Times New Roman" w:cs="Times New Roman"/>
                <w:sz w:val="20"/>
                <w:szCs w:val="20"/>
                <w:lang w:eastAsia="ru-RU"/>
              </w:rPr>
              <w:t>испол</w:t>
            </w:r>
            <w:proofErr w:type="spellEnd"/>
            <w:r w:rsidRPr="00E47AA9">
              <w:rPr>
                <w:rFonts w:ascii="Times New Roman" w:eastAsia="Times New Roman" w:hAnsi="Times New Roman" w:cs="Times New Roman"/>
                <w:sz w:val="20"/>
                <w:szCs w:val="20"/>
                <w:lang w:eastAsia="ru-RU"/>
              </w:rPr>
              <w:t>-</w:t>
            </w:r>
          </w:p>
          <w:p w14:paraId="318C80D3" w14:textId="77777777" w:rsidR="00A02C43" w:rsidRPr="00E47AA9" w:rsidRDefault="00A02C43" w:rsidP="0034644C">
            <w:pPr>
              <w:spacing w:after="0" w:line="240" w:lineRule="auto"/>
              <w:jc w:val="center"/>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sz w:val="20"/>
                <w:szCs w:val="20"/>
                <w:lang w:eastAsia="ru-RU"/>
              </w:rPr>
              <w:t>нения от плана (+/-)</w:t>
            </w:r>
          </w:p>
        </w:tc>
      </w:tr>
      <w:tr w:rsidR="00E47AA9" w:rsidRPr="00E47AA9" w14:paraId="572ACFA4" w14:textId="77777777" w:rsidTr="0034644C">
        <w:trPr>
          <w:trHeight w:val="20"/>
          <w:tblHeader/>
        </w:trPr>
        <w:tc>
          <w:tcPr>
            <w:tcW w:w="4546" w:type="dxa"/>
            <w:vMerge/>
            <w:shd w:val="clear" w:color="auto" w:fill="auto"/>
            <w:noWrap/>
            <w:vAlign w:val="center"/>
          </w:tcPr>
          <w:p w14:paraId="35A2CE8D" w14:textId="77777777" w:rsidR="00A02C43" w:rsidRPr="00E47AA9" w:rsidRDefault="00A02C43" w:rsidP="0034644C">
            <w:pPr>
              <w:spacing w:after="0" w:line="240" w:lineRule="auto"/>
              <w:rPr>
                <w:rFonts w:ascii="Times New Roman" w:eastAsia="Times New Roman" w:hAnsi="Times New Roman" w:cs="Times New Roman"/>
                <w:b/>
                <w:bCs/>
                <w:sz w:val="20"/>
                <w:szCs w:val="20"/>
                <w:lang w:eastAsia="ru-RU"/>
              </w:rPr>
            </w:pPr>
          </w:p>
        </w:tc>
        <w:tc>
          <w:tcPr>
            <w:tcW w:w="1134" w:type="dxa"/>
            <w:shd w:val="clear" w:color="auto" w:fill="auto"/>
            <w:vAlign w:val="center"/>
          </w:tcPr>
          <w:p w14:paraId="41DAC094" w14:textId="77777777" w:rsidR="00A02C43" w:rsidRPr="00E47AA9" w:rsidRDefault="00A02C43" w:rsidP="0034644C">
            <w:pPr>
              <w:spacing w:after="0" w:line="240" w:lineRule="auto"/>
              <w:jc w:val="center"/>
              <w:rPr>
                <w:rFonts w:ascii="Times New Roman" w:eastAsia="Times New Roman" w:hAnsi="Times New Roman" w:cs="Times New Roman"/>
                <w:sz w:val="20"/>
                <w:szCs w:val="20"/>
                <w:lang w:eastAsia="ru-RU"/>
              </w:rPr>
            </w:pPr>
            <w:proofErr w:type="spellStart"/>
            <w:r w:rsidRPr="00E47AA9">
              <w:rPr>
                <w:rFonts w:ascii="Times New Roman" w:eastAsia="Times New Roman" w:hAnsi="Times New Roman" w:cs="Times New Roman"/>
                <w:sz w:val="20"/>
                <w:szCs w:val="20"/>
                <w:lang w:eastAsia="ru-RU"/>
              </w:rPr>
              <w:t>первона</w:t>
            </w:r>
            <w:proofErr w:type="spellEnd"/>
            <w:r w:rsidRPr="00E47AA9">
              <w:rPr>
                <w:rFonts w:ascii="Times New Roman" w:eastAsia="Times New Roman" w:hAnsi="Times New Roman" w:cs="Times New Roman"/>
                <w:sz w:val="20"/>
                <w:szCs w:val="20"/>
                <w:lang w:eastAsia="ru-RU"/>
              </w:rPr>
              <w:t>-</w:t>
            </w:r>
          </w:p>
          <w:p w14:paraId="001AC0F1" w14:textId="77777777" w:rsidR="00A02C43" w:rsidRPr="00E47AA9" w:rsidRDefault="00A02C43" w:rsidP="0034644C">
            <w:pPr>
              <w:spacing w:after="0" w:line="240" w:lineRule="auto"/>
              <w:jc w:val="center"/>
              <w:rPr>
                <w:rFonts w:ascii="Times New Roman" w:eastAsia="Times New Roman" w:hAnsi="Times New Roman" w:cs="Times New Roman"/>
                <w:sz w:val="20"/>
                <w:szCs w:val="20"/>
                <w:lang w:eastAsia="ru-RU"/>
              </w:rPr>
            </w:pPr>
            <w:proofErr w:type="spellStart"/>
            <w:r w:rsidRPr="00E47AA9">
              <w:rPr>
                <w:rFonts w:ascii="Times New Roman" w:eastAsia="Times New Roman" w:hAnsi="Times New Roman" w:cs="Times New Roman"/>
                <w:sz w:val="20"/>
                <w:szCs w:val="20"/>
                <w:lang w:eastAsia="ru-RU"/>
              </w:rPr>
              <w:t>чальная</w:t>
            </w:r>
            <w:proofErr w:type="spellEnd"/>
          </w:p>
          <w:p w14:paraId="1D68827E" w14:textId="77777777" w:rsidR="00A02C43" w:rsidRPr="00E47AA9" w:rsidRDefault="00A02C43" w:rsidP="0034644C">
            <w:pPr>
              <w:spacing w:after="0" w:line="240" w:lineRule="auto"/>
              <w:jc w:val="center"/>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sz w:val="20"/>
                <w:szCs w:val="20"/>
                <w:lang w:eastAsia="ru-RU"/>
              </w:rPr>
              <w:t xml:space="preserve">редакция </w:t>
            </w:r>
          </w:p>
        </w:tc>
        <w:tc>
          <w:tcPr>
            <w:tcW w:w="1134" w:type="dxa"/>
            <w:shd w:val="clear" w:color="auto" w:fill="auto"/>
            <w:vAlign w:val="center"/>
          </w:tcPr>
          <w:p w14:paraId="4D62E44E" w14:textId="77777777" w:rsidR="00A02C43" w:rsidRPr="00E47AA9" w:rsidRDefault="00A02C43" w:rsidP="0034644C">
            <w:pPr>
              <w:spacing w:after="0" w:line="240" w:lineRule="auto"/>
              <w:jc w:val="center"/>
              <w:rPr>
                <w:rFonts w:ascii="Times New Roman" w:eastAsia="Times New Roman" w:hAnsi="Times New Roman" w:cs="Times New Roman"/>
                <w:b/>
                <w:bCs/>
                <w:sz w:val="20"/>
                <w:szCs w:val="20"/>
                <w:lang w:eastAsia="ru-RU"/>
              </w:rPr>
            </w:pPr>
            <w:proofErr w:type="spellStart"/>
            <w:proofErr w:type="gramStart"/>
            <w:r w:rsidRPr="00E47AA9">
              <w:rPr>
                <w:rFonts w:ascii="Times New Roman" w:eastAsia="Times New Roman" w:hAnsi="Times New Roman" w:cs="Times New Roman"/>
                <w:sz w:val="20"/>
                <w:szCs w:val="20"/>
                <w:lang w:eastAsia="ru-RU"/>
              </w:rPr>
              <w:t>дейст-вующая</w:t>
            </w:r>
            <w:proofErr w:type="spellEnd"/>
            <w:proofErr w:type="gramEnd"/>
            <w:r w:rsidRPr="00E47AA9">
              <w:rPr>
                <w:rFonts w:ascii="Times New Roman" w:eastAsia="Times New Roman" w:hAnsi="Times New Roman" w:cs="Times New Roman"/>
                <w:sz w:val="20"/>
                <w:szCs w:val="20"/>
                <w:lang w:eastAsia="ru-RU"/>
              </w:rPr>
              <w:t xml:space="preserve"> редакция </w:t>
            </w:r>
          </w:p>
        </w:tc>
        <w:tc>
          <w:tcPr>
            <w:tcW w:w="1205" w:type="dxa"/>
            <w:shd w:val="clear" w:color="auto" w:fill="auto"/>
            <w:vAlign w:val="center"/>
          </w:tcPr>
          <w:p w14:paraId="65DD65F7" w14:textId="77777777" w:rsidR="00A02C43" w:rsidRPr="00E47AA9" w:rsidRDefault="00A02C43" w:rsidP="0034644C">
            <w:pPr>
              <w:spacing w:after="0" w:line="240" w:lineRule="auto"/>
              <w:jc w:val="center"/>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sz w:val="20"/>
                <w:szCs w:val="20"/>
                <w:lang w:eastAsia="ru-RU"/>
              </w:rPr>
              <w:t>отклонение</w:t>
            </w:r>
          </w:p>
        </w:tc>
        <w:tc>
          <w:tcPr>
            <w:tcW w:w="1159" w:type="dxa"/>
            <w:vMerge/>
            <w:shd w:val="clear" w:color="auto" w:fill="auto"/>
            <w:vAlign w:val="center"/>
          </w:tcPr>
          <w:p w14:paraId="799DA891" w14:textId="77777777" w:rsidR="00A02C43" w:rsidRPr="00E47AA9" w:rsidRDefault="00A02C43" w:rsidP="0034644C">
            <w:pPr>
              <w:spacing w:after="0" w:line="240" w:lineRule="auto"/>
              <w:jc w:val="center"/>
              <w:rPr>
                <w:rFonts w:ascii="Times New Roman" w:eastAsia="Times New Roman" w:hAnsi="Times New Roman" w:cs="Times New Roman"/>
                <w:sz w:val="20"/>
                <w:szCs w:val="20"/>
                <w:lang w:eastAsia="ru-RU"/>
              </w:rPr>
            </w:pPr>
          </w:p>
        </w:tc>
        <w:tc>
          <w:tcPr>
            <w:tcW w:w="1180" w:type="dxa"/>
            <w:vMerge/>
            <w:shd w:val="clear" w:color="auto" w:fill="auto"/>
            <w:vAlign w:val="center"/>
          </w:tcPr>
          <w:p w14:paraId="3058BBD6" w14:textId="77777777" w:rsidR="00A02C43" w:rsidRPr="00E47AA9" w:rsidRDefault="00A02C43" w:rsidP="0034644C">
            <w:pPr>
              <w:spacing w:after="0" w:line="240" w:lineRule="auto"/>
              <w:jc w:val="center"/>
              <w:rPr>
                <w:rFonts w:ascii="Times New Roman" w:eastAsia="Times New Roman" w:hAnsi="Times New Roman" w:cs="Times New Roman"/>
                <w:b/>
                <w:bCs/>
                <w:sz w:val="20"/>
                <w:szCs w:val="20"/>
                <w:lang w:eastAsia="ru-RU"/>
              </w:rPr>
            </w:pPr>
          </w:p>
        </w:tc>
      </w:tr>
      <w:tr w:rsidR="00E47AA9" w:rsidRPr="00E47AA9" w14:paraId="127777DC" w14:textId="77777777" w:rsidTr="0034644C">
        <w:trPr>
          <w:trHeight w:val="20"/>
          <w:tblHeader/>
        </w:trPr>
        <w:tc>
          <w:tcPr>
            <w:tcW w:w="4546" w:type="dxa"/>
            <w:shd w:val="clear" w:color="auto" w:fill="auto"/>
            <w:noWrap/>
            <w:vAlign w:val="center"/>
          </w:tcPr>
          <w:p w14:paraId="206CAAAF" w14:textId="77777777" w:rsidR="00A02C43" w:rsidRPr="00E47AA9" w:rsidRDefault="00A02C43" w:rsidP="0034644C">
            <w:pPr>
              <w:spacing w:after="0" w:line="240" w:lineRule="auto"/>
              <w:jc w:val="center"/>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i/>
                <w:iCs/>
                <w:sz w:val="20"/>
                <w:szCs w:val="20"/>
                <w:lang w:eastAsia="ru-RU"/>
              </w:rPr>
              <w:t>1</w:t>
            </w:r>
          </w:p>
        </w:tc>
        <w:tc>
          <w:tcPr>
            <w:tcW w:w="1134" w:type="dxa"/>
            <w:shd w:val="clear" w:color="auto" w:fill="auto"/>
            <w:vAlign w:val="center"/>
          </w:tcPr>
          <w:p w14:paraId="03DCC8D4" w14:textId="77777777" w:rsidR="00A02C43" w:rsidRPr="00E47AA9" w:rsidRDefault="00A02C43" w:rsidP="0034644C">
            <w:pPr>
              <w:spacing w:after="0" w:line="240" w:lineRule="auto"/>
              <w:jc w:val="center"/>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i/>
                <w:iCs/>
                <w:sz w:val="20"/>
                <w:szCs w:val="20"/>
                <w:lang w:eastAsia="ru-RU"/>
              </w:rPr>
              <w:t>2</w:t>
            </w:r>
          </w:p>
        </w:tc>
        <w:tc>
          <w:tcPr>
            <w:tcW w:w="1134" w:type="dxa"/>
            <w:shd w:val="clear" w:color="auto" w:fill="auto"/>
            <w:vAlign w:val="center"/>
          </w:tcPr>
          <w:p w14:paraId="48112AE8" w14:textId="77777777" w:rsidR="00A02C43" w:rsidRPr="00E47AA9" w:rsidRDefault="00A02C43" w:rsidP="0034644C">
            <w:pPr>
              <w:spacing w:after="0" w:line="240" w:lineRule="auto"/>
              <w:jc w:val="center"/>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i/>
                <w:iCs/>
                <w:sz w:val="20"/>
                <w:szCs w:val="20"/>
                <w:lang w:eastAsia="ru-RU"/>
              </w:rPr>
              <w:t>3</w:t>
            </w:r>
          </w:p>
        </w:tc>
        <w:tc>
          <w:tcPr>
            <w:tcW w:w="1205" w:type="dxa"/>
            <w:shd w:val="clear" w:color="auto" w:fill="auto"/>
            <w:vAlign w:val="center"/>
          </w:tcPr>
          <w:p w14:paraId="55A7E178" w14:textId="77777777" w:rsidR="00A02C43" w:rsidRPr="00E47AA9" w:rsidRDefault="00A02C43" w:rsidP="0034644C">
            <w:pPr>
              <w:spacing w:after="0" w:line="240" w:lineRule="auto"/>
              <w:jc w:val="center"/>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i/>
                <w:iCs/>
                <w:sz w:val="20"/>
                <w:szCs w:val="20"/>
                <w:lang w:eastAsia="ru-RU"/>
              </w:rPr>
              <w:t>4=3-2</w:t>
            </w:r>
          </w:p>
        </w:tc>
        <w:tc>
          <w:tcPr>
            <w:tcW w:w="1159" w:type="dxa"/>
            <w:shd w:val="clear" w:color="auto" w:fill="auto"/>
            <w:vAlign w:val="center"/>
          </w:tcPr>
          <w:p w14:paraId="2481949C" w14:textId="77777777" w:rsidR="00A02C43" w:rsidRPr="00E47AA9" w:rsidRDefault="00A02C43" w:rsidP="0034644C">
            <w:pPr>
              <w:spacing w:after="0" w:line="240" w:lineRule="auto"/>
              <w:jc w:val="center"/>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i/>
                <w:iCs/>
                <w:sz w:val="20"/>
                <w:szCs w:val="20"/>
                <w:lang w:eastAsia="ru-RU"/>
              </w:rPr>
              <w:t>5</w:t>
            </w:r>
          </w:p>
        </w:tc>
        <w:tc>
          <w:tcPr>
            <w:tcW w:w="1180" w:type="dxa"/>
            <w:shd w:val="clear" w:color="auto" w:fill="auto"/>
            <w:vAlign w:val="center"/>
          </w:tcPr>
          <w:p w14:paraId="1A2EDA40" w14:textId="77777777" w:rsidR="00A02C43" w:rsidRPr="00E47AA9" w:rsidRDefault="00A02C43" w:rsidP="0034644C">
            <w:pPr>
              <w:spacing w:after="0" w:line="240" w:lineRule="auto"/>
              <w:jc w:val="center"/>
              <w:rPr>
                <w:rFonts w:ascii="Times New Roman" w:eastAsia="Times New Roman" w:hAnsi="Times New Roman" w:cs="Times New Roman"/>
                <w:b/>
                <w:bCs/>
                <w:i/>
                <w:iCs/>
                <w:sz w:val="20"/>
                <w:szCs w:val="20"/>
                <w:lang w:eastAsia="ru-RU"/>
              </w:rPr>
            </w:pPr>
            <w:r w:rsidRPr="00E47AA9">
              <w:rPr>
                <w:rFonts w:ascii="Times New Roman" w:eastAsia="Times New Roman" w:hAnsi="Times New Roman" w:cs="Times New Roman"/>
                <w:i/>
                <w:iCs/>
                <w:sz w:val="20"/>
                <w:szCs w:val="20"/>
                <w:lang w:eastAsia="ru-RU"/>
              </w:rPr>
              <w:t>6=3-5</w:t>
            </w:r>
          </w:p>
        </w:tc>
      </w:tr>
      <w:tr w:rsidR="00E47AA9" w:rsidRPr="00E47AA9" w14:paraId="5542C688" w14:textId="77777777" w:rsidTr="0034644C">
        <w:trPr>
          <w:trHeight w:val="20"/>
        </w:trPr>
        <w:tc>
          <w:tcPr>
            <w:tcW w:w="4546" w:type="dxa"/>
            <w:shd w:val="clear" w:color="auto" w:fill="auto"/>
            <w:noWrap/>
            <w:vAlign w:val="center"/>
            <w:hideMark/>
          </w:tcPr>
          <w:p w14:paraId="0C3DE5A7" w14:textId="77777777" w:rsidR="00A02C43" w:rsidRPr="00E47AA9" w:rsidRDefault="00A02C43" w:rsidP="0034644C">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Размер дефицита краевого бюджета</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D9FEA05"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17 068,34</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3AE19E0E"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20 516,68</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7C794990"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3 448,34</w:t>
            </w:r>
          </w:p>
        </w:tc>
        <w:tc>
          <w:tcPr>
            <w:tcW w:w="1159" w:type="dxa"/>
            <w:tcBorders>
              <w:top w:val="single" w:sz="8" w:space="0" w:color="auto"/>
              <w:left w:val="nil"/>
              <w:bottom w:val="single" w:sz="8" w:space="0" w:color="auto"/>
              <w:right w:val="single" w:sz="8" w:space="0" w:color="auto"/>
            </w:tcBorders>
            <w:shd w:val="clear" w:color="auto" w:fill="auto"/>
            <w:vAlign w:val="center"/>
            <w:hideMark/>
          </w:tcPr>
          <w:p w14:paraId="54080848"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7 710,13</w:t>
            </w:r>
          </w:p>
        </w:tc>
        <w:tc>
          <w:tcPr>
            <w:tcW w:w="1180" w:type="dxa"/>
            <w:tcBorders>
              <w:top w:val="single" w:sz="8" w:space="0" w:color="auto"/>
              <w:left w:val="nil"/>
              <w:bottom w:val="single" w:sz="8" w:space="0" w:color="auto"/>
              <w:right w:val="single" w:sz="8" w:space="0" w:color="auto"/>
            </w:tcBorders>
            <w:shd w:val="clear" w:color="auto" w:fill="auto"/>
            <w:vAlign w:val="center"/>
            <w:hideMark/>
          </w:tcPr>
          <w:p w14:paraId="53328C72"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12 806,55</w:t>
            </w:r>
          </w:p>
        </w:tc>
      </w:tr>
      <w:tr w:rsidR="00E47AA9" w:rsidRPr="00E47AA9" w14:paraId="6F96DD19" w14:textId="77777777" w:rsidTr="0034644C">
        <w:trPr>
          <w:trHeight w:val="20"/>
        </w:trPr>
        <w:tc>
          <w:tcPr>
            <w:tcW w:w="4546" w:type="dxa"/>
            <w:shd w:val="clear" w:color="auto" w:fill="auto"/>
            <w:vAlign w:val="center"/>
            <w:hideMark/>
          </w:tcPr>
          <w:p w14:paraId="7DC7366E" w14:textId="03490754" w:rsidR="00A02C43" w:rsidRPr="00E47AA9" w:rsidRDefault="00A02C43" w:rsidP="003B79A9">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 том числе по источникам</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5E8010CC"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 </w:t>
            </w:r>
          </w:p>
        </w:tc>
        <w:tc>
          <w:tcPr>
            <w:tcW w:w="1134" w:type="dxa"/>
            <w:tcBorders>
              <w:top w:val="nil"/>
              <w:left w:val="nil"/>
              <w:bottom w:val="single" w:sz="8" w:space="0" w:color="auto"/>
              <w:right w:val="single" w:sz="8" w:space="0" w:color="auto"/>
            </w:tcBorders>
            <w:shd w:val="clear" w:color="auto" w:fill="auto"/>
            <w:vAlign w:val="center"/>
            <w:hideMark/>
          </w:tcPr>
          <w:p w14:paraId="72113F3E"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 </w:t>
            </w:r>
          </w:p>
        </w:tc>
        <w:tc>
          <w:tcPr>
            <w:tcW w:w="1205" w:type="dxa"/>
            <w:tcBorders>
              <w:top w:val="nil"/>
              <w:left w:val="nil"/>
              <w:bottom w:val="single" w:sz="8" w:space="0" w:color="auto"/>
              <w:right w:val="single" w:sz="8" w:space="0" w:color="auto"/>
            </w:tcBorders>
            <w:shd w:val="clear" w:color="auto" w:fill="auto"/>
            <w:vAlign w:val="center"/>
            <w:hideMark/>
          </w:tcPr>
          <w:p w14:paraId="1AB42543"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 </w:t>
            </w:r>
          </w:p>
        </w:tc>
        <w:tc>
          <w:tcPr>
            <w:tcW w:w="1159" w:type="dxa"/>
            <w:tcBorders>
              <w:top w:val="nil"/>
              <w:left w:val="nil"/>
              <w:bottom w:val="single" w:sz="8" w:space="0" w:color="auto"/>
              <w:right w:val="single" w:sz="8" w:space="0" w:color="auto"/>
            </w:tcBorders>
            <w:shd w:val="clear" w:color="auto" w:fill="auto"/>
            <w:vAlign w:val="center"/>
            <w:hideMark/>
          </w:tcPr>
          <w:p w14:paraId="0C063902"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 </w:t>
            </w:r>
          </w:p>
        </w:tc>
        <w:tc>
          <w:tcPr>
            <w:tcW w:w="1180" w:type="dxa"/>
            <w:tcBorders>
              <w:top w:val="nil"/>
              <w:left w:val="nil"/>
              <w:bottom w:val="single" w:sz="8" w:space="0" w:color="auto"/>
              <w:right w:val="single" w:sz="8" w:space="0" w:color="auto"/>
            </w:tcBorders>
            <w:shd w:val="clear" w:color="auto" w:fill="auto"/>
            <w:vAlign w:val="center"/>
            <w:hideMark/>
          </w:tcPr>
          <w:p w14:paraId="65C5C802"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 </w:t>
            </w:r>
          </w:p>
        </w:tc>
      </w:tr>
      <w:tr w:rsidR="00E47AA9" w:rsidRPr="00E47AA9" w14:paraId="6E6EE962" w14:textId="77777777" w:rsidTr="0034644C">
        <w:trPr>
          <w:trHeight w:val="20"/>
        </w:trPr>
        <w:tc>
          <w:tcPr>
            <w:tcW w:w="4546" w:type="dxa"/>
            <w:shd w:val="clear" w:color="auto" w:fill="auto"/>
            <w:vAlign w:val="center"/>
            <w:hideMark/>
          </w:tcPr>
          <w:p w14:paraId="09AD0943" w14:textId="77777777" w:rsidR="00A02C43" w:rsidRPr="00E47AA9" w:rsidRDefault="00A02C43" w:rsidP="0034644C">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Кредиты кредитных организаций в валюте РФ</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4E490882"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8 052,27</w:t>
            </w:r>
          </w:p>
        </w:tc>
        <w:tc>
          <w:tcPr>
            <w:tcW w:w="1134" w:type="dxa"/>
            <w:tcBorders>
              <w:top w:val="nil"/>
              <w:left w:val="nil"/>
              <w:bottom w:val="single" w:sz="8" w:space="0" w:color="auto"/>
              <w:right w:val="single" w:sz="8" w:space="0" w:color="auto"/>
            </w:tcBorders>
            <w:shd w:val="clear" w:color="auto" w:fill="auto"/>
            <w:vAlign w:val="center"/>
            <w:hideMark/>
          </w:tcPr>
          <w:p w14:paraId="62D853C4"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3 344,66</w:t>
            </w:r>
          </w:p>
        </w:tc>
        <w:tc>
          <w:tcPr>
            <w:tcW w:w="1205" w:type="dxa"/>
            <w:tcBorders>
              <w:top w:val="nil"/>
              <w:left w:val="nil"/>
              <w:bottom w:val="single" w:sz="8" w:space="0" w:color="auto"/>
              <w:right w:val="single" w:sz="8" w:space="0" w:color="auto"/>
            </w:tcBorders>
            <w:shd w:val="clear" w:color="auto" w:fill="auto"/>
            <w:vAlign w:val="center"/>
            <w:hideMark/>
          </w:tcPr>
          <w:p w14:paraId="20127FAA"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-4 707,61</w:t>
            </w:r>
          </w:p>
        </w:tc>
        <w:tc>
          <w:tcPr>
            <w:tcW w:w="1159" w:type="dxa"/>
            <w:tcBorders>
              <w:top w:val="nil"/>
              <w:left w:val="nil"/>
              <w:bottom w:val="single" w:sz="8" w:space="0" w:color="auto"/>
              <w:right w:val="single" w:sz="8" w:space="0" w:color="auto"/>
            </w:tcBorders>
            <w:shd w:val="clear" w:color="auto" w:fill="auto"/>
            <w:vAlign w:val="center"/>
            <w:hideMark/>
          </w:tcPr>
          <w:p w14:paraId="00B86119"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0,00</w:t>
            </w:r>
          </w:p>
        </w:tc>
        <w:tc>
          <w:tcPr>
            <w:tcW w:w="1180" w:type="dxa"/>
            <w:tcBorders>
              <w:top w:val="nil"/>
              <w:left w:val="nil"/>
              <w:bottom w:val="single" w:sz="8" w:space="0" w:color="auto"/>
              <w:right w:val="single" w:sz="8" w:space="0" w:color="auto"/>
            </w:tcBorders>
            <w:shd w:val="clear" w:color="auto" w:fill="auto"/>
            <w:vAlign w:val="center"/>
            <w:hideMark/>
          </w:tcPr>
          <w:p w14:paraId="3C71A25F"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3 344,66</w:t>
            </w:r>
          </w:p>
        </w:tc>
      </w:tr>
      <w:tr w:rsidR="00E47AA9" w:rsidRPr="00E47AA9" w14:paraId="1E4FE268" w14:textId="77777777" w:rsidTr="0034644C">
        <w:trPr>
          <w:trHeight w:val="20"/>
        </w:trPr>
        <w:tc>
          <w:tcPr>
            <w:tcW w:w="4546" w:type="dxa"/>
            <w:shd w:val="clear" w:color="auto" w:fill="auto"/>
            <w:vAlign w:val="center"/>
            <w:hideMark/>
          </w:tcPr>
          <w:p w14:paraId="2FFC35DC" w14:textId="77777777" w:rsidR="00A02C43" w:rsidRPr="00E47AA9" w:rsidRDefault="00A02C43" w:rsidP="0034644C">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 том числе</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79AB0A11"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 </w:t>
            </w:r>
          </w:p>
        </w:tc>
        <w:tc>
          <w:tcPr>
            <w:tcW w:w="1134" w:type="dxa"/>
            <w:tcBorders>
              <w:top w:val="nil"/>
              <w:left w:val="nil"/>
              <w:bottom w:val="single" w:sz="8" w:space="0" w:color="auto"/>
              <w:right w:val="single" w:sz="8" w:space="0" w:color="auto"/>
            </w:tcBorders>
            <w:shd w:val="clear" w:color="auto" w:fill="auto"/>
            <w:vAlign w:val="center"/>
            <w:hideMark/>
          </w:tcPr>
          <w:p w14:paraId="31AE2384"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 </w:t>
            </w:r>
          </w:p>
        </w:tc>
        <w:tc>
          <w:tcPr>
            <w:tcW w:w="1205" w:type="dxa"/>
            <w:tcBorders>
              <w:top w:val="nil"/>
              <w:left w:val="nil"/>
              <w:bottom w:val="single" w:sz="8" w:space="0" w:color="auto"/>
              <w:right w:val="single" w:sz="8" w:space="0" w:color="auto"/>
            </w:tcBorders>
            <w:shd w:val="clear" w:color="auto" w:fill="auto"/>
            <w:vAlign w:val="center"/>
            <w:hideMark/>
          </w:tcPr>
          <w:p w14:paraId="009543D1"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 </w:t>
            </w:r>
          </w:p>
        </w:tc>
        <w:tc>
          <w:tcPr>
            <w:tcW w:w="1159" w:type="dxa"/>
            <w:tcBorders>
              <w:top w:val="nil"/>
              <w:left w:val="nil"/>
              <w:bottom w:val="single" w:sz="8" w:space="0" w:color="auto"/>
              <w:right w:val="single" w:sz="8" w:space="0" w:color="auto"/>
            </w:tcBorders>
            <w:shd w:val="clear" w:color="auto" w:fill="auto"/>
            <w:vAlign w:val="center"/>
            <w:hideMark/>
          </w:tcPr>
          <w:p w14:paraId="795759A0"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 </w:t>
            </w:r>
          </w:p>
        </w:tc>
        <w:tc>
          <w:tcPr>
            <w:tcW w:w="1180" w:type="dxa"/>
            <w:tcBorders>
              <w:top w:val="nil"/>
              <w:left w:val="nil"/>
              <w:bottom w:val="single" w:sz="8" w:space="0" w:color="auto"/>
              <w:right w:val="single" w:sz="8" w:space="0" w:color="auto"/>
            </w:tcBorders>
            <w:shd w:val="clear" w:color="auto" w:fill="auto"/>
            <w:vAlign w:val="center"/>
            <w:hideMark/>
          </w:tcPr>
          <w:p w14:paraId="271651E1"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 </w:t>
            </w:r>
          </w:p>
        </w:tc>
      </w:tr>
      <w:tr w:rsidR="00E47AA9" w:rsidRPr="00E47AA9" w14:paraId="4BAA97D4" w14:textId="77777777" w:rsidTr="0034644C">
        <w:trPr>
          <w:trHeight w:val="20"/>
        </w:trPr>
        <w:tc>
          <w:tcPr>
            <w:tcW w:w="4546" w:type="dxa"/>
            <w:shd w:val="clear" w:color="auto" w:fill="auto"/>
            <w:vAlign w:val="center"/>
            <w:hideMark/>
          </w:tcPr>
          <w:p w14:paraId="79AD7610" w14:textId="77777777" w:rsidR="00A02C43" w:rsidRPr="00E47AA9" w:rsidRDefault="00A02C43" w:rsidP="0034644C">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Привлечение </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0E972C31"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8 052,27</w:t>
            </w:r>
          </w:p>
        </w:tc>
        <w:tc>
          <w:tcPr>
            <w:tcW w:w="1134" w:type="dxa"/>
            <w:tcBorders>
              <w:top w:val="nil"/>
              <w:left w:val="nil"/>
              <w:bottom w:val="single" w:sz="8" w:space="0" w:color="auto"/>
              <w:right w:val="single" w:sz="8" w:space="0" w:color="auto"/>
            </w:tcBorders>
            <w:shd w:val="clear" w:color="auto" w:fill="auto"/>
            <w:vAlign w:val="center"/>
            <w:hideMark/>
          </w:tcPr>
          <w:p w14:paraId="58870853"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3 344,66</w:t>
            </w:r>
          </w:p>
        </w:tc>
        <w:tc>
          <w:tcPr>
            <w:tcW w:w="1205" w:type="dxa"/>
            <w:tcBorders>
              <w:top w:val="nil"/>
              <w:left w:val="nil"/>
              <w:bottom w:val="single" w:sz="8" w:space="0" w:color="auto"/>
              <w:right w:val="single" w:sz="8" w:space="0" w:color="auto"/>
            </w:tcBorders>
            <w:shd w:val="clear" w:color="auto" w:fill="auto"/>
            <w:vAlign w:val="center"/>
            <w:hideMark/>
          </w:tcPr>
          <w:p w14:paraId="4F573EA7"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-4 707,61</w:t>
            </w:r>
          </w:p>
        </w:tc>
        <w:tc>
          <w:tcPr>
            <w:tcW w:w="1159" w:type="dxa"/>
            <w:tcBorders>
              <w:top w:val="nil"/>
              <w:left w:val="nil"/>
              <w:bottom w:val="single" w:sz="8" w:space="0" w:color="auto"/>
              <w:right w:val="single" w:sz="8" w:space="0" w:color="auto"/>
            </w:tcBorders>
            <w:shd w:val="clear" w:color="auto" w:fill="auto"/>
            <w:vAlign w:val="center"/>
            <w:hideMark/>
          </w:tcPr>
          <w:p w14:paraId="610B7916"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c>
          <w:tcPr>
            <w:tcW w:w="1180" w:type="dxa"/>
            <w:tcBorders>
              <w:top w:val="nil"/>
              <w:left w:val="nil"/>
              <w:bottom w:val="single" w:sz="8" w:space="0" w:color="auto"/>
              <w:right w:val="single" w:sz="8" w:space="0" w:color="auto"/>
            </w:tcBorders>
            <w:shd w:val="clear" w:color="auto" w:fill="auto"/>
            <w:vAlign w:val="center"/>
            <w:hideMark/>
          </w:tcPr>
          <w:p w14:paraId="10313AD4"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3 344,66</w:t>
            </w:r>
          </w:p>
        </w:tc>
      </w:tr>
      <w:tr w:rsidR="00E47AA9" w:rsidRPr="00E47AA9" w14:paraId="4D90A80E" w14:textId="77777777" w:rsidTr="0034644C">
        <w:trPr>
          <w:trHeight w:val="20"/>
        </w:trPr>
        <w:tc>
          <w:tcPr>
            <w:tcW w:w="4546" w:type="dxa"/>
            <w:shd w:val="clear" w:color="auto" w:fill="auto"/>
            <w:vAlign w:val="center"/>
            <w:hideMark/>
          </w:tcPr>
          <w:p w14:paraId="6A8F7E6C" w14:textId="77777777" w:rsidR="00A02C43" w:rsidRPr="00E47AA9" w:rsidRDefault="00A02C43" w:rsidP="0034644C">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Погашение </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1DF1F058"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c>
          <w:tcPr>
            <w:tcW w:w="1134" w:type="dxa"/>
            <w:tcBorders>
              <w:top w:val="nil"/>
              <w:left w:val="nil"/>
              <w:bottom w:val="single" w:sz="8" w:space="0" w:color="auto"/>
              <w:right w:val="single" w:sz="8" w:space="0" w:color="auto"/>
            </w:tcBorders>
            <w:shd w:val="clear" w:color="auto" w:fill="auto"/>
            <w:vAlign w:val="center"/>
            <w:hideMark/>
          </w:tcPr>
          <w:p w14:paraId="659E2427"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c>
          <w:tcPr>
            <w:tcW w:w="1205" w:type="dxa"/>
            <w:tcBorders>
              <w:top w:val="nil"/>
              <w:left w:val="nil"/>
              <w:bottom w:val="single" w:sz="8" w:space="0" w:color="auto"/>
              <w:right w:val="single" w:sz="8" w:space="0" w:color="auto"/>
            </w:tcBorders>
            <w:shd w:val="clear" w:color="auto" w:fill="auto"/>
            <w:vAlign w:val="center"/>
            <w:hideMark/>
          </w:tcPr>
          <w:p w14:paraId="7EDDD13E"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c>
          <w:tcPr>
            <w:tcW w:w="1159" w:type="dxa"/>
            <w:tcBorders>
              <w:top w:val="nil"/>
              <w:left w:val="nil"/>
              <w:bottom w:val="single" w:sz="8" w:space="0" w:color="auto"/>
              <w:right w:val="single" w:sz="8" w:space="0" w:color="auto"/>
            </w:tcBorders>
            <w:shd w:val="clear" w:color="auto" w:fill="auto"/>
            <w:vAlign w:val="center"/>
            <w:hideMark/>
          </w:tcPr>
          <w:p w14:paraId="1EB13900"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c>
          <w:tcPr>
            <w:tcW w:w="1180" w:type="dxa"/>
            <w:tcBorders>
              <w:top w:val="nil"/>
              <w:left w:val="nil"/>
              <w:bottom w:val="single" w:sz="8" w:space="0" w:color="auto"/>
              <w:right w:val="single" w:sz="8" w:space="0" w:color="auto"/>
            </w:tcBorders>
            <w:shd w:val="clear" w:color="auto" w:fill="auto"/>
            <w:vAlign w:val="center"/>
            <w:hideMark/>
          </w:tcPr>
          <w:p w14:paraId="0FE48A0C"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r>
      <w:tr w:rsidR="00E47AA9" w:rsidRPr="00E47AA9" w14:paraId="5FD39A14" w14:textId="77777777" w:rsidTr="0034644C">
        <w:trPr>
          <w:trHeight w:val="20"/>
        </w:trPr>
        <w:tc>
          <w:tcPr>
            <w:tcW w:w="4546" w:type="dxa"/>
            <w:shd w:val="clear" w:color="auto" w:fill="auto"/>
            <w:vAlign w:val="center"/>
            <w:hideMark/>
          </w:tcPr>
          <w:p w14:paraId="418BF5AE" w14:textId="77777777" w:rsidR="00A02C43" w:rsidRPr="00E47AA9" w:rsidRDefault="00A02C43" w:rsidP="0034644C">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 xml:space="preserve">Бюджетные кредиты из других бюджетов </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315CF0D3"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-1 600,83</w:t>
            </w:r>
          </w:p>
        </w:tc>
        <w:tc>
          <w:tcPr>
            <w:tcW w:w="1134" w:type="dxa"/>
            <w:tcBorders>
              <w:top w:val="nil"/>
              <w:left w:val="nil"/>
              <w:bottom w:val="single" w:sz="8" w:space="0" w:color="auto"/>
              <w:right w:val="single" w:sz="8" w:space="0" w:color="auto"/>
            </w:tcBorders>
            <w:shd w:val="clear" w:color="auto" w:fill="auto"/>
            <w:vAlign w:val="center"/>
            <w:hideMark/>
          </w:tcPr>
          <w:p w14:paraId="558F959C"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-1 020,21</w:t>
            </w:r>
          </w:p>
        </w:tc>
        <w:tc>
          <w:tcPr>
            <w:tcW w:w="1205" w:type="dxa"/>
            <w:tcBorders>
              <w:top w:val="nil"/>
              <w:left w:val="nil"/>
              <w:bottom w:val="single" w:sz="8" w:space="0" w:color="auto"/>
              <w:right w:val="single" w:sz="8" w:space="0" w:color="auto"/>
            </w:tcBorders>
            <w:shd w:val="clear" w:color="auto" w:fill="auto"/>
            <w:vAlign w:val="center"/>
            <w:hideMark/>
          </w:tcPr>
          <w:p w14:paraId="006B5C0A"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580,62</w:t>
            </w:r>
          </w:p>
        </w:tc>
        <w:tc>
          <w:tcPr>
            <w:tcW w:w="1159" w:type="dxa"/>
            <w:tcBorders>
              <w:top w:val="nil"/>
              <w:left w:val="nil"/>
              <w:bottom w:val="single" w:sz="8" w:space="0" w:color="auto"/>
              <w:right w:val="single" w:sz="8" w:space="0" w:color="auto"/>
            </w:tcBorders>
            <w:shd w:val="clear" w:color="auto" w:fill="auto"/>
            <w:vAlign w:val="center"/>
            <w:hideMark/>
          </w:tcPr>
          <w:p w14:paraId="31B6A15C"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-1 020,21</w:t>
            </w:r>
          </w:p>
        </w:tc>
        <w:tc>
          <w:tcPr>
            <w:tcW w:w="1180" w:type="dxa"/>
            <w:tcBorders>
              <w:top w:val="nil"/>
              <w:left w:val="nil"/>
              <w:bottom w:val="single" w:sz="8" w:space="0" w:color="auto"/>
              <w:right w:val="single" w:sz="8" w:space="0" w:color="auto"/>
            </w:tcBorders>
            <w:shd w:val="clear" w:color="auto" w:fill="auto"/>
            <w:vAlign w:val="center"/>
            <w:hideMark/>
          </w:tcPr>
          <w:p w14:paraId="465902F7"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0,00</w:t>
            </w:r>
          </w:p>
        </w:tc>
      </w:tr>
      <w:tr w:rsidR="00E47AA9" w:rsidRPr="00E47AA9" w14:paraId="7D292B61" w14:textId="77777777" w:rsidTr="0034644C">
        <w:trPr>
          <w:trHeight w:val="20"/>
        </w:trPr>
        <w:tc>
          <w:tcPr>
            <w:tcW w:w="4546" w:type="dxa"/>
            <w:shd w:val="clear" w:color="auto" w:fill="auto"/>
            <w:vAlign w:val="center"/>
            <w:hideMark/>
          </w:tcPr>
          <w:p w14:paraId="53CAD96A" w14:textId="77777777" w:rsidR="00A02C43" w:rsidRPr="00E47AA9" w:rsidRDefault="00A02C43" w:rsidP="0034644C">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 том числе</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2803A3C8"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 </w:t>
            </w:r>
          </w:p>
        </w:tc>
        <w:tc>
          <w:tcPr>
            <w:tcW w:w="1134" w:type="dxa"/>
            <w:tcBorders>
              <w:top w:val="nil"/>
              <w:left w:val="nil"/>
              <w:bottom w:val="single" w:sz="8" w:space="0" w:color="auto"/>
              <w:right w:val="single" w:sz="8" w:space="0" w:color="auto"/>
            </w:tcBorders>
            <w:shd w:val="clear" w:color="auto" w:fill="auto"/>
            <w:vAlign w:val="center"/>
            <w:hideMark/>
          </w:tcPr>
          <w:p w14:paraId="2EAEF531"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 </w:t>
            </w:r>
          </w:p>
        </w:tc>
        <w:tc>
          <w:tcPr>
            <w:tcW w:w="1205" w:type="dxa"/>
            <w:tcBorders>
              <w:top w:val="nil"/>
              <w:left w:val="nil"/>
              <w:bottom w:val="single" w:sz="8" w:space="0" w:color="auto"/>
              <w:right w:val="single" w:sz="8" w:space="0" w:color="auto"/>
            </w:tcBorders>
            <w:shd w:val="clear" w:color="auto" w:fill="auto"/>
            <w:vAlign w:val="center"/>
            <w:hideMark/>
          </w:tcPr>
          <w:p w14:paraId="090121DC"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 </w:t>
            </w:r>
          </w:p>
        </w:tc>
        <w:tc>
          <w:tcPr>
            <w:tcW w:w="1159" w:type="dxa"/>
            <w:tcBorders>
              <w:top w:val="nil"/>
              <w:left w:val="nil"/>
              <w:bottom w:val="single" w:sz="8" w:space="0" w:color="auto"/>
              <w:right w:val="single" w:sz="8" w:space="0" w:color="auto"/>
            </w:tcBorders>
            <w:shd w:val="clear" w:color="auto" w:fill="auto"/>
            <w:vAlign w:val="center"/>
            <w:hideMark/>
          </w:tcPr>
          <w:p w14:paraId="0B7CAC39"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 </w:t>
            </w:r>
          </w:p>
        </w:tc>
        <w:tc>
          <w:tcPr>
            <w:tcW w:w="1180" w:type="dxa"/>
            <w:tcBorders>
              <w:top w:val="nil"/>
              <w:left w:val="nil"/>
              <w:bottom w:val="single" w:sz="8" w:space="0" w:color="auto"/>
              <w:right w:val="single" w:sz="8" w:space="0" w:color="auto"/>
            </w:tcBorders>
            <w:shd w:val="clear" w:color="auto" w:fill="auto"/>
            <w:vAlign w:val="center"/>
            <w:hideMark/>
          </w:tcPr>
          <w:p w14:paraId="48E7BC21"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 </w:t>
            </w:r>
          </w:p>
        </w:tc>
      </w:tr>
      <w:tr w:rsidR="00E47AA9" w:rsidRPr="00E47AA9" w14:paraId="7A0B1DA1" w14:textId="77777777" w:rsidTr="0034644C">
        <w:trPr>
          <w:trHeight w:val="20"/>
        </w:trPr>
        <w:tc>
          <w:tcPr>
            <w:tcW w:w="4546" w:type="dxa"/>
            <w:shd w:val="clear" w:color="auto" w:fill="auto"/>
            <w:vAlign w:val="center"/>
            <w:hideMark/>
          </w:tcPr>
          <w:p w14:paraId="2F722FEF" w14:textId="77777777" w:rsidR="00A02C43" w:rsidRPr="00E47AA9" w:rsidRDefault="00A02C43" w:rsidP="0034644C">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Привлечение, в том числе</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4AA5BBDD"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6 000,00</w:t>
            </w:r>
          </w:p>
        </w:tc>
        <w:tc>
          <w:tcPr>
            <w:tcW w:w="1134" w:type="dxa"/>
            <w:tcBorders>
              <w:top w:val="nil"/>
              <w:left w:val="nil"/>
              <w:bottom w:val="single" w:sz="8" w:space="0" w:color="auto"/>
              <w:right w:val="single" w:sz="8" w:space="0" w:color="auto"/>
            </w:tcBorders>
            <w:shd w:val="clear" w:color="auto" w:fill="auto"/>
            <w:vAlign w:val="center"/>
            <w:hideMark/>
          </w:tcPr>
          <w:p w14:paraId="5324F788"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6 611,54</w:t>
            </w:r>
          </w:p>
        </w:tc>
        <w:tc>
          <w:tcPr>
            <w:tcW w:w="1205" w:type="dxa"/>
            <w:tcBorders>
              <w:top w:val="nil"/>
              <w:left w:val="nil"/>
              <w:bottom w:val="single" w:sz="8" w:space="0" w:color="auto"/>
              <w:right w:val="single" w:sz="8" w:space="0" w:color="auto"/>
            </w:tcBorders>
            <w:shd w:val="clear" w:color="auto" w:fill="auto"/>
            <w:vAlign w:val="center"/>
            <w:hideMark/>
          </w:tcPr>
          <w:p w14:paraId="4C390BF9"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611,54</w:t>
            </w:r>
          </w:p>
        </w:tc>
        <w:tc>
          <w:tcPr>
            <w:tcW w:w="1159" w:type="dxa"/>
            <w:tcBorders>
              <w:top w:val="nil"/>
              <w:left w:val="nil"/>
              <w:bottom w:val="single" w:sz="8" w:space="0" w:color="auto"/>
              <w:right w:val="single" w:sz="8" w:space="0" w:color="auto"/>
            </w:tcBorders>
            <w:shd w:val="clear" w:color="auto" w:fill="auto"/>
            <w:vAlign w:val="center"/>
            <w:hideMark/>
          </w:tcPr>
          <w:p w14:paraId="438D3B0E"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611,54</w:t>
            </w:r>
          </w:p>
        </w:tc>
        <w:tc>
          <w:tcPr>
            <w:tcW w:w="1180" w:type="dxa"/>
            <w:tcBorders>
              <w:top w:val="nil"/>
              <w:left w:val="nil"/>
              <w:bottom w:val="single" w:sz="8" w:space="0" w:color="auto"/>
              <w:right w:val="single" w:sz="8" w:space="0" w:color="auto"/>
            </w:tcBorders>
            <w:shd w:val="clear" w:color="auto" w:fill="auto"/>
            <w:vAlign w:val="center"/>
            <w:hideMark/>
          </w:tcPr>
          <w:p w14:paraId="1C1F5BA2"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6 000,00</w:t>
            </w:r>
          </w:p>
        </w:tc>
      </w:tr>
      <w:tr w:rsidR="00E47AA9" w:rsidRPr="00E47AA9" w14:paraId="0EFD9842" w14:textId="77777777" w:rsidTr="0034644C">
        <w:trPr>
          <w:trHeight w:val="20"/>
        </w:trPr>
        <w:tc>
          <w:tcPr>
            <w:tcW w:w="4546" w:type="dxa"/>
            <w:shd w:val="clear" w:color="auto" w:fill="auto"/>
            <w:noWrap/>
            <w:vAlign w:val="center"/>
            <w:hideMark/>
          </w:tcPr>
          <w:p w14:paraId="177CAA25" w14:textId="77777777" w:rsidR="00A02C43" w:rsidRPr="00E47AA9" w:rsidRDefault="00A02C43" w:rsidP="0034644C">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     кредиты из других бюджетов бюджетной системы </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2497FC46"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6 000,00</w:t>
            </w:r>
          </w:p>
        </w:tc>
        <w:tc>
          <w:tcPr>
            <w:tcW w:w="1134" w:type="dxa"/>
            <w:tcBorders>
              <w:top w:val="nil"/>
              <w:left w:val="nil"/>
              <w:bottom w:val="single" w:sz="8" w:space="0" w:color="auto"/>
              <w:right w:val="single" w:sz="8" w:space="0" w:color="auto"/>
            </w:tcBorders>
            <w:shd w:val="clear" w:color="auto" w:fill="auto"/>
            <w:vAlign w:val="center"/>
            <w:hideMark/>
          </w:tcPr>
          <w:p w14:paraId="75B5D10F"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6 000,00</w:t>
            </w:r>
          </w:p>
        </w:tc>
        <w:tc>
          <w:tcPr>
            <w:tcW w:w="1205" w:type="dxa"/>
            <w:tcBorders>
              <w:top w:val="nil"/>
              <w:left w:val="nil"/>
              <w:bottom w:val="single" w:sz="8" w:space="0" w:color="auto"/>
              <w:right w:val="single" w:sz="8" w:space="0" w:color="auto"/>
            </w:tcBorders>
            <w:shd w:val="clear" w:color="auto" w:fill="auto"/>
            <w:vAlign w:val="center"/>
            <w:hideMark/>
          </w:tcPr>
          <w:p w14:paraId="5B221F2A"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c>
          <w:tcPr>
            <w:tcW w:w="1159" w:type="dxa"/>
            <w:tcBorders>
              <w:top w:val="nil"/>
              <w:left w:val="nil"/>
              <w:bottom w:val="single" w:sz="8" w:space="0" w:color="auto"/>
              <w:right w:val="single" w:sz="8" w:space="0" w:color="auto"/>
            </w:tcBorders>
            <w:shd w:val="clear" w:color="auto" w:fill="auto"/>
            <w:vAlign w:val="center"/>
            <w:hideMark/>
          </w:tcPr>
          <w:p w14:paraId="47126BB1"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 0,00</w:t>
            </w:r>
          </w:p>
        </w:tc>
        <w:tc>
          <w:tcPr>
            <w:tcW w:w="1180" w:type="dxa"/>
            <w:tcBorders>
              <w:top w:val="nil"/>
              <w:left w:val="nil"/>
              <w:bottom w:val="single" w:sz="8" w:space="0" w:color="auto"/>
              <w:right w:val="single" w:sz="8" w:space="0" w:color="auto"/>
            </w:tcBorders>
            <w:shd w:val="clear" w:color="auto" w:fill="auto"/>
            <w:vAlign w:val="center"/>
            <w:hideMark/>
          </w:tcPr>
          <w:p w14:paraId="28BA528C"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6 000,00</w:t>
            </w:r>
          </w:p>
        </w:tc>
      </w:tr>
      <w:tr w:rsidR="00E47AA9" w:rsidRPr="00E47AA9" w14:paraId="25F357C8" w14:textId="77777777" w:rsidTr="0034644C">
        <w:trPr>
          <w:trHeight w:val="20"/>
        </w:trPr>
        <w:tc>
          <w:tcPr>
            <w:tcW w:w="4546" w:type="dxa"/>
            <w:shd w:val="clear" w:color="auto" w:fill="auto"/>
            <w:vAlign w:val="center"/>
            <w:hideMark/>
          </w:tcPr>
          <w:p w14:paraId="31C6D5D3" w14:textId="77777777" w:rsidR="00A02C43" w:rsidRPr="00E47AA9" w:rsidRDefault="00A02C43" w:rsidP="0034644C">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     на финансовое обеспечение реализации инфраструктурных проектов </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3405BBD2"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 </w:t>
            </w:r>
          </w:p>
        </w:tc>
        <w:tc>
          <w:tcPr>
            <w:tcW w:w="1134" w:type="dxa"/>
            <w:tcBorders>
              <w:top w:val="nil"/>
              <w:left w:val="nil"/>
              <w:bottom w:val="single" w:sz="8" w:space="0" w:color="auto"/>
              <w:right w:val="single" w:sz="8" w:space="0" w:color="auto"/>
            </w:tcBorders>
            <w:shd w:val="clear" w:color="auto" w:fill="auto"/>
            <w:vAlign w:val="center"/>
            <w:hideMark/>
          </w:tcPr>
          <w:p w14:paraId="5B033BA8"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611,54</w:t>
            </w:r>
          </w:p>
        </w:tc>
        <w:tc>
          <w:tcPr>
            <w:tcW w:w="1205" w:type="dxa"/>
            <w:tcBorders>
              <w:top w:val="nil"/>
              <w:left w:val="nil"/>
              <w:bottom w:val="single" w:sz="8" w:space="0" w:color="auto"/>
              <w:right w:val="single" w:sz="8" w:space="0" w:color="auto"/>
            </w:tcBorders>
            <w:shd w:val="clear" w:color="auto" w:fill="auto"/>
            <w:vAlign w:val="center"/>
            <w:hideMark/>
          </w:tcPr>
          <w:p w14:paraId="26148A1A"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611,54</w:t>
            </w:r>
          </w:p>
        </w:tc>
        <w:tc>
          <w:tcPr>
            <w:tcW w:w="1159" w:type="dxa"/>
            <w:tcBorders>
              <w:top w:val="nil"/>
              <w:left w:val="nil"/>
              <w:bottom w:val="single" w:sz="8" w:space="0" w:color="auto"/>
              <w:right w:val="single" w:sz="8" w:space="0" w:color="auto"/>
            </w:tcBorders>
            <w:shd w:val="clear" w:color="auto" w:fill="auto"/>
            <w:vAlign w:val="center"/>
            <w:hideMark/>
          </w:tcPr>
          <w:p w14:paraId="7D02DAC3"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611,54</w:t>
            </w:r>
          </w:p>
        </w:tc>
        <w:tc>
          <w:tcPr>
            <w:tcW w:w="1180" w:type="dxa"/>
            <w:tcBorders>
              <w:top w:val="nil"/>
              <w:left w:val="nil"/>
              <w:bottom w:val="single" w:sz="8" w:space="0" w:color="auto"/>
              <w:right w:val="single" w:sz="8" w:space="0" w:color="auto"/>
            </w:tcBorders>
            <w:shd w:val="clear" w:color="auto" w:fill="auto"/>
            <w:vAlign w:val="center"/>
            <w:hideMark/>
          </w:tcPr>
          <w:p w14:paraId="718F6A71"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r>
      <w:tr w:rsidR="00E47AA9" w:rsidRPr="00E47AA9" w14:paraId="6A9E9D09" w14:textId="77777777" w:rsidTr="0034644C">
        <w:trPr>
          <w:trHeight w:val="20"/>
        </w:trPr>
        <w:tc>
          <w:tcPr>
            <w:tcW w:w="4546" w:type="dxa"/>
            <w:shd w:val="clear" w:color="auto" w:fill="auto"/>
            <w:vAlign w:val="center"/>
            <w:hideMark/>
          </w:tcPr>
          <w:p w14:paraId="037B4856" w14:textId="77777777" w:rsidR="00A02C43" w:rsidRPr="00E47AA9" w:rsidRDefault="00A02C43" w:rsidP="0034644C">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Погашение, в том числе</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2B92B2F5"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-7 600,83</w:t>
            </w:r>
          </w:p>
        </w:tc>
        <w:tc>
          <w:tcPr>
            <w:tcW w:w="1134" w:type="dxa"/>
            <w:tcBorders>
              <w:top w:val="nil"/>
              <w:left w:val="nil"/>
              <w:bottom w:val="single" w:sz="8" w:space="0" w:color="auto"/>
              <w:right w:val="single" w:sz="8" w:space="0" w:color="auto"/>
            </w:tcBorders>
            <w:shd w:val="clear" w:color="auto" w:fill="auto"/>
            <w:vAlign w:val="center"/>
            <w:hideMark/>
          </w:tcPr>
          <w:p w14:paraId="35E81ED2"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-7 631,75</w:t>
            </w:r>
          </w:p>
        </w:tc>
        <w:tc>
          <w:tcPr>
            <w:tcW w:w="1205" w:type="dxa"/>
            <w:tcBorders>
              <w:top w:val="nil"/>
              <w:left w:val="nil"/>
              <w:bottom w:val="single" w:sz="8" w:space="0" w:color="auto"/>
              <w:right w:val="single" w:sz="8" w:space="0" w:color="auto"/>
            </w:tcBorders>
            <w:shd w:val="clear" w:color="auto" w:fill="auto"/>
            <w:vAlign w:val="center"/>
            <w:hideMark/>
          </w:tcPr>
          <w:p w14:paraId="24F33283"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-30,92</w:t>
            </w:r>
          </w:p>
        </w:tc>
        <w:tc>
          <w:tcPr>
            <w:tcW w:w="1159" w:type="dxa"/>
            <w:tcBorders>
              <w:top w:val="nil"/>
              <w:left w:val="nil"/>
              <w:bottom w:val="single" w:sz="8" w:space="0" w:color="auto"/>
              <w:right w:val="single" w:sz="8" w:space="0" w:color="auto"/>
            </w:tcBorders>
            <w:shd w:val="clear" w:color="auto" w:fill="auto"/>
            <w:vAlign w:val="center"/>
            <w:hideMark/>
          </w:tcPr>
          <w:p w14:paraId="20E5855D"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-1 631,75</w:t>
            </w:r>
          </w:p>
        </w:tc>
        <w:tc>
          <w:tcPr>
            <w:tcW w:w="1180" w:type="dxa"/>
            <w:tcBorders>
              <w:top w:val="nil"/>
              <w:left w:val="nil"/>
              <w:bottom w:val="single" w:sz="8" w:space="0" w:color="auto"/>
              <w:right w:val="single" w:sz="8" w:space="0" w:color="auto"/>
            </w:tcBorders>
            <w:shd w:val="clear" w:color="auto" w:fill="auto"/>
            <w:vAlign w:val="center"/>
            <w:hideMark/>
          </w:tcPr>
          <w:p w14:paraId="2039F5FD"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-6 000,00</w:t>
            </w:r>
          </w:p>
        </w:tc>
      </w:tr>
      <w:tr w:rsidR="00E47AA9" w:rsidRPr="00E47AA9" w14:paraId="394ED92F" w14:textId="77777777" w:rsidTr="0034644C">
        <w:trPr>
          <w:trHeight w:val="20"/>
        </w:trPr>
        <w:tc>
          <w:tcPr>
            <w:tcW w:w="4546" w:type="dxa"/>
            <w:shd w:val="clear" w:color="auto" w:fill="auto"/>
            <w:noWrap/>
            <w:vAlign w:val="center"/>
            <w:hideMark/>
          </w:tcPr>
          <w:p w14:paraId="61FB4FF6" w14:textId="77777777" w:rsidR="00A02C43" w:rsidRPr="00E47AA9" w:rsidRDefault="00A02C43" w:rsidP="0034644C">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     кредиты из других бюджетов бюджетной системы </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01378D94"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-6 000,00</w:t>
            </w:r>
          </w:p>
        </w:tc>
        <w:tc>
          <w:tcPr>
            <w:tcW w:w="1134" w:type="dxa"/>
            <w:tcBorders>
              <w:top w:val="nil"/>
              <w:left w:val="nil"/>
              <w:bottom w:val="single" w:sz="8" w:space="0" w:color="auto"/>
              <w:right w:val="single" w:sz="8" w:space="0" w:color="auto"/>
            </w:tcBorders>
            <w:shd w:val="clear" w:color="auto" w:fill="auto"/>
            <w:vAlign w:val="center"/>
            <w:hideMark/>
          </w:tcPr>
          <w:p w14:paraId="4B3F07E2"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-6 000,00</w:t>
            </w:r>
          </w:p>
        </w:tc>
        <w:tc>
          <w:tcPr>
            <w:tcW w:w="1205" w:type="dxa"/>
            <w:tcBorders>
              <w:top w:val="nil"/>
              <w:left w:val="nil"/>
              <w:bottom w:val="single" w:sz="8" w:space="0" w:color="auto"/>
              <w:right w:val="single" w:sz="8" w:space="0" w:color="auto"/>
            </w:tcBorders>
            <w:shd w:val="clear" w:color="auto" w:fill="auto"/>
            <w:vAlign w:val="center"/>
            <w:hideMark/>
          </w:tcPr>
          <w:p w14:paraId="4C1E4DE2"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c>
          <w:tcPr>
            <w:tcW w:w="1159" w:type="dxa"/>
            <w:tcBorders>
              <w:top w:val="nil"/>
              <w:left w:val="nil"/>
              <w:bottom w:val="single" w:sz="8" w:space="0" w:color="auto"/>
              <w:right w:val="single" w:sz="8" w:space="0" w:color="auto"/>
            </w:tcBorders>
            <w:shd w:val="clear" w:color="auto" w:fill="auto"/>
            <w:vAlign w:val="center"/>
            <w:hideMark/>
          </w:tcPr>
          <w:p w14:paraId="419EA1CE"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c>
          <w:tcPr>
            <w:tcW w:w="1180" w:type="dxa"/>
            <w:tcBorders>
              <w:top w:val="nil"/>
              <w:left w:val="nil"/>
              <w:bottom w:val="single" w:sz="8" w:space="0" w:color="auto"/>
              <w:right w:val="single" w:sz="8" w:space="0" w:color="auto"/>
            </w:tcBorders>
            <w:shd w:val="clear" w:color="auto" w:fill="auto"/>
            <w:vAlign w:val="center"/>
            <w:hideMark/>
          </w:tcPr>
          <w:p w14:paraId="7DB23958"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-6 000,00</w:t>
            </w:r>
          </w:p>
        </w:tc>
      </w:tr>
      <w:tr w:rsidR="00E47AA9" w:rsidRPr="00E47AA9" w14:paraId="1CB68AAE" w14:textId="77777777" w:rsidTr="0034644C">
        <w:trPr>
          <w:trHeight w:val="20"/>
        </w:trPr>
        <w:tc>
          <w:tcPr>
            <w:tcW w:w="4546" w:type="dxa"/>
            <w:shd w:val="clear" w:color="auto" w:fill="auto"/>
            <w:vAlign w:val="center"/>
            <w:hideMark/>
          </w:tcPr>
          <w:p w14:paraId="20EEAF6D" w14:textId="77777777" w:rsidR="00A02C43" w:rsidRPr="00E47AA9" w:rsidRDefault="00A02C43" w:rsidP="0034644C">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lastRenderedPageBreak/>
              <w:t xml:space="preserve">     на финансовое обеспечение реализации инфраструктурных проектов </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7FCCA9C8"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-338,03</w:t>
            </w:r>
          </w:p>
        </w:tc>
        <w:tc>
          <w:tcPr>
            <w:tcW w:w="1134" w:type="dxa"/>
            <w:tcBorders>
              <w:top w:val="nil"/>
              <w:left w:val="nil"/>
              <w:bottom w:val="single" w:sz="8" w:space="0" w:color="auto"/>
              <w:right w:val="single" w:sz="8" w:space="0" w:color="auto"/>
            </w:tcBorders>
            <w:shd w:val="clear" w:color="auto" w:fill="auto"/>
            <w:vAlign w:val="center"/>
            <w:hideMark/>
          </w:tcPr>
          <w:p w14:paraId="699A5EE8"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-338,03</w:t>
            </w:r>
          </w:p>
        </w:tc>
        <w:tc>
          <w:tcPr>
            <w:tcW w:w="1205" w:type="dxa"/>
            <w:tcBorders>
              <w:top w:val="nil"/>
              <w:left w:val="nil"/>
              <w:bottom w:val="single" w:sz="8" w:space="0" w:color="auto"/>
              <w:right w:val="single" w:sz="8" w:space="0" w:color="auto"/>
            </w:tcBorders>
            <w:shd w:val="clear" w:color="auto" w:fill="auto"/>
            <w:vAlign w:val="center"/>
            <w:hideMark/>
          </w:tcPr>
          <w:p w14:paraId="6237D0DB"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c>
          <w:tcPr>
            <w:tcW w:w="1159" w:type="dxa"/>
            <w:tcBorders>
              <w:top w:val="nil"/>
              <w:left w:val="nil"/>
              <w:bottom w:val="single" w:sz="8" w:space="0" w:color="auto"/>
              <w:right w:val="single" w:sz="8" w:space="0" w:color="auto"/>
            </w:tcBorders>
            <w:shd w:val="clear" w:color="auto" w:fill="auto"/>
            <w:vAlign w:val="center"/>
            <w:hideMark/>
          </w:tcPr>
          <w:p w14:paraId="125454F4"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-338,03</w:t>
            </w:r>
          </w:p>
        </w:tc>
        <w:tc>
          <w:tcPr>
            <w:tcW w:w="1180" w:type="dxa"/>
            <w:tcBorders>
              <w:top w:val="nil"/>
              <w:left w:val="nil"/>
              <w:bottom w:val="single" w:sz="8" w:space="0" w:color="auto"/>
              <w:right w:val="single" w:sz="8" w:space="0" w:color="auto"/>
            </w:tcBorders>
            <w:shd w:val="clear" w:color="auto" w:fill="auto"/>
            <w:vAlign w:val="center"/>
            <w:hideMark/>
          </w:tcPr>
          <w:p w14:paraId="484BBDA0"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r>
      <w:tr w:rsidR="00E47AA9" w:rsidRPr="00E47AA9" w14:paraId="3B7F538A" w14:textId="77777777" w:rsidTr="0034644C">
        <w:trPr>
          <w:trHeight w:val="20"/>
        </w:trPr>
        <w:tc>
          <w:tcPr>
            <w:tcW w:w="4546" w:type="dxa"/>
            <w:shd w:val="clear" w:color="auto" w:fill="auto"/>
            <w:vAlign w:val="center"/>
            <w:hideMark/>
          </w:tcPr>
          <w:p w14:paraId="21F2E9BD" w14:textId="77777777" w:rsidR="00A02C43" w:rsidRPr="00E47AA9" w:rsidRDefault="00A02C43" w:rsidP="0034644C">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    в целях опережающего финансового обеспечения расходных обязательств субъектов Российской Федерации, принимаемых в целях реализации мероприятий, обеспечивающих достижение целей, показателей и результатов государственных программ Российской Федерации, федеральных проектов, входящих в состав национальных проектов (программ), комплексного плана модернизации и расширения магистральной инфраструктуры</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7EFDB7CC"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-1 262,80</w:t>
            </w:r>
          </w:p>
        </w:tc>
        <w:tc>
          <w:tcPr>
            <w:tcW w:w="1134" w:type="dxa"/>
            <w:tcBorders>
              <w:top w:val="nil"/>
              <w:left w:val="nil"/>
              <w:bottom w:val="single" w:sz="8" w:space="0" w:color="auto"/>
              <w:right w:val="single" w:sz="8" w:space="0" w:color="auto"/>
            </w:tcBorders>
            <w:shd w:val="clear" w:color="auto" w:fill="auto"/>
            <w:vAlign w:val="center"/>
            <w:hideMark/>
          </w:tcPr>
          <w:p w14:paraId="6680F987"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-1 262,80</w:t>
            </w:r>
          </w:p>
        </w:tc>
        <w:tc>
          <w:tcPr>
            <w:tcW w:w="1205" w:type="dxa"/>
            <w:tcBorders>
              <w:top w:val="nil"/>
              <w:left w:val="nil"/>
              <w:bottom w:val="single" w:sz="8" w:space="0" w:color="auto"/>
              <w:right w:val="single" w:sz="8" w:space="0" w:color="auto"/>
            </w:tcBorders>
            <w:shd w:val="clear" w:color="auto" w:fill="auto"/>
            <w:vAlign w:val="center"/>
            <w:hideMark/>
          </w:tcPr>
          <w:p w14:paraId="7CF1A9F3"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c>
          <w:tcPr>
            <w:tcW w:w="1159" w:type="dxa"/>
            <w:tcBorders>
              <w:top w:val="nil"/>
              <w:left w:val="nil"/>
              <w:bottom w:val="single" w:sz="8" w:space="0" w:color="auto"/>
              <w:right w:val="single" w:sz="8" w:space="0" w:color="auto"/>
            </w:tcBorders>
            <w:shd w:val="clear" w:color="auto" w:fill="auto"/>
            <w:vAlign w:val="center"/>
            <w:hideMark/>
          </w:tcPr>
          <w:p w14:paraId="5E11BD6C"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-1 262,80</w:t>
            </w:r>
          </w:p>
        </w:tc>
        <w:tc>
          <w:tcPr>
            <w:tcW w:w="1180" w:type="dxa"/>
            <w:tcBorders>
              <w:top w:val="nil"/>
              <w:left w:val="nil"/>
              <w:bottom w:val="single" w:sz="8" w:space="0" w:color="auto"/>
              <w:right w:val="single" w:sz="8" w:space="0" w:color="auto"/>
            </w:tcBorders>
            <w:shd w:val="clear" w:color="auto" w:fill="auto"/>
            <w:vAlign w:val="center"/>
            <w:hideMark/>
          </w:tcPr>
          <w:p w14:paraId="699CB2AC"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r>
      <w:tr w:rsidR="00E47AA9" w:rsidRPr="00E47AA9" w14:paraId="0858F8C3" w14:textId="77777777" w:rsidTr="0034644C">
        <w:trPr>
          <w:trHeight w:val="20"/>
        </w:trPr>
        <w:tc>
          <w:tcPr>
            <w:tcW w:w="4546" w:type="dxa"/>
            <w:shd w:val="clear" w:color="auto" w:fill="auto"/>
            <w:noWrap/>
            <w:vAlign w:val="center"/>
            <w:hideMark/>
          </w:tcPr>
          <w:p w14:paraId="1EB4B3EB" w14:textId="77777777" w:rsidR="00A02C43" w:rsidRPr="00E47AA9" w:rsidRDefault="00A02C43" w:rsidP="0034644C">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    специальные казначейские кредиты</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15670F99"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c>
          <w:tcPr>
            <w:tcW w:w="1134" w:type="dxa"/>
            <w:tcBorders>
              <w:top w:val="nil"/>
              <w:left w:val="nil"/>
              <w:bottom w:val="single" w:sz="8" w:space="0" w:color="auto"/>
              <w:right w:val="single" w:sz="8" w:space="0" w:color="auto"/>
            </w:tcBorders>
            <w:shd w:val="clear" w:color="auto" w:fill="auto"/>
            <w:vAlign w:val="center"/>
            <w:hideMark/>
          </w:tcPr>
          <w:p w14:paraId="2DCE102A"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-30,92</w:t>
            </w:r>
          </w:p>
        </w:tc>
        <w:tc>
          <w:tcPr>
            <w:tcW w:w="1205" w:type="dxa"/>
            <w:tcBorders>
              <w:top w:val="nil"/>
              <w:left w:val="nil"/>
              <w:bottom w:val="single" w:sz="8" w:space="0" w:color="auto"/>
              <w:right w:val="single" w:sz="8" w:space="0" w:color="auto"/>
            </w:tcBorders>
            <w:shd w:val="clear" w:color="auto" w:fill="auto"/>
            <w:vAlign w:val="center"/>
            <w:hideMark/>
          </w:tcPr>
          <w:p w14:paraId="554EDBD8"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-30,92</w:t>
            </w:r>
          </w:p>
        </w:tc>
        <w:tc>
          <w:tcPr>
            <w:tcW w:w="1159" w:type="dxa"/>
            <w:tcBorders>
              <w:top w:val="nil"/>
              <w:left w:val="nil"/>
              <w:bottom w:val="single" w:sz="8" w:space="0" w:color="auto"/>
              <w:right w:val="single" w:sz="8" w:space="0" w:color="auto"/>
            </w:tcBorders>
            <w:shd w:val="clear" w:color="auto" w:fill="auto"/>
            <w:vAlign w:val="center"/>
            <w:hideMark/>
          </w:tcPr>
          <w:p w14:paraId="4D54DD56"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-30,92</w:t>
            </w:r>
          </w:p>
        </w:tc>
        <w:tc>
          <w:tcPr>
            <w:tcW w:w="1180" w:type="dxa"/>
            <w:tcBorders>
              <w:top w:val="nil"/>
              <w:left w:val="nil"/>
              <w:bottom w:val="single" w:sz="8" w:space="0" w:color="auto"/>
              <w:right w:val="single" w:sz="8" w:space="0" w:color="auto"/>
            </w:tcBorders>
            <w:shd w:val="clear" w:color="auto" w:fill="auto"/>
            <w:vAlign w:val="center"/>
            <w:hideMark/>
          </w:tcPr>
          <w:p w14:paraId="4BBC0D59"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r>
      <w:tr w:rsidR="00E47AA9" w:rsidRPr="00E47AA9" w14:paraId="17F221C4" w14:textId="77777777" w:rsidTr="0034644C">
        <w:trPr>
          <w:trHeight w:val="20"/>
        </w:trPr>
        <w:tc>
          <w:tcPr>
            <w:tcW w:w="4546" w:type="dxa"/>
            <w:shd w:val="clear" w:color="auto" w:fill="auto"/>
            <w:vAlign w:val="center"/>
            <w:hideMark/>
          </w:tcPr>
          <w:p w14:paraId="584BF3C1" w14:textId="77777777" w:rsidR="00A02C43" w:rsidRPr="00E47AA9" w:rsidRDefault="00A02C43" w:rsidP="0034644C">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 xml:space="preserve">Бюджетные кредиты, предоставленные внутри страны </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74D325AD"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0,00</w:t>
            </w:r>
          </w:p>
        </w:tc>
        <w:tc>
          <w:tcPr>
            <w:tcW w:w="1134" w:type="dxa"/>
            <w:tcBorders>
              <w:top w:val="nil"/>
              <w:left w:val="nil"/>
              <w:bottom w:val="single" w:sz="8" w:space="0" w:color="auto"/>
              <w:right w:val="single" w:sz="8" w:space="0" w:color="auto"/>
            </w:tcBorders>
            <w:shd w:val="clear" w:color="auto" w:fill="auto"/>
            <w:vAlign w:val="center"/>
            <w:hideMark/>
          </w:tcPr>
          <w:p w14:paraId="635953A2"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-320,00</w:t>
            </w:r>
          </w:p>
        </w:tc>
        <w:tc>
          <w:tcPr>
            <w:tcW w:w="1205" w:type="dxa"/>
            <w:tcBorders>
              <w:top w:val="nil"/>
              <w:left w:val="nil"/>
              <w:bottom w:val="single" w:sz="8" w:space="0" w:color="auto"/>
              <w:right w:val="single" w:sz="8" w:space="0" w:color="auto"/>
            </w:tcBorders>
            <w:shd w:val="clear" w:color="auto" w:fill="auto"/>
            <w:vAlign w:val="center"/>
            <w:hideMark/>
          </w:tcPr>
          <w:p w14:paraId="74EA5C5E"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-320,00</w:t>
            </w:r>
          </w:p>
        </w:tc>
        <w:tc>
          <w:tcPr>
            <w:tcW w:w="1159" w:type="dxa"/>
            <w:tcBorders>
              <w:top w:val="nil"/>
              <w:left w:val="nil"/>
              <w:bottom w:val="single" w:sz="8" w:space="0" w:color="auto"/>
              <w:right w:val="single" w:sz="8" w:space="0" w:color="auto"/>
            </w:tcBorders>
            <w:shd w:val="clear" w:color="auto" w:fill="auto"/>
            <w:vAlign w:val="center"/>
            <w:hideMark/>
          </w:tcPr>
          <w:p w14:paraId="5DE67F47"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447,22</w:t>
            </w:r>
          </w:p>
        </w:tc>
        <w:tc>
          <w:tcPr>
            <w:tcW w:w="1180" w:type="dxa"/>
            <w:tcBorders>
              <w:top w:val="nil"/>
              <w:left w:val="nil"/>
              <w:bottom w:val="single" w:sz="8" w:space="0" w:color="auto"/>
              <w:right w:val="single" w:sz="8" w:space="0" w:color="auto"/>
            </w:tcBorders>
            <w:shd w:val="clear" w:color="auto" w:fill="auto"/>
            <w:vAlign w:val="center"/>
            <w:hideMark/>
          </w:tcPr>
          <w:p w14:paraId="6EADADD1"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-767,22</w:t>
            </w:r>
          </w:p>
        </w:tc>
      </w:tr>
      <w:tr w:rsidR="00E47AA9" w:rsidRPr="00E47AA9" w14:paraId="3521D6E8" w14:textId="77777777" w:rsidTr="0034644C">
        <w:trPr>
          <w:trHeight w:val="20"/>
        </w:trPr>
        <w:tc>
          <w:tcPr>
            <w:tcW w:w="4546" w:type="dxa"/>
            <w:shd w:val="clear" w:color="auto" w:fill="auto"/>
            <w:vAlign w:val="center"/>
            <w:hideMark/>
          </w:tcPr>
          <w:p w14:paraId="3F0612FA" w14:textId="23AAC7BB" w:rsidR="00A02C43" w:rsidRPr="00E47AA9" w:rsidRDefault="00A02C43" w:rsidP="003B79A9">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в том числе</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6712D231"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 </w:t>
            </w:r>
          </w:p>
        </w:tc>
        <w:tc>
          <w:tcPr>
            <w:tcW w:w="1134" w:type="dxa"/>
            <w:tcBorders>
              <w:top w:val="nil"/>
              <w:left w:val="nil"/>
              <w:bottom w:val="single" w:sz="8" w:space="0" w:color="auto"/>
              <w:right w:val="single" w:sz="8" w:space="0" w:color="auto"/>
            </w:tcBorders>
            <w:shd w:val="clear" w:color="auto" w:fill="auto"/>
            <w:vAlign w:val="center"/>
            <w:hideMark/>
          </w:tcPr>
          <w:p w14:paraId="581685AE"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 </w:t>
            </w:r>
          </w:p>
        </w:tc>
        <w:tc>
          <w:tcPr>
            <w:tcW w:w="1205" w:type="dxa"/>
            <w:tcBorders>
              <w:top w:val="nil"/>
              <w:left w:val="nil"/>
              <w:bottom w:val="single" w:sz="8" w:space="0" w:color="auto"/>
              <w:right w:val="single" w:sz="8" w:space="0" w:color="auto"/>
            </w:tcBorders>
            <w:shd w:val="clear" w:color="auto" w:fill="auto"/>
            <w:vAlign w:val="center"/>
            <w:hideMark/>
          </w:tcPr>
          <w:p w14:paraId="731342EB"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 </w:t>
            </w:r>
          </w:p>
        </w:tc>
        <w:tc>
          <w:tcPr>
            <w:tcW w:w="1159" w:type="dxa"/>
            <w:tcBorders>
              <w:top w:val="nil"/>
              <w:left w:val="nil"/>
              <w:bottom w:val="single" w:sz="8" w:space="0" w:color="auto"/>
              <w:right w:val="single" w:sz="8" w:space="0" w:color="auto"/>
            </w:tcBorders>
            <w:shd w:val="clear" w:color="auto" w:fill="auto"/>
            <w:vAlign w:val="center"/>
            <w:hideMark/>
          </w:tcPr>
          <w:p w14:paraId="44FB21FD"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 </w:t>
            </w:r>
          </w:p>
        </w:tc>
        <w:tc>
          <w:tcPr>
            <w:tcW w:w="1180" w:type="dxa"/>
            <w:tcBorders>
              <w:top w:val="nil"/>
              <w:left w:val="nil"/>
              <w:bottom w:val="single" w:sz="8" w:space="0" w:color="auto"/>
              <w:right w:val="single" w:sz="8" w:space="0" w:color="auto"/>
            </w:tcBorders>
            <w:shd w:val="clear" w:color="auto" w:fill="auto"/>
            <w:vAlign w:val="center"/>
            <w:hideMark/>
          </w:tcPr>
          <w:p w14:paraId="7153C10C"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 </w:t>
            </w:r>
          </w:p>
        </w:tc>
      </w:tr>
      <w:tr w:rsidR="00E47AA9" w:rsidRPr="00E47AA9" w14:paraId="05F7C36B" w14:textId="77777777" w:rsidTr="0034644C">
        <w:trPr>
          <w:trHeight w:val="20"/>
        </w:trPr>
        <w:tc>
          <w:tcPr>
            <w:tcW w:w="4546" w:type="dxa"/>
            <w:shd w:val="clear" w:color="auto" w:fill="auto"/>
            <w:vAlign w:val="center"/>
            <w:hideMark/>
          </w:tcPr>
          <w:p w14:paraId="6E3E4B55" w14:textId="77777777" w:rsidR="00A02C43" w:rsidRPr="00E47AA9" w:rsidRDefault="00A02C43" w:rsidP="0034644C">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 xml:space="preserve">Предоставление бюджетных кредитов другим бюджетам </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66DCFFE7"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-1 000,00</w:t>
            </w:r>
          </w:p>
        </w:tc>
        <w:tc>
          <w:tcPr>
            <w:tcW w:w="1134" w:type="dxa"/>
            <w:tcBorders>
              <w:top w:val="nil"/>
              <w:left w:val="nil"/>
              <w:bottom w:val="single" w:sz="8" w:space="0" w:color="auto"/>
              <w:right w:val="single" w:sz="8" w:space="0" w:color="auto"/>
            </w:tcBorders>
            <w:shd w:val="clear" w:color="auto" w:fill="auto"/>
            <w:vAlign w:val="center"/>
            <w:hideMark/>
          </w:tcPr>
          <w:p w14:paraId="47521CDB"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-1 320,00</w:t>
            </w:r>
          </w:p>
        </w:tc>
        <w:tc>
          <w:tcPr>
            <w:tcW w:w="1205" w:type="dxa"/>
            <w:tcBorders>
              <w:top w:val="nil"/>
              <w:left w:val="nil"/>
              <w:bottom w:val="single" w:sz="8" w:space="0" w:color="auto"/>
              <w:right w:val="single" w:sz="8" w:space="0" w:color="auto"/>
            </w:tcBorders>
            <w:shd w:val="clear" w:color="auto" w:fill="auto"/>
            <w:vAlign w:val="center"/>
            <w:hideMark/>
          </w:tcPr>
          <w:p w14:paraId="3429D287"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-320,00</w:t>
            </w:r>
          </w:p>
        </w:tc>
        <w:tc>
          <w:tcPr>
            <w:tcW w:w="1159" w:type="dxa"/>
            <w:tcBorders>
              <w:top w:val="nil"/>
              <w:left w:val="nil"/>
              <w:bottom w:val="single" w:sz="8" w:space="0" w:color="auto"/>
              <w:right w:val="single" w:sz="8" w:space="0" w:color="auto"/>
            </w:tcBorders>
            <w:shd w:val="clear" w:color="auto" w:fill="auto"/>
            <w:vAlign w:val="center"/>
            <w:hideMark/>
          </w:tcPr>
          <w:p w14:paraId="437E5E22"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-198,00</w:t>
            </w:r>
          </w:p>
        </w:tc>
        <w:tc>
          <w:tcPr>
            <w:tcW w:w="1180" w:type="dxa"/>
            <w:tcBorders>
              <w:top w:val="nil"/>
              <w:left w:val="nil"/>
              <w:bottom w:val="single" w:sz="8" w:space="0" w:color="auto"/>
              <w:right w:val="single" w:sz="8" w:space="0" w:color="auto"/>
            </w:tcBorders>
            <w:shd w:val="clear" w:color="auto" w:fill="auto"/>
            <w:vAlign w:val="center"/>
            <w:hideMark/>
          </w:tcPr>
          <w:p w14:paraId="61EE1711"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-1 122,00</w:t>
            </w:r>
          </w:p>
        </w:tc>
      </w:tr>
      <w:tr w:rsidR="00E47AA9" w:rsidRPr="00E47AA9" w14:paraId="53C8DC46" w14:textId="77777777" w:rsidTr="0034644C">
        <w:trPr>
          <w:trHeight w:val="20"/>
        </w:trPr>
        <w:tc>
          <w:tcPr>
            <w:tcW w:w="4546" w:type="dxa"/>
            <w:shd w:val="clear" w:color="auto" w:fill="auto"/>
            <w:vAlign w:val="center"/>
            <w:hideMark/>
          </w:tcPr>
          <w:p w14:paraId="0D1083FD" w14:textId="77777777" w:rsidR="00A02C43" w:rsidRPr="00E47AA9" w:rsidRDefault="00A02C43" w:rsidP="0034644C">
            <w:pPr>
              <w:spacing w:after="0" w:line="240" w:lineRule="auto"/>
              <w:rPr>
                <w:rFonts w:ascii="Times New Roman" w:eastAsia="Times New Roman" w:hAnsi="Times New Roman" w:cs="Times New Roman"/>
                <w:sz w:val="20"/>
                <w:szCs w:val="20"/>
                <w:lang w:eastAsia="ru-RU"/>
              </w:rPr>
            </w:pPr>
            <w:r w:rsidRPr="00E47AA9">
              <w:rPr>
                <w:rFonts w:ascii="Times New Roman" w:eastAsia="Times New Roman" w:hAnsi="Times New Roman" w:cs="Times New Roman"/>
                <w:sz w:val="20"/>
                <w:szCs w:val="20"/>
                <w:lang w:eastAsia="ru-RU"/>
              </w:rPr>
              <w:t>Возврат бюджетных кредитов, в том числе</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4DA44984"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1 000,00</w:t>
            </w:r>
          </w:p>
        </w:tc>
        <w:tc>
          <w:tcPr>
            <w:tcW w:w="1134" w:type="dxa"/>
            <w:tcBorders>
              <w:top w:val="nil"/>
              <w:left w:val="nil"/>
              <w:bottom w:val="single" w:sz="8" w:space="0" w:color="auto"/>
              <w:right w:val="single" w:sz="8" w:space="0" w:color="auto"/>
            </w:tcBorders>
            <w:shd w:val="clear" w:color="auto" w:fill="auto"/>
            <w:vAlign w:val="center"/>
            <w:hideMark/>
          </w:tcPr>
          <w:p w14:paraId="32A5272B"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1 000,00</w:t>
            </w:r>
          </w:p>
        </w:tc>
        <w:tc>
          <w:tcPr>
            <w:tcW w:w="1205" w:type="dxa"/>
            <w:tcBorders>
              <w:top w:val="nil"/>
              <w:left w:val="nil"/>
              <w:bottom w:val="single" w:sz="8" w:space="0" w:color="auto"/>
              <w:right w:val="single" w:sz="8" w:space="0" w:color="auto"/>
            </w:tcBorders>
            <w:shd w:val="clear" w:color="auto" w:fill="auto"/>
            <w:vAlign w:val="center"/>
            <w:hideMark/>
          </w:tcPr>
          <w:p w14:paraId="04DC6AC6"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0,00</w:t>
            </w:r>
          </w:p>
        </w:tc>
        <w:tc>
          <w:tcPr>
            <w:tcW w:w="1159" w:type="dxa"/>
            <w:tcBorders>
              <w:top w:val="nil"/>
              <w:left w:val="nil"/>
              <w:bottom w:val="single" w:sz="8" w:space="0" w:color="auto"/>
              <w:right w:val="single" w:sz="8" w:space="0" w:color="auto"/>
            </w:tcBorders>
            <w:shd w:val="clear" w:color="auto" w:fill="auto"/>
            <w:vAlign w:val="center"/>
            <w:hideMark/>
          </w:tcPr>
          <w:p w14:paraId="16F8F2B7"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645,22</w:t>
            </w:r>
          </w:p>
        </w:tc>
        <w:tc>
          <w:tcPr>
            <w:tcW w:w="1180" w:type="dxa"/>
            <w:tcBorders>
              <w:top w:val="nil"/>
              <w:left w:val="nil"/>
              <w:bottom w:val="single" w:sz="8" w:space="0" w:color="auto"/>
              <w:right w:val="single" w:sz="8" w:space="0" w:color="auto"/>
            </w:tcBorders>
            <w:shd w:val="clear" w:color="auto" w:fill="auto"/>
            <w:vAlign w:val="center"/>
            <w:hideMark/>
          </w:tcPr>
          <w:p w14:paraId="67842694" w14:textId="77777777" w:rsidR="00A02C43" w:rsidRPr="00E47AA9" w:rsidRDefault="00A02C43" w:rsidP="0034644C">
            <w:pPr>
              <w:spacing w:after="0" w:line="240" w:lineRule="auto"/>
              <w:jc w:val="right"/>
              <w:rPr>
                <w:rFonts w:ascii="Times New Roman" w:eastAsia="Times New Roman" w:hAnsi="Times New Roman" w:cs="Times New Roman"/>
                <w:sz w:val="20"/>
                <w:szCs w:val="20"/>
                <w:lang w:eastAsia="ru-RU"/>
              </w:rPr>
            </w:pPr>
            <w:r w:rsidRPr="00E47AA9">
              <w:rPr>
                <w:rFonts w:ascii="Times New Roman" w:hAnsi="Times New Roman" w:cs="Times New Roman"/>
                <w:sz w:val="20"/>
                <w:szCs w:val="20"/>
              </w:rPr>
              <w:t>354,78</w:t>
            </w:r>
          </w:p>
        </w:tc>
      </w:tr>
      <w:tr w:rsidR="00E47AA9" w:rsidRPr="00E47AA9" w14:paraId="6C47A646" w14:textId="77777777" w:rsidTr="0034644C">
        <w:trPr>
          <w:trHeight w:val="20"/>
        </w:trPr>
        <w:tc>
          <w:tcPr>
            <w:tcW w:w="4546" w:type="dxa"/>
            <w:shd w:val="clear" w:color="auto" w:fill="auto"/>
            <w:noWrap/>
            <w:vAlign w:val="center"/>
            <w:hideMark/>
          </w:tcPr>
          <w:p w14:paraId="5BB74178" w14:textId="77777777" w:rsidR="00A02C43" w:rsidRPr="00E47AA9" w:rsidRDefault="00A02C43" w:rsidP="0034644C">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 xml:space="preserve"> юридическими лицами </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205782D8" w14:textId="77777777" w:rsidR="00A02C43" w:rsidRPr="00E47AA9" w:rsidRDefault="00A02C43" w:rsidP="0034644C">
            <w:pPr>
              <w:spacing w:after="0" w:line="240" w:lineRule="auto"/>
              <w:jc w:val="right"/>
              <w:rPr>
                <w:rFonts w:ascii="Times New Roman" w:eastAsia="Times New Roman" w:hAnsi="Times New Roman" w:cs="Times New Roman"/>
                <w:i/>
                <w:iCs/>
                <w:sz w:val="20"/>
                <w:szCs w:val="20"/>
                <w:lang w:eastAsia="ru-RU"/>
              </w:rPr>
            </w:pPr>
            <w:r w:rsidRPr="00E47AA9">
              <w:rPr>
                <w:rFonts w:ascii="Times New Roman" w:hAnsi="Times New Roman" w:cs="Times New Roman"/>
                <w:i/>
                <w:iCs/>
                <w:sz w:val="20"/>
                <w:szCs w:val="20"/>
              </w:rPr>
              <w:t>0,00</w:t>
            </w:r>
          </w:p>
        </w:tc>
        <w:tc>
          <w:tcPr>
            <w:tcW w:w="1134" w:type="dxa"/>
            <w:tcBorders>
              <w:top w:val="nil"/>
              <w:left w:val="nil"/>
              <w:bottom w:val="single" w:sz="8" w:space="0" w:color="auto"/>
              <w:right w:val="single" w:sz="8" w:space="0" w:color="auto"/>
            </w:tcBorders>
            <w:shd w:val="clear" w:color="auto" w:fill="auto"/>
            <w:vAlign w:val="center"/>
            <w:hideMark/>
          </w:tcPr>
          <w:p w14:paraId="584361AC" w14:textId="77777777" w:rsidR="00A02C43" w:rsidRPr="00E47AA9" w:rsidRDefault="00A02C43" w:rsidP="0034644C">
            <w:pPr>
              <w:spacing w:after="0" w:line="240" w:lineRule="auto"/>
              <w:jc w:val="right"/>
              <w:rPr>
                <w:rFonts w:ascii="Times New Roman" w:eastAsia="Times New Roman" w:hAnsi="Times New Roman" w:cs="Times New Roman"/>
                <w:i/>
                <w:iCs/>
                <w:sz w:val="20"/>
                <w:szCs w:val="20"/>
                <w:lang w:eastAsia="ru-RU"/>
              </w:rPr>
            </w:pPr>
            <w:r w:rsidRPr="00E47AA9">
              <w:rPr>
                <w:rFonts w:ascii="Times New Roman" w:hAnsi="Times New Roman" w:cs="Times New Roman"/>
                <w:i/>
                <w:iCs/>
                <w:sz w:val="20"/>
                <w:szCs w:val="20"/>
              </w:rPr>
              <w:t>0,00</w:t>
            </w:r>
          </w:p>
        </w:tc>
        <w:tc>
          <w:tcPr>
            <w:tcW w:w="1205" w:type="dxa"/>
            <w:tcBorders>
              <w:top w:val="nil"/>
              <w:left w:val="nil"/>
              <w:bottom w:val="single" w:sz="8" w:space="0" w:color="auto"/>
              <w:right w:val="single" w:sz="8" w:space="0" w:color="auto"/>
            </w:tcBorders>
            <w:shd w:val="clear" w:color="auto" w:fill="auto"/>
            <w:vAlign w:val="center"/>
            <w:hideMark/>
          </w:tcPr>
          <w:p w14:paraId="2C06EF15" w14:textId="77777777" w:rsidR="00A02C43" w:rsidRPr="00E47AA9" w:rsidRDefault="00A02C43" w:rsidP="0034644C">
            <w:pPr>
              <w:spacing w:after="0" w:line="240" w:lineRule="auto"/>
              <w:jc w:val="right"/>
              <w:rPr>
                <w:rFonts w:ascii="Times New Roman" w:eastAsia="Times New Roman" w:hAnsi="Times New Roman" w:cs="Times New Roman"/>
                <w:i/>
                <w:iCs/>
                <w:sz w:val="20"/>
                <w:szCs w:val="20"/>
                <w:lang w:eastAsia="ru-RU"/>
              </w:rPr>
            </w:pPr>
            <w:r w:rsidRPr="00E47AA9">
              <w:rPr>
                <w:rFonts w:ascii="Times New Roman" w:hAnsi="Times New Roman" w:cs="Times New Roman"/>
                <w:i/>
                <w:iCs/>
                <w:sz w:val="20"/>
                <w:szCs w:val="20"/>
              </w:rPr>
              <w:t>0,00</w:t>
            </w:r>
          </w:p>
        </w:tc>
        <w:tc>
          <w:tcPr>
            <w:tcW w:w="1159" w:type="dxa"/>
            <w:tcBorders>
              <w:top w:val="nil"/>
              <w:left w:val="nil"/>
              <w:bottom w:val="single" w:sz="8" w:space="0" w:color="auto"/>
              <w:right w:val="single" w:sz="8" w:space="0" w:color="auto"/>
            </w:tcBorders>
            <w:shd w:val="clear" w:color="auto" w:fill="auto"/>
            <w:vAlign w:val="center"/>
            <w:hideMark/>
          </w:tcPr>
          <w:p w14:paraId="210ECC2D" w14:textId="77777777" w:rsidR="00A02C43" w:rsidRPr="00E47AA9" w:rsidRDefault="00A02C43" w:rsidP="0034644C">
            <w:pPr>
              <w:spacing w:after="0" w:line="240" w:lineRule="auto"/>
              <w:jc w:val="right"/>
              <w:rPr>
                <w:rFonts w:ascii="Times New Roman" w:eastAsia="Times New Roman" w:hAnsi="Times New Roman" w:cs="Times New Roman"/>
                <w:i/>
                <w:iCs/>
                <w:sz w:val="20"/>
                <w:szCs w:val="20"/>
                <w:lang w:eastAsia="ru-RU"/>
              </w:rPr>
            </w:pPr>
            <w:r w:rsidRPr="00E47AA9">
              <w:rPr>
                <w:rFonts w:ascii="Times New Roman" w:hAnsi="Times New Roman" w:cs="Times New Roman"/>
                <w:i/>
                <w:iCs/>
                <w:sz w:val="20"/>
                <w:szCs w:val="20"/>
              </w:rPr>
              <w:t>105,04</w:t>
            </w:r>
          </w:p>
        </w:tc>
        <w:tc>
          <w:tcPr>
            <w:tcW w:w="1180" w:type="dxa"/>
            <w:tcBorders>
              <w:top w:val="nil"/>
              <w:left w:val="nil"/>
              <w:bottom w:val="single" w:sz="8" w:space="0" w:color="auto"/>
              <w:right w:val="single" w:sz="8" w:space="0" w:color="auto"/>
            </w:tcBorders>
            <w:shd w:val="clear" w:color="auto" w:fill="auto"/>
            <w:vAlign w:val="center"/>
            <w:hideMark/>
          </w:tcPr>
          <w:p w14:paraId="4FBBA221" w14:textId="77777777" w:rsidR="00A02C43" w:rsidRPr="00E47AA9" w:rsidRDefault="00A02C43" w:rsidP="0034644C">
            <w:pPr>
              <w:spacing w:after="0" w:line="240" w:lineRule="auto"/>
              <w:jc w:val="right"/>
              <w:rPr>
                <w:rFonts w:ascii="Times New Roman" w:eastAsia="Times New Roman" w:hAnsi="Times New Roman" w:cs="Times New Roman"/>
                <w:i/>
                <w:iCs/>
                <w:sz w:val="20"/>
                <w:szCs w:val="20"/>
                <w:lang w:eastAsia="ru-RU"/>
              </w:rPr>
            </w:pPr>
            <w:r w:rsidRPr="00E47AA9">
              <w:rPr>
                <w:rFonts w:ascii="Times New Roman" w:hAnsi="Times New Roman" w:cs="Times New Roman"/>
                <w:i/>
                <w:iCs/>
                <w:sz w:val="20"/>
                <w:szCs w:val="20"/>
              </w:rPr>
              <w:t>-105,04</w:t>
            </w:r>
          </w:p>
        </w:tc>
      </w:tr>
      <w:tr w:rsidR="00E47AA9" w:rsidRPr="00E47AA9" w14:paraId="785B4168" w14:textId="77777777" w:rsidTr="0034644C">
        <w:trPr>
          <w:trHeight w:val="20"/>
        </w:trPr>
        <w:tc>
          <w:tcPr>
            <w:tcW w:w="4546" w:type="dxa"/>
            <w:shd w:val="clear" w:color="auto" w:fill="auto"/>
            <w:noWrap/>
            <w:vAlign w:val="center"/>
            <w:hideMark/>
          </w:tcPr>
          <w:p w14:paraId="13C2C6EA" w14:textId="77777777" w:rsidR="00A02C43" w:rsidRPr="00E47AA9" w:rsidRDefault="00A02C43" w:rsidP="0034644C">
            <w:pPr>
              <w:spacing w:after="0" w:line="240" w:lineRule="auto"/>
              <w:rPr>
                <w:rFonts w:ascii="Times New Roman" w:eastAsia="Times New Roman" w:hAnsi="Times New Roman" w:cs="Times New Roman"/>
                <w:i/>
                <w:iCs/>
                <w:sz w:val="20"/>
                <w:szCs w:val="20"/>
                <w:lang w:eastAsia="ru-RU"/>
              </w:rPr>
            </w:pPr>
            <w:r w:rsidRPr="00E47AA9">
              <w:rPr>
                <w:rFonts w:ascii="Times New Roman" w:eastAsia="Times New Roman" w:hAnsi="Times New Roman" w:cs="Times New Roman"/>
                <w:i/>
                <w:iCs/>
                <w:sz w:val="20"/>
                <w:szCs w:val="20"/>
                <w:lang w:eastAsia="ru-RU"/>
              </w:rPr>
              <w:t xml:space="preserve"> бюджетами муниципальных образований края</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3255BFAC" w14:textId="77777777" w:rsidR="00A02C43" w:rsidRPr="00E47AA9" w:rsidRDefault="00A02C43" w:rsidP="0034644C">
            <w:pPr>
              <w:spacing w:after="0" w:line="240" w:lineRule="auto"/>
              <w:jc w:val="right"/>
              <w:rPr>
                <w:rFonts w:ascii="Times New Roman" w:eastAsia="Times New Roman" w:hAnsi="Times New Roman" w:cs="Times New Roman"/>
                <w:i/>
                <w:iCs/>
                <w:sz w:val="20"/>
                <w:szCs w:val="20"/>
                <w:lang w:eastAsia="ru-RU"/>
              </w:rPr>
            </w:pPr>
            <w:r w:rsidRPr="00E47AA9">
              <w:rPr>
                <w:rFonts w:ascii="Times New Roman" w:hAnsi="Times New Roman" w:cs="Times New Roman"/>
                <w:i/>
                <w:iCs/>
                <w:sz w:val="20"/>
                <w:szCs w:val="20"/>
              </w:rPr>
              <w:t>1 000,00</w:t>
            </w:r>
          </w:p>
        </w:tc>
        <w:tc>
          <w:tcPr>
            <w:tcW w:w="1134" w:type="dxa"/>
            <w:tcBorders>
              <w:top w:val="nil"/>
              <w:left w:val="nil"/>
              <w:bottom w:val="single" w:sz="8" w:space="0" w:color="auto"/>
              <w:right w:val="single" w:sz="8" w:space="0" w:color="auto"/>
            </w:tcBorders>
            <w:shd w:val="clear" w:color="auto" w:fill="auto"/>
            <w:vAlign w:val="center"/>
            <w:hideMark/>
          </w:tcPr>
          <w:p w14:paraId="1EA6F9F6" w14:textId="77777777" w:rsidR="00A02C43" w:rsidRPr="00E47AA9" w:rsidRDefault="00A02C43" w:rsidP="0034644C">
            <w:pPr>
              <w:spacing w:after="0" w:line="240" w:lineRule="auto"/>
              <w:jc w:val="right"/>
              <w:rPr>
                <w:rFonts w:ascii="Times New Roman" w:eastAsia="Times New Roman" w:hAnsi="Times New Roman" w:cs="Times New Roman"/>
                <w:i/>
                <w:iCs/>
                <w:sz w:val="20"/>
                <w:szCs w:val="20"/>
                <w:lang w:eastAsia="ru-RU"/>
              </w:rPr>
            </w:pPr>
            <w:r w:rsidRPr="00E47AA9">
              <w:rPr>
                <w:rFonts w:ascii="Times New Roman" w:hAnsi="Times New Roman" w:cs="Times New Roman"/>
                <w:i/>
                <w:iCs/>
                <w:sz w:val="20"/>
                <w:szCs w:val="20"/>
              </w:rPr>
              <w:t>1 000,00</w:t>
            </w:r>
          </w:p>
        </w:tc>
        <w:tc>
          <w:tcPr>
            <w:tcW w:w="1205" w:type="dxa"/>
            <w:tcBorders>
              <w:top w:val="nil"/>
              <w:left w:val="nil"/>
              <w:bottom w:val="single" w:sz="8" w:space="0" w:color="auto"/>
              <w:right w:val="single" w:sz="8" w:space="0" w:color="auto"/>
            </w:tcBorders>
            <w:shd w:val="clear" w:color="auto" w:fill="auto"/>
            <w:vAlign w:val="center"/>
            <w:hideMark/>
          </w:tcPr>
          <w:p w14:paraId="06D008FE" w14:textId="77777777" w:rsidR="00A02C43" w:rsidRPr="00E47AA9" w:rsidRDefault="00A02C43" w:rsidP="0034644C">
            <w:pPr>
              <w:spacing w:after="0" w:line="240" w:lineRule="auto"/>
              <w:jc w:val="right"/>
              <w:rPr>
                <w:rFonts w:ascii="Times New Roman" w:eastAsia="Times New Roman" w:hAnsi="Times New Roman" w:cs="Times New Roman"/>
                <w:i/>
                <w:iCs/>
                <w:sz w:val="20"/>
                <w:szCs w:val="20"/>
                <w:lang w:eastAsia="ru-RU"/>
              </w:rPr>
            </w:pPr>
            <w:r w:rsidRPr="00E47AA9">
              <w:rPr>
                <w:rFonts w:ascii="Times New Roman" w:hAnsi="Times New Roman" w:cs="Times New Roman"/>
                <w:i/>
                <w:iCs/>
                <w:sz w:val="20"/>
                <w:szCs w:val="20"/>
              </w:rPr>
              <w:t>0,00</w:t>
            </w:r>
          </w:p>
        </w:tc>
        <w:tc>
          <w:tcPr>
            <w:tcW w:w="1159" w:type="dxa"/>
            <w:tcBorders>
              <w:top w:val="nil"/>
              <w:left w:val="nil"/>
              <w:bottom w:val="single" w:sz="8" w:space="0" w:color="auto"/>
              <w:right w:val="single" w:sz="8" w:space="0" w:color="auto"/>
            </w:tcBorders>
            <w:shd w:val="clear" w:color="auto" w:fill="auto"/>
            <w:vAlign w:val="center"/>
            <w:hideMark/>
          </w:tcPr>
          <w:p w14:paraId="75F5BBB5" w14:textId="77777777" w:rsidR="00A02C43" w:rsidRPr="00E47AA9" w:rsidRDefault="00A02C43" w:rsidP="0034644C">
            <w:pPr>
              <w:spacing w:after="0" w:line="240" w:lineRule="auto"/>
              <w:jc w:val="right"/>
              <w:rPr>
                <w:rFonts w:ascii="Times New Roman" w:eastAsia="Times New Roman" w:hAnsi="Times New Roman" w:cs="Times New Roman"/>
                <w:i/>
                <w:iCs/>
                <w:sz w:val="20"/>
                <w:szCs w:val="20"/>
                <w:lang w:eastAsia="ru-RU"/>
              </w:rPr>
            </w:pPr>
            <w:r w:rsidRPr="00E47AA9">
              <w:rPr>
                <w:rFonts w:ascii="Times New Roman" w:hAnsi="Times New Roman" w:cs="Times New Roman"/>
                <w:i/>
                <w:iCs/>
                <w:sz w:val="20"/>
                <w:szCs w:val="20"/>
              </w:rPr>
              <w:t>540,18</w:t>
            </w:r>
          </w:p>
        </w:tc>
        <w:tc>
          <w:tcPr>
            <w:tcW w:w="1180" w:type="dxa"/>
            <w:tcBorders>
              <w:top w:val="nil"/>
              <w:left w:val="nil"/>
              <w:bottom w:val="single" w:sz="8" w:space="0" w:color="auto"/>
              <w:right w:val="single" w:sz="8" w:space="0" w:color="auto"/>
            </w:tcBorders>
            <w:shd w:val="clear" w:color="auto" w:fill="auto"/>
            <w:vAlign w:val="center"/>
            <w:hideMark/>
          </w:tcPr>
          <w:p w14:paraId="6F2EFADF" w14:textId="77777777" w:rsidR="00A02C43" w:rsidRPr="00E47AA9" w:rsidRDefault="00A02C43" w:rsidP="0034644C">
            <w:pPr>
              <w:spacing w:after="0" w:line="240" w:lineRule="auto"/>
              <w:jc w:val="right"/>
              <w:rPr>
                <w:rFonts w:ascii="Times New Roman" w:eastAsia="Times New Roman" w:hAnsi="Times New Roman" w:cs="Times New Roman"/>
                <w:i/>
                <w:iCs/>
                <w:sz w:val="20"/>
                <w:szCs w:val="20"/>
                <w:lang w:eastAsia="ru-RU"/>
              </w:rPr>
            </w:pPr>
            <w:r w:rsidRPr="00E47AA9">
              <w:rPr>
                <w:rFonts w:ascii="Times New Roman" w:hAnsi="Times New Roman" w:cs="Times New Roman"/>
                <w:i/>
                <w:iCs/>
                <w:sz w:val="20"/>
                <w:szCs w:val="20"/>
              </w:rPr>
              <w:t>459,82</w:t>
            </w:r>
          </w:p>
        </w:tc>
      </w:tr>
      <w:tr w:rsidR="00A02C43" w:rsidRPr="00E47AA9" w14:paraId="7AB902AB" w14:textId="77777777" w:rsidTr="0034644C">
        <w:trPr>
          <w:trHeight w:val="20"/>
        </w:trPr>
        <w:tc>
          <w:tcPr>
            <w:tcW w:w="4546" w:type="dxa"/>
            <w:shd w:val="clear" w:color="auto" w:fill="auto"/>
            <w:vAlign w:val="center"/>
            <w:hideMark/>
          </w:tcPr>
          <w:p w14:paraId="5FE9317C" w14:textId="77777777" w:rsidR="00A02C43" w:rsidRPr="00E47AA9" w:rsidRDefault="00A02C43" w:rsidP="0034644C">
            <w:pPr>
              <w:spacing w:after="0" w:line="240" w:lineRule="auto"/>
              <w:rPr>
                <w:rFonts w:ascii="Times New Roman" w:eastAsia="Times New Roman" w:hAnsi="Times New Roman" w:cs="Times New Roman"/>
                <w:b/>
                <w:bCs/>
                <w:sz w:val="20"/>
                <w:szCs w:val="20"/>
                <w:lang w:eastAsia="ru-RU"/>
              </w:rPr>
            </w:pPr>
            <w:r w:rsidRPr="00E47AA9">
              <w:rPr>
                <w:rFonts w:ascii="Times New Roman" w:eastAsia="Times New Roman" w:hAnsi="Times New Roman" w:cs="Times New Roman"/>
                <w:b/>
                <w:bCs/>
                <w:sz w:val="20"/>
                <w:szCs w:val="20"/>
                <w:lang w:eastAsia="ru-RU"/>
              </w:rPr>
              <w:t>Изменение остатков средств на счетах по учету средств бюджетов</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101C41E2"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10 616,90</w:t>
            </w:r>
          </w:p>
        </w:tc>
        <w:tc>
          <w:tcPr>
            <w:tcW w:w="1134" w:type="dxa"/>
            <w:tcBorders>
              <w:top w:val="nil"/>
              <w:left w:val="nil"/>
              <w:bottom w:val="single" w:sz="8" w:space="0" w:color="auto"/>
              <w:right w:val="single" w:sz="8" w:space="0" w:color="auto"/>
            </w:tcBorders>
            <w:shd w:val="clear" w:color="auto" w:fill="auto"/>
            <w:vAlign w:val="center"/>
            <w:hideMark/>
          </w:tcPr>
          <w:p w14:paraId="27183ACB"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18 512,23</w:t>
            </w:r>
          </w:p>
        </w:tc>
        <w:tc>
          <w:tcPr>
            <w:tcW w:w="1205" w:type="dxa"/>
            <w:tcBorders>
              <w:top w:val="nil"/>
              <w:left w:val="nil"/>
              <w:bottom w:val="single" w:sz="8" w:space="0" w:color="auto"/>
              <w:right w:val="single" w:sz="8" w:space="0" w:color="auto"/>
            </w:tcBorders>
            <w:shd w:val="clear" w:color="auto" w:fill="auto"/>
            <w:vAlign w:val="center"/>
            <w:hideMark/>
          </w:tcPr>
          <w:p w14:paraId="6794405B"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7 895,33</w:t>
            </w:r>
          </w:p>
        </w:tc>
        <w:tc>
          <w:tcPr>
            <w:tcW w:w="1159" w:type="dxa"/>
            <w:tcBorders>
              <w:top w:val="nil"/>
              <w:left w:val="nil"/>
              <w:bottom w:val="single" w:sz="8" w:space="0" w:color="auto"/>
              <w:right w:val="single" w:sz="8" w:space="0" w:color="auto"/>
            </w:tcBorders>
            <w:shd w:val="clear" w:color="auto" w:fill="auto"/>
            <w:vAlign w:val="center"/>
            <w:hideMark/>
          </w:tcPr>
          <w:p w14:paraId="3D75CF41"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8 283,12</w:t>
            </w:r>
          </w:p>
        </w:tc>
        <w:tc>
          <w:tcPr>
            <w:tcW w:w="1180" w:type="dxa"/>
            <w:tcBorders>
              <w:top w:val="nil"/>
              <w:left w:val="nil"/>
              <w:bottom w:val="single" w:sz="8" w:space="0" w:color="auto"/>
              <w:right w:val="single" w:sz="8" w:space="0" w:color="auto"/>
            </w:tcBorders>
            <w:shd w:val="clear" w:color="auto" w:fill="auto"/>
            <w:vAlign w:val="center"/>
            <w:hideMark/>
          </w:tcPr>
          <w:p w14:paraId="6B9CD58A" w14:textId="77777777" w:rsidR="00A02C43" w:rsidRPr="00E47AA9" w:rsidRDefault="00A02C43" w:rsidP="0034644C">
            <w:pPr>
              <w:spacing w:after="0" w:line="240" w:lineRule="auto"/>
              <w:jc w:val="right"/>
              <w:rPr>
                <w:rFonts w:ascii="Times New Roman" w:eastAsia="Times New Roman" w:hAnsi="Times New Roman" w:cs="Times New Roman"/>
                <w:b/>
                <w:bCs/>
                <w:sz w:val="20"/>
                <w:szCs w:val="20"/>
                <w:lang w:eastAsia="ru-RU"/>
              </w:rPr>
            </w:pPr>
            <w:r w:rsidRPr="00E47AA9">
              <w:rPr>
                <w:rFonts w:ascii="Times New Roman" w:hAnsi="Times New Roman" w:cs="Times New Roman"/>
                <w:b/>
                <w:bCs/>
                <w:sz w:val="20"/>
                <w:szCs w:val="20"/>
              </w:rPr>
              <w:t>10 229,11</w:t>
            </w:r>
          </w:p>
        </w:tc>
      </w:tr>
    </w:tbl>
    <w:p w14:paraId="26A85DEC" w14:textId="77777777" w:rsidR="00A02C43" w:rsidRPr="00E47AA9" w:rsidRDefault="00A02C43" w:rsidP="00A02C43">
      <w:pPr>
        <w:spacing w:after="0" w:line="240" w:lineRule="auto"/>
        <w:ind w:firstLine="709"/>
        <w:jc w:val="both"/>
        <w:rPr>
          <w:rFonts w:ascii="Times New Roman" w:eastAsia="Calibri" w:hAnsi="Times New Roman" w:cs="Times New Roman"/>
          <w:sz w:val="28"/>
          <w:szCs w:val="28"/>
        </w:rPr>
      </w:pPr>
    </w:p>
    <w:p w14:paraId="2427EDB2" w14:textId="77777777" w:rsidR="00A02C43" w:rsidRPr="00E47AA9" w:rsidRDefault="00A02C43" w:rsidP="00A02C43">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В 2024 году в краевой бюджет коммерческие кредиты не привлекались и средства на их погашение не направлялись.</w:t>
      </w:r>
    </w:p>
    <w:p w14:paraId="2AD679AA" w14:textId="77777777" w:rsidR="00A02C43" w:rsidRPr="00E47AA9" w:rsidRDefault="00A02C43" w:rsidP="00A02C43">
      <w:pPr>
        <w:spacing w:after="0" w:line="240" w:lineRule="auto"/>
        <w:ind w:firstLine="720"/>
        <w:jc w:val="both"/>
        <w:rPr>
          <w:rFonts w:ascii="Times New Roman" w:hAnsi="Times New Roman"/>
          <w:sz w:val="28"/>
          <w:szCs w:val="28"/>
        </w:rPr>
      </w:pPr>
      <w:r w:rsidRPr="00E47AA9">
        <w:rPr>
          <w:rFonts w:ascii="Times New Roman" w:eastAsia="Calibri" w:hAnsi="Times New Roman" w:cs="Times New Roman"/>
          <w:sz w:val="28"/>
          <w:szCs w:val="28"/>
        </w:rPr>
        <w:t xml:space="preserve">Бюджетные кредиты из федерального бюджета привлечены в сумме 611,54 млн рублей </w:t>
      </w:r>
      <w:r w:rsidRPr="00E47AA9">
        <w:rPr>
          <w:rFonts w:ascii="Times New Roman" w:hAnsi="Times New Roman"/>
          <w:sz w:val="28"/>
          <w:szCs w:val="28"/>
        </w:rPr>
        <w:t>на финансовое обеспечение реализации инфраструктурных проектов.</w:t>
      </w:r>
    </w:p>
    <w:p w14:paraId="01064AD9" w14:textId="77777777" w:rsidR="00A02C43" w:rsidRPr="00E47AA9" w:rsidRDefault="00A02C43" w:rsidP="00A02C43">
      <w:pPr>
        <w:spacing w:after="0" w:line="240" w:lineRule="auto"/>
        <w:ind w:firstLine="720"/>
        <w:jc w:val="both"/>
        <w:rPr>
          <w:rFonts w:ascii="Times New Roman" w:hAnsi="Times New Roman"/>
          <w:sz w:val="28"/>
          <w:szCs w:val="28"/>
        </w:rPr>
      </w:pPr>
      <w:r w:rsidRPr="00E47AA9">
        <w:rPr>
          <w:rFonts w:ascii="Times New Roman" w:hAnsi="Times New Roman"/>
          <w:sz w:val="28"/>
          <w:szCs w:val="28"/>
        </w:rPr>
        <w:t>На погашение бюджетных кредитов из федерального бюджета в отчетном году направлено 1631,75 млн рублей, в том числе:</w:t>
      </w:r>
    </w:p>
    <w:p w14:paraId="6972235F" w14:textId="77777777" w:rsidR="00A02C43" w:rsidRPr="00E47AA9" w:rsidRDefault="00A02C43" w:rsidP="00A02C43">
      <w:pPr>
        <w:spacing w:after="0" w:line="240" w:lineRule="auto"/>
        <w:ind w:firstLine="72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на финансовое обеспечение реализации инфраструктурных проектов в сумме – 338,03 млн рублей;</w:t>
      </w:r>
    </w:p>
    <w:p w14:paraId="5AC3EAB9" w14:textId="77777777" w:rsidR="00A02C43" w:rsidRPr="00E47AA9" w:rsidRDefault="00A02C43" w:rsidP="00A02C43">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целях опережающего финансового обеспечения расходных обязательств, принимаемых в целях реализации мероприятий, обеспечивающих достижение целей, показателей и результатов государственных программ Российской Федерации, федеральных проектов, входящих в состав национальных проектов (программ), комплексного плана модернизации и расширения магистральной инфраструктуры – 1262,80 млн рублей; </w:t>
      </w:r>
    </w:p>
    <w:p w14:paraId="2910A023" w14:textId="77777777" w:rsidR="00A02C43" w:rsidRPr="00E47AA9" w:rsidRDefault="00A02C43" w:rsidP="00A02C43">
      <w:pPr>
        <w:spacing w:after="0" w:line="240" w:lineRule="auto"/>
        <w:ind w:firstLine="72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специальные казначейские кредиты – 30,92 млн рублей.</w:t>
      </w:r>
    </w:p>
    <w:p w14:paraId="7DDC2BE3" w14:textId="69BD1CD6" w:rsidR="00A02C43" w:rsidRPr="00E47AA9" w:rsidRDefault="00A02C43" w:rsidP="00A02C43">
      <w:pPr>
        <w:spacing w:after="0" w:line="240" w:lineRule="auto"/>
        <w:ind w:firstLine="72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В 2024 году из краевого бюджета предоставлено бюджетных кредитов местным бюджетам в сумме 198,00 млн рублей, или 15,00 %</w:t>
      </w:r>
      <w:r w:rsidR="003B79A9"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от плана (1320,00 млн рублей). Отклонение связано с отсутствием потребности в привлечении бюджетных кредитов муниципальными образованиями </w:t>
      </w:r>
      <w:r w:rsidRPr="00E47AA9">
        <w:rPr>
          <w:rFonts w:ascii="Times New Roman" w:eastAsia="Calibri" w:hAnsi="Times New Roman" w:cs="Times New Roman"/>
          <w:sz w:val="28"/>
          <w:szCs w:val="28"/>
        </w:rPr>
        <w:lastRenderedPageBreak/>
        <w:t xml:space="preserve">Приморского края. В отчетном году на основании заявок предоставлены кредиты городским округам: </w:t>
      </w:r>
    </w:p>
    <w:p w14:paraId="028CA71E" w14:textId="2593AE8B" w:rsidR="00A02C43" w:rsidRPr="00E47AA9" w:rsidRDefault="00A02C43" w:rsidP="00A02C43">
      <w:pPr>
        <w:spacing w:after="0" w:line="240" w:lineRule="auto"/>
        <w:ind w:firstLine="72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Спасск-Дальнему </w:t>
      </w:r>
      <w:r w:rsidR="003B79A9"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28,00 млн рублей на финансирование временного кассового разрыва, возникающего при исполнении муниципальных бюджетов по двум договорам. При исполнении обязательств администрацией городского округа оплачена сумма процентов по договорам в общей сумме 6,9 тыс. рублей, а также сумма основного долга по кредитам в полном объеме (задолженность по предоставленным в 2024 году кредитам погашена);</w:t>
      </w:r>
    </w:p>
    <w:p w14:paraId="68F3E2EB" w14:textId="10F246BF" w:rsidR="00A02C43" w:rsidRPr="00E47AA9" w:rsidRDefault="00A02C43" w:rsidP="00A02C43">
      <w:pPr>
        <w:spacing w:after="0" w:line="240" w:lineRule="auto"/>
        <w:ind w:firstLine="72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Уссурийскому </w:t>
      </w:r>
      <w:r w:rsidR="00F22C9F"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170,00 млн рублей</w:t>
      </w:r>
      <w:r w:rsidRPr="00E47AA9">
        <w:t xml:space="preserve"> </w:t>
      </w:r>
      <w:r w:rsidRPr="00E47AA9">
        <w:rPr>
          <w:rFonts w:ascii="Times New Roman" w:eastAsia="Calibri" w:hAnsi="Times New Roman" w:cs="Times New Roman"/>
          <w:sz w:val="28"/>
          <w:szCs w:val="28"/>
        </w:rPr>
        <w:t>для частичного покрытия дефицита бюджета.</w:t>
      </w:r>
      <w:r w:rsidRPr="00E47AA9">
        <w:t xml:space="preserve"> </w:t>
      </w:r>
      <w:r w:rsidRPr="00E47AA9">
        <w:rPr>
          <w:rFonts w:ascii="Times New Roman" w:eastAsia="Calibri" w:hAnsi="Times New Roman" w:cs="Times New Roman"/>
          <w:sz w:val="28"/>
          <w:szCs w:val="28"/>
        </w:rPr>
        <w:t>При исполнении обязательств по договору администрацией городского округа оплачена сумма процентов за пользование кредитом в сумме 6,0 тыс. рублей, сумма основного долга по кредиту в 2024 году не погашалась (по условиям договора первый срок уплаты части суммы основного долга наступает 16.12.2025). Реструктуризация по условиям договора не предусмотрена.</w:t>
      </w:r>
    </w:p>
    <w:p w14:paraId="6F5533FA" w14:textId="77777777" w:rsidR="00A02C43" w:rsidRPr="00E47AA9" w:rsidRDefault="00A02C43" w:rsidP="00A02C43">
      <w:pPr>
        <w:spacing w:after="0" w:line="240" w:lineRule="auto"/>
        <w:ind w:firstLine="72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Бюджетные кредиты юридическим лицам в 2024 году из краевого бюджета не планировались и не предоставлялись.</w:t>
      </w:r>
    </w:p>
    <w:p w14:paraId="32B7F029" w14:textId="2544E5B8" w:rsidR="00A02C43" w:rsidRPr="00E47AA9" w:rsidRDefault="00A02C43" w:rsidP="00A02C43">
      <w:pPr>
        <w:spacing w:after="0" w:line="240" w:lineRule="auto"/>
        <w:ind w:firstLine="72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Возврат в краевой бюджет бюджетных кредитов составил 64,52 %, или 645,22 млн рублей (план </w:t>
      </w:r>
      <w:r w:rsidR="006B7EC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1000,00 млн рублей), в том числе:</w:t>
      </w:r>
    </w:p>
    <w:p w14:paraId="558535ED" w14:textId="7FB421EE" w:rsidR="00A02C43" w:rsidRPr="00E47AA9" w:rsidRDefault="00A02C43" w:rsidP="00A02C43">
      <w:pPr>
        <w:spacing w:after="0" w:line="240" w:lineRule="auto"/>
        <w:ind w:firstLine="720"/>
        <w:jc w:val="both"/>
        <w:rPr>
          <w:rFonts w:ascii="Times New Roman" w:eastAsia="Calibri" w:hAnsi="Times New Roman" w:cs="Times New Roman"/>
          <w:sz w:val="28"/>
          <w:szCs w:val="28"/>
        </w:rPr>
      </w:pPr>
      <w:r w:rsidRPr="00E47AA9">
        <w:rPr>
          <w:rFonts w:ascii="Times New Roman" w:eastAsia="Calibri" w:hAnsi="Times New Roman" w:cs="Times New Roman"/>
          <w:i/>
          <w:sz w:val="28"/>
          <w:szCs w:val="28"/>
        </w:rPr>
        <w:t xml:space="preserve">юридическими лицами </w:t>
      </w:r>
      <w:r w:rsidRPr="00E47AA9">
        <w:rPr>
          <w:rFonts w:ascii="Times New Roman" w:eastAsia="Calibri" w:hAnsi="Times New Roman" w:cs="Times New Roman"/>
          <w:sz w:val="28"/>
          <w:szCs w:val="28"/>
        </w:rPr>
        <w:t xml:space="preserve">– 105,04 млн рублей (плановые назначения не утверждались) от КГУП "Государственное агентство по продовольствию Приморского края" (далее </w:t>
      </w:r>
      <w:r w:rsidR="00F22C9F"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КГУП "</w:t>
      </w:r>
      <w:proofErr w:type="spellStart"/>
      <w:r w:rsidRPr="00E47AA9">
        <w:rPr>
          <w:rFonts w:ascii="Times New Roman" w:eastAsia="Calibri" w:hAnsi="Times New Roman" w:cs="Times New Roman"/>
          <w:sz w:val="28"/>
          <w:szCs w:val="28"/>
        </w:rPr>
        <w:t>Госпродагентство</w:t>
      </w:r>
      <w:proofErr w:type="spellEnd"/>
      <w:r w:rsidRPr="00E47AA9">
        <w:rPr>
          <w:rFonts w:ascii="Times New Roman" w:eastAsia="Calibri" w:hAnsi="Times New Roman" w:cs="Times New Roman"/>
          <w:sz w:val="28"/>
          <w:szCs w:val="28"/>
        </w:rPr>
        <w:t xml:space="preserve"> Приморского края"). </w:t>
      </w:r>
    </w:p>
    <w:p w14:paraId="7272A78D" w14:textId="14CED1CB" w:rsidR="00A02C43" w:rsidRPr="00E47AA9" w:rsidRDefault="00A02C43" w:rsidP="00DD5A41">
      <w:pPr>
        <w:pStyle w:val="a6"/>
        <w:ind w:firstLine="708"/>
        <w:jc w:val="both"/>
        <w:rPr>
          <w:i/>
          <w:iCs/>
          <w:sz w:val="28"/>
          <w:szCs w:val="28"/>
        </w:rPr>
      </w:pPr>
      <w:r w:rsidRPr="00E47AA9">
        <w:rPr>
          <w:i/>
          <w:iCs/>
          <w:sz w:val="28"/>
          <w:szCs w:val="28"/>
        </w:rPr>
        <w:t>Согласно материалам проверки Контрольно-счетной палаты "Оценка состояния государственного долга Приморского края, долга муниципальных образований Приморского края. Долговые обязательства юридических лиц по бюджетным кредитам по состоянию на 01.01.2025", проведенной в министерстве финансов Приморского края, задолженность по бюджетным кредитам, предоставленным в 2003 – 2007 годах по шести договорам в общей сумме 261,17 млн рублей юридическому лицу КГУП "</w:t>
      </w:r>
      <w:proofErr w:type="spellStart"/>
      <w:r w:rsidRPr="00E47AA9">
        <w:rPr>
          <w:i/>
          <w:iCs/>
          <w:sz w:val="28"/>
          <w:szCs w:val="28"/>
        </w:rPr>
        <w:t>Госпродагентство</w:t>
      </w:r>
      <w:proofErr w:type="spellEnd"/>
      <w:r w:rsidRPr="00E47AA9">
        <w:rPr>
          <w:i/>
          <w:iCs/>
          <w:sz w:val="28"/>
          <w:szCs w:val="28"/>
        </w:rPr>
        <w:t xml:space="preserve"> Приморского края", на 01.01.2025 составила в общей сумме 85,38 млн рублей</w:t>
      </w:r>
      <w:r w:rsidRPr="00E47AA9">
        <w:rPr>
          <w:i/>
          <w:iCs/>
        </w:rPr>
        <w:t xml:space="preserve"> </w:t>
      </w:r>
      <w:r w:rsidRPr="00E47AA9">
        <w:rPr>
          <w:i/>
          <w:iCs/>
          <w:sz w:val="28"/>
          <w:szCs w:val="28"/>
        </w:rPr>
        <w:t>и снижена на 68,0 %, в том числе по основному долгу 82,92 млн рублей и сумма пени за неисполнение условий договора 2,46 млн рублей.</w:t>
      </w:r>
      <w:r w:rsidRPr="00E47AA9">
        <w:rPr>
          <w:i/>
          <w:iCs/>
        </w:rPr>
        <w:t xml:space="preserve"> </w:t>
      </w:r>
      <w:r w:rsidRPr="00E47AA9">
        <w:rPr>
          <w:i/>
          <w:iCs/>
          <w:sz w:val="28"/>
          <w:szCs w:val="28"/>
        </w:rPr>
        <w:t xml:space="preserve">Согласно определению Арбитражного суда Приморского края от 29.11.2018 </w:t>
      </w:r>
      <w:r w:rsidR="00DD5A41" w:rsidRPr="00DD5A41">
        <w:rPr>
          <w:i/>
          <w:iCs/>
          <w:sz w:val="28"/>
          <w:szCs w:val="28"/>
        </w:rPr>
        <w:t xml:space="preserve">по делу </w:t>
      </w:r>
      <w:r w:rsidR="00DD5A41">
        <w:rPr>
          <w:i/>
          <w:iCs/>
          <w:sz w:val="28"/>
          <w:szCs w:val="28"/>
        </w:rPr>
        <w:br/>
      </w:r>
      <w:r w:rsidR="00DD5A41" w:rsidRPr="00DD5A41">
        <w:rPr>
          <w:i/>
          <w:iCs/>
          <w:sz w:val="28"/>
          <w:szCs w:val="28"/>
        </w:rPr>
        <w:t xml:space="preserve">№ А51-10967/2013 </w:t>
      </w:r>
      <w:r w:rsidRPr="00E47AA9">
        <w:rPr>
          <w:i/>
          <w:iCs/>
          <w:sz w:val="28"/>
          <w:szCs w:val="28"/>
        </w:rPr>
        <w:t>КГУП "</w:t>
      </w:r>
      <w:proofErr w:type="spellStart"/>
      <w:r w:rsidRPr="00E47AA9">
        <w:rPr>
          <w:i/>
          <w:iCs/>
          <w:sz w:val="28"/>
          <w:szCs w:val="28"/>
        </w:rPr>
        <w:t>Госпродагентство</w:t>
      </w:r>
      <w:proofErr w:type="spellEnd"/>
      <w:r w:rsidRPr="00E47AA9">
        <w:rPr>
          <w:i/>
          <w:iCs/>
          <w:sz w:val="28"/>
          <w:szCs w:val="28"/>
        </w:rPr>
        <w:t xml:space="preserve"> Приморского края"</w:t>
      </w:r>
      <w:r w:rsidR="00AC20F8" w:rsidRPr="00E47AA9">
        <w:rPr>
          <w:i/>
          <w:iCs/>
          <w:sz w:val="28"/>
          <w:szCs w:val="28"/>
        </w:rPr>
        <w:t xml:space="preserve"> </w:t>
      </w:r>
      <w:r w:rsidRPr="00E47AA9">
        <w:rPr>
          <w:i/>
          <w:iCs/>
          <w:sz w:val="28"/>
          <w:szCs w:val="28"/>
        </w:rPr>
        <w:t>предоставлена рассрочка исполнения мирового соглашения, заключенного 24.03.2015 между КГУП "</w:t>
      </w:r>
      <w:proofErr w:type="spellStart"/>
      <w:r w:rsidRPr="00E47AA9">
        <w:rPr>
          <w:i/>
          <w:iCs/>
          <w:sz w:val="28"/>
          <w:szCs w:val="28"/>
        </w:rPr>
        <w:t>Госпродагентство</w:t>
      </w:r>
      <w:proofErr w:type="spellEnd"/>
      <w:r w:rsidRPr="00E47AA9">
        <w:rPr>
          <w:i/>
          <w:iCs/>
          <w:sz w:val="28"/>
          <w:szCs w:val="28"/>
        </w:rPr>
        <w:t xml:space="preserve"> Приморского края</w:t>
      </w:r>
      <w:proofErr w:type="gramStart"/>
      <w:r w:rsidRPr="00E47AA9">
        <w:rPr>
          <w:i/>
          <w:iCs/>
          <w:sz w:val="28"/>
          <w:szCs w:val="28"/>
        </w:rPr>
        <w:t>"</w:t>
      </w:r>
      <w:proofErr w:type="gramEnd"/>
      <w:r w:rsidRPr="00E47AA9">
        <w:rPr>
          <w:i/>
          <w:iCs/>
          <w:sz w:val="28"/>
          <w:szCs w:val="28"/>
        </w:rPr>
        <w:t xml:space="preserve"> и департаментом финансов Приморского края (в настоящее </w:t>
      </w:r>
      <w:r w:rsidR="00A706BB" w:rsidRPr="00E47AA9">
        <w:rPr>
          <w:i/>
          <w:iCs/>
          <w:sz w:val="28"/>
          <w:szCs w:val="28"/>
        </w:rPr>
        <w:t>время министерство</w:t>
      </w:r>
      <w:r w:rsidRPr="00E47AA9">
        <w:rPr>
          <w:i/>
          <w:iCs/>
          <w:sz w:val="28"/>
          <w:szCs w:val="28"/>
        </w:rPr>
        <w:t xml:space="preserve"> финансов Приморского края), со сроком исполнения до 31.12.2037;</w:t>
      </w:r>
    </w:p>
    <w:p w14:paraId="3392BFFD" w14:textId="6EB7716A" w:rsidR="00A02C43" w:rsidRPr="00E47AA9" w:rsidRDefault="00A02C43" w:rsidP="00A02C43">
      <w:pPr>
        <w:spacing w:after="0" w:line="240" w:lineRule="auto"/>
        <w:ind w:firstLine="720"/>
        <w:jc w:val="both"/>
        <w:rPr>
          <w:rFonts w:ascii="Times New Roman" w:eastAsia="Calibri" w:hAnsi="Times New Roman" w:cs="Times New Roman"/>
          <w:sz w:val="28"/>
          <w:szCs w:val="28"/>
        </w:rPr>
      </w:pPr>
      <w:r w:rsidRPr="00E47AA9">
        <w:rPr>
          <w:rFonts w:ascii="Times New Roman" w:eastAsia="Calibri" w:hAnsi="Times New Roman" w:cs="Times New Roman"/>
          <w:i/>
          <w:sz w:val="28"/>
          <w:szCs w:val="28"/>
        </w:rPr>
        <w:t>бюджетами муниципальных образований Приморского края</w:t>
      </w:r>
      <w:r w:rsidRPr="00E47AA9">
        <w:rPr>
          <w:rFonts w:ascii="Times New Roman" w:eastAsia="Calibri" w:hAnsi="Times New Roman" w:cs="Times New Roman"/>
          <w:sz w:val="28"/>
          <w:szCs w:val="28"/>
        </w:rPr>
        <w:t xml:space="preserve"> – 540,18 млн рублей, или 54,02 % (план </w:t>
      </w:r>
      <w:r w:rsidR="006B7EC2" w:rsidRPr="00E47AA9">
        <w:rPr>
          <w:rFonts w:ascii="Times New Roman" w:eastAsia="Calibri" w:hAnsi="Times New Roman" w:cs="Times New Roman"/>
          <w:sz w:val="28"/>
          <w:szCs w:val="28"/>
        </w:rPr>
        <w:t xml:space="preserve">– </w:t>
      </w:r>
      <w:r w:rsidRPr="00E47AA9">
        <w:rPr>
          <w:rFonts w:ascii="Times New Roman" w:eastAsia="Calibri" w:hAnsi="Times New Roman" w:cs="Times New Roman"/>
          <w:sz w:val="28"/>
          <w:szCs w:val="28"/>
        </w:rPr>
        <w:t>1000,00 млн рублей). По информации министерства финансов Приморского края</w:t>
      </w:r>
      <w:r w:rsidR="00F22C9F" w:rsidRPr="00E47AA9">
        <w:rPr>
          <w:rFonts w:ascii="Times New Roman" w:eastAsia="Calibri" w:hAnsi="Times New Roman" w:cs="Times New Roman"/>
          <w:sz w:val="28"/>
          <w:szCs w:val="28"/>
        </w:rPr>
        <w:t>,</w:t>
      </w:r>
      <w:r w:rsidRPr="00E47AA9">
        <w:rPr>
          <w:rFonts w:ascii="Times New Roman" w:eastAsia="Calibri" w:hAnsi="Times New Roman" w:cs="Times New Roman"/>
          <w:sz w:val="28"/>
          <w:szCs w:val="28"/>
        </w:rPr>
        <w:t xml:space="preserve"> невыполнение связано с отсутствием потребности. Возврат основного долга по бюджетным кредитам осуществлен: </w:t>
      </w:r>
    </w:p>
    <w:p w14:paraId="1FDC18D1" w14:textId="77777777" w:rsidR="00A02C43" w:rsidRPr="00E47AA9" w:rsidRDefault="00A02C43" w:rsidP="00A02C43">
      <w:pPr>
        <w:spacing w:after="0" w:line="240" w:lineRule="auto"/>
        <w:ind w:firstLine="72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lastRenderedPageBreak/>
        <w:t xml:space="preserve">городскими округами: </w:t>
      </w:r>
      <w:proofErr w:type="spellStart"/>
      <w:r w:rsidRPr="00E47AA9">
        <w:rPr>
          <w:rFonts w:ascii="Times New Roman" w:eastAsia="Calibri" w:hAnsi="Times New Roman" w:cs="Times New Roman"/>
          <w:sz w:val="28"/>
          <w:szCs w:val="28"/>
        </w:rPr>
        <w:t>Дальнереченским</w:t>
      </w:r>
      <w:proofErr w:type="spellEnd"/>
      <w:r w:rsidRPr="00E47AA9">
        <w:rPr>
          <w:rFonts w:ascii="Times New Roman" w:eastAsia="Calibri" w:hAnsi="Times New Roman" w:cs="Times New Roman"/>
          <w:sz w:val="28"/>
          <w:szCs w:val="28"/>
        </w:rPr>
        <w:t xml:space="preserve"> – 5,00 млн рублей, Артемовским – 77,40 млн рублей, Большой Камень – 10,00 млн рублей, Владивостокским – 314,00 млн рублей, Спасск-Дальний – 48,10 млн рублей, Лесозаводским – 43,06 млн рублей, </w:t>
      </w:r>
      <w:proofErr w:type="spellStart"/>
      <w:r w:rsidRPr="00E47AA9">
        <w:rPr>
          <w:rFonts w:ascii="Times New Roman" w:eastAsia="Calibri" w:hAnsi="Times New Roman" w:cs="Times New Roman"/>
          <w:sz w:val="28"/>
          <w:szCs w:val="28"/>
        </w:rPr>
        <w:t>Арсеньевским</w:t>
      </w:r>
      <w:proofErr w:type="spellEnd"/>
      <w:r w:rsidRPr="00E47AA9">
        <w:rPr>
          <w:rFonts w:ascii="Times New Roman" w:eastAsia="Calibri" w:hAnsi="Times New Roman" w:cs="Times New Roman"/>
          <w:sz w:val="28"/>
          <w:szCs w:val="28"/>
        </w:rPr>
        <w:t xml:space="preserve"> – 26,85 млн рублей;</w:t>
      </w:r>
    </w:p>
    <w:p w14:paraId="59B0BD7A" w14:textId="5D92FCF6" w:rsidR="00A02C43" w:rsidRPr="00E47AA9" w:rsidRDefault="00A02C43" w:rsidP="00A02C43">
      <w:pPr>
        <w:spacing w:after="0" w:line="240" w:lineRule="auto"/>
        <w:ind w:firstLine="72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 xml:space="preserve">муниципальными округами: </w:t>
      </w:r>
      <w:proofErr w:type="spellStart"/>
      <w:r w:rsidRPr="00E47AA9">
        <w:rPr>
          <w:rFonts w:ascii="Times New Roman" w:eastAsia="Calibri" w:hAnsi="Times New Roman" w:cs="Times New Roman"/>
          <w:sz w:val="28"/>
          <w:szCs w:val="28"/>
        </w:rPr>
        <w:t>Ольгинским</w:t>
      </w:r>
      <w:proofErr w:type="spellEnd"/>
      <w:r w:rsidRPr="00E47AA9">
        <w:rPr>
          <w:rFonts w:ascii="Times New Roman" w:eastAsia="Calibri" w:hAnsi="Times New Roman" w:cs="Times New Roman"/>
          <w:sz w:val="28"/>
          <w:szCs w:val="28"/>
        </w:rPr>
        <w:t xml:space="preserve"> – 8,00 млн рублей, </w:t>
      </w:r>
      <w:proofErr w:type="spellStart"/>
      <w:r w:rsidRPr="00E47AA9">
        <w:rPr>
          <w:rFonts w:ascii="Times New Roman" w:eastAsia="Calibri" w:hAnsi="Times New Roman" w:cs="Times New Roman"/>
          <w:sz w:val="28"/>
          <w:szCs w:val="28"/>
        </w:rPr>
        <w:t>Чугуевским</w:t>
      </w:r>
      <w:proofErr w:type="spellEnd"/>
      <w:r w:rsidR="00F22C9F" w:rsidRPr="00E47AA9">
        <w:rPr>
          <w:rFonts w:ascii="Times New Roman" w:eastAsia="Calibri" w:hAnsi="Times New Roman" w:cs="Times New Roman"/>
          <w:sz w:val="28"/>
          <w:szCs w:val="28"/>
        </w:rPr>
        <w:t> </w:t>
      </w:r>
      <w:r w:rsidRPr="00E47AA9">
        <w:rPr>
          <w:rFonts w:ascii="Times New Roman" w:eastAsia="Calibri" w:hAnsi="Times New Roman" w:cs="Times New Roman"/>
          <w:sz w:val="28"/>
          <w:szCs w:val="28"/>
        </w:rPr>
        <w:t xml:space="preserve">– 3,40 млн рублей, </w:t>
      </w:r>
      <w:proofErr w:type="spellStart"/>
      <w:r w:rsidRPr="00E47AA9">
        <w:rPr>
          <w:rFonts w:ascii="Times New Roman" w:eastAsia="Calibri" w:hAnsi="Times New Roman" w:cs="Times New Roman"/>
          <w:sz w:val="28"/>
          <w:szCs w:val="28"/>
        </w:rPr>
        <w:t>Шкотовским</w:t>
      </w:r>
      <w:proofErr w:type="spellEnd"/>
      <w:r w:rsidRPr="00E47AA9">
        <w:rPr>
          <w:rFonts w:ascii="Times New Roman" w:eastAsia="Calibri" w:hAnsi="Times New Roman" w:cs="Times New Roman"/>
          <w:sz w:val="28"/>
          <w:szCs w:val="28"/>
        </w:rPr>
        <w:t xml:space="preserve"> – 2,60 млн рублей;</w:t>
      </w:r>
    </w:p>
    <w:p w14:paraId="6C61C9F5" w14:textId="77777777" w:rsidR="00A02C43" w:rsidRPr="00E47AA9" w:rsidRDefault="00A02C43" w:rsidP="00A02C43">
      <w:pPr>
        <w:spacing w:after="0" w:line="240" w:lineRule="auto"/>
        <w:ind w:firstLine="720"/>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муниципальным районом: Кировским – 1,77 млн рублей.</w:t>
      </w:r>
    </w:p>
    <w:p w14:paraId="7E8DB7A2" w14:textId="77777777" w:rsidR="00A02C43" w:rsidRPr="00E47AA9" w:rsidRDefault="00A02C43" w:rsidP="00A02C43">
      <w:pPr>
        <w:spacing w:after="0" w:line="240" w:lineRule="auto"/>
        <w:ind w:firstLine="720"/>
        <w:jc w:val="both"/>
        <w:rPr>
          <w:rFonts w:ascii="Times New Roman" w:eastAsia="Calibri" w:hAnsi="Times New Roman" w:cs="Times New Roman"/>
          <w:i/>
          <w:sz w:val="28"/>
          <w:szCs w:val="28"/>
        </w:rPr>
      </w:pPr>
      <w:r w:rsidRPr="00E47AA9">
        <w:rPr>
          <w:rFonts w:ascii="Times New Roman" w:eastAsia="Calibri" w:hAnsi="Times New Roman" w:cs="Times New Roman"/>
          <w:i/>
          <w:sz w:val="28"/>
          <w:szCs w:val="28"/>
        </w:rPr>
        <w:t>Справочно: по данным Минфина России задолженность муниципальных образований края по бюджетным кредитам по состоянию на 01.01.2025 составила 1950,97 млн рублей (на 01.01.2024 – 2293,15 млн рублей). Снижение задолженности по сравнению с задолженностью, сложившейся на начало отчетного года, составило 342,18 млн рублей, или на 14,92 %. Задолженность по кредитам кредитных организаций муниципальных образований на 01.01.2025 составила 0,47 млн рублей (на 01.01.2024 – 803,93 млн рублей), с начала года задолженность снизилась на 803,46 млн рублей</w:t>
      </w:r>
      <w:r w:rsidRPr="00E47AA9">
        <w:rPr>
          <w:rStyle w:val="a8"/>
          <w:rFonts w:ascii="Times New Roman" w:hAnsi="Times New Roman"/>
          <w:sz w:val="28"/>
          <w:szCs w:val="28"/>
        </w:rPr>
        <w:footnoteReference w:id="100"/>
      </w:r>
      <w:r w:rsidRPr="00E47AA9">
        <w:rPr>
          <w:rFonts w:ascii="Times New Roman" w:eastAsia="Calibri" w:hAnsi="Times New Roman" w:cs="Times New Roman"/>
          <w:i/>
          <w:sz w:val="28"/>
          <w:szCs w:val="28"/>
        </w:rPr>
        <w:t>.</w:t>
      </w:r>
    </w:p>
    <w:p w14:paraId="1DCAB6F8" w14:textId="77777777" w:rsidR="00A02C43" w:rsidRPr="00E47AA9" w:rsidRDefault="00A02C43" w:rsidP="00A02C43">
      <w:pPr>
        <w:spacing w:after="0" w:line="240" w:lineRule="auto"/>
        <w:ind w:firstLine="720"/>
        <w:jc w:val="both"/>
        <w:rPr>
          <w:rFonts w:ascii="Times New Roman" w:hAnsi="Times New Roman"/>
          <w:sz w:val="28"/>
          <w:szCs w:val="28"/>
        </w:rPr>
      </w:pPr>
      <w:r w:rsidRPr="00E47AA9">
        <w:rPr>
          <w:rFonts w:ascii="Times New Roman" w:hAnsi="Times New Roman"/>
          <w:sz w:val="28"/>
          <w:szCs w:val="28"/>
        </w:rPr>
        <w:t xml:space="preserve">В составе источников изменения остатков на счетах по учету средств бюджетов в отчетном году составили: увеличение прочих остатков – </w:t>
      </w:r>
      <w:r w:rsidRPr="00E47AA9">
        <w:rPr>
          <w:rFonts w:ascii="Times New Roman" w:hAnsi="Times New Roman"/>
          <w:sz w:val="28"/>
          <w:szCs w:val="28"/>
        </w:rPr>
        <w:br/>
        <w:t>(-) 279290,62 млн рублей, уменьшение прочих остатков –</w:t>
      </w:r>
      <w:r w:rsidRPr="00E47AA9">
        <w:t xml:space="preserve"> </w:t>
      </w:r>
      <w:r w:rsidRPr="00E47AA9">
        <w:rPr>
          <w:rFonts w:ascii="Times New Roman" w:hAnsi="Times New Roman" w:cs="Times New Roman"/>
          <w:sz w:val="28"/>
          <w:szCs w:val="28"/>
        </w:rPr>
        <w:t>287573,74 млн рублей</w:t>
      </w:r>
      <w:r w:rsidRPr="00E47AA9">
        <w:rPr>
          <w:rFonts w:ascii="Times New Roman" w:hAnsi="Times New Roman"/>
          <w:sz w:val="28"/>
          <w:szCs w:val="28"/>
        </w:rPr>
        <w:t>.</w:t>
      </w:r>
    </w:p>
    <w:p w14:paraId="04D9F7FA" w14:textId="77777777" w:rsidR="00A02C43" w:rsidRPr="00E47AA9" w:rsidRDefault="00A02C43" w:rsidP="00ED0234">
      <w:pPr>
        <w:spacing w:after="0" w:line="240" w:lineRule="auto"/>
        <w:jc w:val="center"/>
        <w:rPr>
          <w:rFonts w:ascii="Times New Roman" w:eastAsia="Times New Roman" w:hAnsi="Times New Roman" w:cs="Times New Roman"/>
          <w:b/>
          <w:sz w:val="28"/>
          <w:szCs w:val="28"/>
          <w:lang w:eastAsia="ru-RU"/>
        </w:rPr>
      </w:pPr>
    </w:p>
    <w:p w14:paraId="390AE7EB" w14:textId="77777777" w:rsidR="00A02C43" w:rsidRPr="00E47AA9" w:rsidRDefault="00A02C43" w:rsidP="00ED0234">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7. Государственный долг Приморского края</w:t>
      </w:r>
    </w:p>
    <w:p w14:paraId="727001C1" w14:textId="77777777" w:rsidR="00A02C43" w:rsidRPr="00E47AA9" w:rsidRDefault="00A02C43" w:rsidP="00A02C43">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Контрольно-счетной палатой в рамках полномочий, предусмотренных пунктом 11 части 1 статьи 9 Закона Приморского края от 04.08.2011 № 795-КЗ "О Контрольно-счетной палате Приморского края", в ходе последующего контроля за исполнением краевого бюджета проведен анализ состояния государственного внутреннего и внешнего долга Приморского края.</w:t>
      </w:r>
    </w:p>
    <w:p w14:paraId="4E002BB8" w14:textId="77777777" w:rsidR="00A02C43" w:rsidRPr="00E47AA9" w:rsidRDefault="00A02C43" w:rsidP="00A02C43">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u w:val="single"/>
          <w:lang w:eastAsia="ru-RU"/>
        </w:rPr>
        <w:t>Государственный внешний долг Приморского края</w:t>
      </w:r>
      <w:r w:rsidRPr="00E47AA9">
        <w:rPr>
          <w:rFonts w:ascii="Times New Roman" w:eastAsia="Times New Roman" w:hAnsi="Times New Roman" w:cs="Times New Roman"/>
          <w:sz w:val="28"/>
          <w:szCs w:val="28"/>
          <w:lang w:eastAsia="ru-RU"/>
        </w:rPr>
        <w:t xml:space="preserve"> на начало и конец отчетного года отсутствует.</w:t>
      </w:r>
    </w:p>
    <w:p w14:paraId="779A0D2E" w14:textId="6AFF4753" w:rsidR="00A02C43" w:rsidRPr="00E47AA9" w:rsidRDefault="00A02C43" w:rsidP="00A02C43">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Объем </w:t>
      </w:r>
      <w:r w:rsidRPr="00E47AA9">
        <w:rPr>
          <w:rFonts w:ascii="Times New Roman" w:eastAsia="Times New Roman" w:hAnsi="Times New Roman" w:cs="Times New Roman"/>
          <w:sz w:val="28"/>
          <w:szCs w:val="28"/>
          <w:u w:val="single"/>
          <w:lang w:eastAsia="ru-RU"/>
        </w:rPr>
        <w:t>государственного внутреннего долга Приморского края</w:t>
      </w:r>
      <w:r w:rsidRPr="00E47AA9">
        <w:rPr>
          <w:rFonts w:ascii="Times New Roman" w:eastAsia="Times New Roman" w:hAnsi="Times New Roman" w:cs="Times New Roman"/>
          <w:sz w:val="28"/>
          <w:szCs w:val="28"/>
          <w:lang w:eastAsia="ru-RU"/>
        </w:rPr>
        <w:t xml:space="preserve"> (далее – государственный долг) на начало 2024 года достигал 19661,45 млн рублей. В течение отчетного года его размер сократился на 1458,64 млн рублей, или на 7,42 %</w:t>
      </w:r>
      <w:r w:rsidR="00F22C9F"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и по состоянию на 01.01.2025 составил 18202,81 млн рублей</w:t>
      </w:r>
      <w:r w:rsidRPr="00E47AA9">
        <w:rPr>
          <w:rStyle w:val="a8"/>
          <w:rFonts w:ascii="Times New Roman" w:eastAsia="Times New Roman" w:hAnsi="Times New Roman"/>
          <w:sz w:val="28"/>
          <w:szCs w:val="28"/>
          <w:lang w:eastAsia="ru-RU"/>
        </w:rPr>
        <w:footnoteReference w:id="101"/>
      </w:r>
      <w:r w:rsidRPr="00E47AA9">
        <w:rPr>
          <w:rFonts w:ascii="Times New Roman" w:eastAsia="Times New Roman" w:hAnsi="Times New Roman" w:cs="Times New Roman"/>
          <w:sz w:val="28"/>
          <w:szCs w:val="28"/>
          <w:lang w:eastAsia="ru-RU"/>
        </w:rPr>
        <w:t xml:space="preserve"> (государственные гарантии Приморского края – 0,00 рублей). </w:t>
      </w:r>
    </w:p>
    <w:p w14:paraId="6BF887A8" w14:textId="77777777" w:rsidR="00A02C43" w:rsidRPr="00E47AA9" w:rsidRDefault="00A02C43" w:rsidP="00A02C43">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Государственный долг не превышает установленный статьей 1 Закона № 495-КЗ верхний предел государственного внутреннего долга Приморского края на 01.01.2025 (21547,47 млн рублей), в том числе верхний предел долга по государственным гарантиям Приморского края (0,00 млн рублей).</w:t>
      </w:r>
    </w:p>
    <w:p w14:paraId="3879323D" w14:textId="02B92F28" w:rsidR="00A02C43" w:rsidRPr="00E47AA9" w:rsidRDefault="00A02C43" w:rsidP="00A02C43">
      <w:pPr>
        <w:autoSpaceDE w:val="0"/>
        <w:autoSpaceDN w:val="0"/>
        <w:adjustRightInd w:val="0"/>
        <w:spacing w:after="0" w:line="240" w:lineRule="auto"/>
        <w:ind w:firstLine="709"/>
        <w:jc w:val="both"/>
        <w:outlineLvl w:val="2"/>
        <w:rPr>
          <w:rFonts w:ascii="Times New Roman" w:eastAsia="Times New Roman" w:hAnsi="Times New Roman" w:cs="Times New Roman"/>
          <w:i/>
          <w:iCs/>
          <w:sz w:val="28"/>
          <w:szCs w:val="28"/>
          <w:lang w:eastAsia="ru-RU"/>
        </w:rPr>
      </w:pPr>
      <w:r w:rsidRPr="00E47AA9">
        <w:rPr>
          <w:rFonts w:ascii="Times New Roman" w:eastAsia="Times New Roman" w:hAnsi="Times New Roman" w:cs="Times New Roman"/>
          <w:sz w:val="28"/>
          <w:szCs w:val="28"/>
          <w:lang w:eastAsia="ru-RU"/>
        </w:rPr>
        <w:t xml:space="preserve">Доля общего объема долговых обязательств Приморского края на 01.01.2025 в сумме доходов краевого бюджета без учета безвозмездных </w:t>
      </w:r>
      <w:r w:rsidRPr="00E47AA9">
        <w:rPr>
          <w:rFonts w:ascii="Times New Roman" w:eastAsia="Times New Roman" w:hAnsi="Times New Roman" w:cs="Times New Roman"/>
          <w:sz w:val="28"/>
          <w:szCs w:val="28"/>
          <w:lang w:eastAsia="ru-RU"/>
        </w:rPr>
        <w:lastRenderedPageBreak/>
        <w:t xml:space="preserve">поступлений за 2024 год (190686,73 млн рублей) составила 9,55 %, что соответствует требованиям части 4 статьи 107 БК РФ. </w:t>
      </w:r>
      <w:r w:rsidRPr="00E47AA9">
        <w:rPr>
          <w:rFonts w:ascii="Times New Roman" w:eastAsia="Times New Roman" w:hAnsi="Times New Roman" w:cs="Times New Roman"/>
          <w:i/>
          <w:iCs/>
          <w:sz w:val="28"/>
          <w:szCs w:val="28"/>
          <w:lang w:eastAsia="ru-RU"/>
        </w:rPr>
        <w:t xml:space="preserve">Справочно: </w:t>
      </w:r>
      <w:r w:rsidR="00F22C9F" w:rsidRPr="00E47AA9">
        <w:rPr>
          <w:rFonts w:ascii="Times New Roman" w:eastAsia="Times New Roman" w:hAnsi="Times New Roman" w:cs="Times New Roman"/>
          <w:i/>
          <w:iCs/>
          <w:sz w:val="28"/>
          <w:szCs w:val="28"/>
          <w:lang w:eastAsia="ru-RU"/>
        </w:rPr>
        <w:t>п</w:t>
      </w:r>
      <w:r w:rsidRPr="00E47AA9">
        <w:rPr>
          <w:rFonts w:ascii="Times New Roman" w:eastAsia="Times New Roman" w:hAnsi="Times New Roman" w:cs="Times New Roman"/>
          <w:i/>
          <w:iCs/>
          <w:sz w:val="28"/>
          <w:szCs w:val="28"/>
          <w:lang w:eastAsia="ru-RU"/>
        </w:rPr>
        <w:t>о данным Рейтингового агентства "РИА Рейтинг"</w:t>
      </w:r>
      <w:r w:rsidR="00F22C9F" w:rsidRPr="00E47AA9">
        <w:rPr>
          <w:rFonts w:ascii="Times New Roman" w:eastAsia="Times New Roman" w:hAnsi="Times New Roman" w:cs="Times New Roman"/>
          <w:i/>
          <w:iCs/>
          <w:sz w:val="28"/>
          <w:szCs w:val="28"/>
          <w:lang w:eastAsia="ru-RU"/>
        </w:rPr>
        <w:t>,</w:t>
      </w:r>
      <w:r w:rsidRPr="00E47AA9">
        <w:rPr>
          <w:rFonts w:ascii="Times New Roman" w:eastAsia="Times New Roman" w:hAnsi="Times New Roman" w:cs="Times New Roman"/>
          <w:i/>
          <w:iCs/>
          <w:sz w:val="28"/>
          <w:szCs w:val="28"/>
          <w:lang w:eastAsia="ru-RU"/>
        </w:rPr>
        <w:t xml:space="preserve"> в рейтинге субъектов Российской Федерации по уровню долговой нагрузки по итогам 2024 года</w:t>
      </w:r>
      <w:r w:rsidRPr="00E47AA9">
        <w:rPr>
          <w:rStyle w:val="a8"/>
          <w:rFonts w:ascii="Times New Roman" w:eastAsia="Times New Roman" w:hAnsi="Times New Roman"/>
          <w:i/>
          <w:iCs/>
          <w:sz w:val="28"/>
          <w:szCs w:val="28"/>
          <w:lang w:eastAsia="ru-RU"/>
        </w:rPr>
        <w:footnoteReference w:id="102"/>
      </w:r>
      <w:r w:rsidRPr="00E47AA9">
        <w:rPr>
          <w:rFonts w:ascii="Times New Roman" w:eastAsia="Times New Roman" w:hAnsi="Times New Roman" w:cs="Times New Roman"/>
          <w:i/>
          <w:iCs/>
          <w:sz w:val="28"/>
          <w:szCs w:val="28"/>
          <w:lang w:eastAsia="ru-RU"/>
        </w:rPr>
        <w:t xml:space="preserve"> Приморский край занял 10 место с показателем 9,5 %, что ниже общероссийского уровня долговой нагрузки (17,8 %).</w:t>
      </w:r>
    </w:p>
    <w:p w14:paraId="1C8931E4" w14:textId="77777777" w:rsidR="00A02C43" w:rsidRPr="00E47AA9" w:rsidRDefault="00A02C43" w:rsidP="00A02C43">
      <w:pPr>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Анализ изменения объема и структуры государственного долга за 2024 год представлен в таблице.</w:t>
      </w:r>
    </w:p>
    <w:tbl>
      <w:tblPr>
        <w:tblW w:w="9640" w:type="dxa"/>
        <w:tblInd w:w="-284" w:type="dxa"/>
        <w:tblLook w:val="04A0" w:firstRow="1" w:lastRow="0" w:firstColumn="1" w:lastColumn="0" w:noHBand="0" w:noVBand="1"/>
      </w:tblPr>
      <w:tblGrid>
        <w:gridCol w:w="3259"/>
        <w:gridCol w:w="1136"/>
        <w:gridCol w:w="1255"/>
        <w:gridCol w:w="9"/>
        <w:gridCol w:w="1274"/>
        <w:gridCol w:w="1289"/>
        <w:gridCol w:w="1418"/>
      </w:tblGrid>
      <w:tr w:rsidR="00E47AA9" w:rsidRPr="00E47AA9" w14:paraId="246B04A3" w14:textId="77777777" w:rsidTr="00117876">
        <w:trPr>
          <w:trHeight w:val="315"/>
          <w:tblHeader/>
        </w:trPr>
        <w:tc>
          <w:tcPr>
            <w:tcW w:w="3259" w:type="dxa"/>
            <w:tcBorders>
              <w:top w:val="nil"/>
              <w:left w:val="nil"/>
              <w:bottom w:val="nil"/>
              <w:right w:val="nil"/>
            </w:tcBorders>
            <w:shd w:val="clear" w:color="auto" w:fill="auto"/>
            <w:vAlign w:val="center"/>
            <w:hideMark/>
          </w:tcPr>
          <w:p w14:paraId="564BC89A" w14:textId="77777777" w:rsidR="00A02C43" w:rsidRPr="00E47AA9" w:rsidRDefault="00A02C43" w:rsidP="0034644C">
            <w:pPr>
              <w:spacing w:after="0" w:line="240" w:lineRule="auto"/>
              <w:rPr>
                <w:rFonts w:ascii="Times New Roman" w:eastAsia="Times New Roman" w:hAnsi="Times New Roman" w:cs="Times New Roman"/>
                <w:lang w:eastAsia="ru-RU"/>
              </w:rPr>
            </w:pPr>
          </w:p>
        </w:tc>
        <w:tc>
          <w:tcPr>
            <w:tcW w:w="1136" w:type="dxa"/>
            <w:tcBorders>
              <w:top w:val="nil"/>
              <w:left w:val="nil"/>
              <w:bottom w:val="nil"/>
              <w:right w:val="nil"/>
            </w:tcBorders>
            <w:shd w:val="clear" w:color="auto" w:fill="auto"/>
            <w:vAlign w:val="center"/>
            <w:hideMark/>
          </w:tcPr>
          <w:p w14:paraId="345B8E71" w14:textId="77777777" w:rsidR="00A02C43" w:rsidRPr="00E47AA9" w:rsidRDefault="00A02C43" w:rsidP="0034644C">
            <w:pPr>
              <w:spacing w:after="0" w:line="240" w:lineRule="auto"/>
              <w:jc w:val="center"/>
              <w:rPr>
                <w:rFonts w:ascii="Times New Roman" w:eastAsia="Times New Roman" w:hAnsi="Times New Roman" w:cs="Times New Roman"/>
                <w:lang w:eastAsia="ru-RU"/>
              </w:rPr>
            </w:pPr>
          </w:p>
        </w:tc>
        <w:tc>
          <w:tcPr>
            <w:tcW w:w="1255" w:type="dxa"/>
            <w:tcBorders>
              <w:top w:val="nil"/>
              <w:left w:val="nil"/>
              <w:bottom w:val="nil"/>
              <w:right w:val="nil"/>
            </w:tcBorders>
            <w:shd w:val="clear" w:color="auto" w:fill="auto"/>
            <w:vAlign w:val="center"/>
            <w:hideMark/>
          </w:tcPr>
          <w:p w14:paraId="37745E5E" w14:textId="77777777" w:rsidR="00A02C43" w:rsidRPr="00E47AA9" w:rsidRDefault="00A02C43" w:rsidP="0034644C">
            <w:pPr>
              <w:spacing w:after="0" w:line="240" w:lineRule="auto"/>
              <w:rPr>
                <w:rFonts w:ascii="Times New Roman" w:eastAsia="Times New Roman" w:hAnsi="Times New Roman" w:cs="Times New Roman"/>
                <w:lang w:eastAsia="ru-RU"/>
              </w:rPr>
            </w:pPr>
          </w:p>
        </w:tc>
        <w:tc>
          <w:tcPr>
            <w:tcW w:w="1283" w:type="dxa"/>
            <w:gridSpan w:val="2"/>
            <w:tcBorders>
              <w:top w:val="nil"/>
              <w:left w:val="nil"/>
              <w:bottom w:val="nil"/>
              <w:right w:val="nil"/>
            </w:tcBorders>
            <w:shd w:val="clear" w:color="auto" w:fill="auto"/>
            <w:vAlign w:val="center"/>
            <w:hideMark/>
          </w:tcPr>
          <w:p w14:paraId="06550369" w14:textId="77777777" w:rsidR="00A02C43" w:rsidRPr="00E47AA9" w:rsidRDefault="00A02C43" w:rsidP="0034644C">
            <w:pPr>
              <w:spacing w:after="0" w:line="240" w:lineRule="auto"/>
              <w:rPr>
                <w:rFonts w:ascii="Times New Roman" w:eastAsia="Times New Roman" w:hAnsi="Times New Roman" w:cs="Times New Roman"/>
                <w:lang w:eastAsia="ru-RU"/>
              </w:rPr>
            </w:pPr>
          </w:p>
        </w:tc>
        <w:tc>
          <w:tcPr>
            <w:tcW w:w="2707" w:type="dxa"/>
            <w:gridSpan w:val="2"/>
            <w:tcBorders>
              <w:top w:val="nil"/>
              <w:left w:val="nil"/>
              <w:bottom w:val="nil"/>
              <w:right w:val="nil"/>
            </w:tcBorders>
            <w:shd w:val="clear" w:color="auto" w:fill="auto"/>
            <w:vAlign w:val="center"/>
            <w:hideMark/>
          </w:tcPr>
          <w:p w14:paraId="06707CA9" w14:textId="77777777" w:rsidR="00A02C43" w:rsidRPr="00E47AA9" w:rsidRDefault="00A02C43" w:rsidP="0034644C">
            <w:pPr>
              <w:spacing w:after="0" w:line="240" w:lineRule="auto"/>
              <w:jc w:val="right"/>
              <w:rPr>
                <w:rFonts w:ascii="Times New Roman" w:eastAsia="Times New Roman" w:hAnsi="Times New Roman" w:cs="Times New Roman"/>
                <w:lang w:eastAsia="ru-RU"/>
              </w:rPr>
            </w:pPr>
            <w:r w:rsidRPr="00E47AA9">
              <w:rPr>
                <w:rFonts w:ascii="Times New Roman" w:eastAsia="Times New Roman" w:hAnsi="Times New Roman" w:cs="Times New Roman"/>
                <w:sz w:val="24"/>
                <w:lang w:eastAsia="ru-RU"/>
              </w:rPr>
              <w:t>(млн рублей)</w:t>
            </w:r>
          </w:p>
        </w:tc>
      </w:tr>
      <w:tr w:rsidR="00E47AA9" w:rsidRPr="00E47AA9" w14:paraId="385697A6" w14:textId="77777777" w:rsidTr="00117876">
        <w:trPr>
          <w:trHeight w:val="305"/>
          <w:tblHeader/>
        </w:trPr>
        <w:tc>
          <w:tcPr>
            <w:tcW w:w="32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9D9F42" w14:textId="77777777" w:rsidR="00A02C43" w:rsidRPr="00E47AA9" w:rsidRDefault="00A02C43" w:rsidP="0034644C">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Показатели</w:t>
            </w:r>
          </w:p>
        </w:tc>
        <w:tc>
          <w:tcPr>
            <w:tcW w:w="4963" w:type="dxa"/>
            <w:gridSpan w:val="5"/>
            <w:tcBorders>
              <w:top w:val="single" w:sz="4" w:space="0" w:color="auto"/>
              <w:left w:val="nil"/>
              <w:bottom w:val="single" w:sz="4" w:space="0" w:color="auto"/>
              <w:right w:val="single" w:sz="4" w:space="0" w:color="auto"/>
            </w:tcBorders>
            <w:shd w:val="clear" w:color="auto" w:fill="auto"/>
            <w:vAlign w:val="center"/>
            <w:hideMark/>
          </w:tcPr>
          <w:p w14:paraId="11F369BE" w14:textId="77777777" w:rsidR="00A02C43" w:rsidRPr="00E47AA9" w:rsidRDefault="00A02C43" w:rsidP="0034644C">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Объем государственного внутреннего долга</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22C4B6E" w14:textId="77777777" w:rsidR="00A02C43" w:rsidRPr="00E47AA9" w:rsidRDefault="00A02C43" w:rsidP="0034644C">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Изменение </w:t>
            </w:r>
          </w:p>
        </w:tc>
      </w:tr>
      <w:tr w:rsidR="00E47AA9" w:rsidRPr="00E47AA9" w14:paraId="78949B1F" w14:textId="77777777" w:rsidTr="00117876">
        <w:trPr>
          <w:trHeight w:val="200"/>
          <w:tblHeader/>
        </w:trPr>
        <w:tc>
          <w:tcPr>
            <w:tcW w:w="3259" w:type="dxa"/>
            <w:vMerge/>
            <w:tcBorders>
              <w:top w:val="single" w:sz="4" w:space="0" w:color="auto"/>
              <w:left w:val="single" w:sz="4" w:space="0" w:color="auto"/>
              <w:bottom w:val="single" w:sz="4" w:space="0" w:color="auto"/>
              <w:right w:val="single" w:sz="4" w:space="0" w:color="auto"/>
            </w:tcBorders>
            <w:vAlign w:val="center"/>
            <w:hideMark/>
          </w:tcPr>
          <w:p w14:paraId="6D04893A" w14:textId="77777777" w:rsidR="00A02C43" w:rsidRPr="00E47AA9" w:rsidRDefault="00A02C43" w:rsidP="0034644C">
            <w:pPr>
              <w:spacing w:after="0" w:line="240" w:lineRule="auto"/>
              <w:rPr>
                <w:rFonts w:ascii="Times New Roman" w:eastAsia="Times New Roman" w:hAnsi="Times New Roman" w:cs="Times New Roman"/>
                <w:lang w:eastAsia="ru-RU"/>
              </w:rPr>
            </w:pPr>
          </w:p>
        </w:tc>
        <w:tc>
          <w:tcPr>
            <w:tcW w:w="2400" w:type="dxa"/>
            <w:gridSpan w:val="3"/>
            <w:tcBorders>
              <w:top w:val="single" w:sz="4" w:space="0" w:color="auto"/>
              <w:left w:val="nil"/>
              <w:bottom w:val="single" w:sz="4" w:space="0" w:color="auto"/>
              <w:right w:val="single" w:sz="4" w:space="0" w:color="auto"/>
            </w:tcBorders>
            <w:shd w:val="clear" w:color="auto" w:fill="auto"/>
            <w:vAlign w:val="center"/>
            <w:hideMark/>
          </w:tcPr>
          <w:p w14:paraId="621172AD" w14:textId="77777777" w:rsidR="00A02C43" w:rsidRPr="00E47AA9" w:rsidRDefault="00A02C43" w:rsidP="0034644C">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на начало года</w:t>
            </w:r>
          </w:p>
        </w:tc>
        <w:tc>
          <w:tcPr>
            <w:tcW w:w="2563" w:type="dxa"/>
            <w:gridSpan w:val="2"/>
            <w:tcBorders>
              <w:top w:val="single" w:sz="4" w:space="0" w:color="auto"/>
              <w:left w:val="nil"/>
              <w:bottom w:val="single" w:sz="4" w:space="0" w:color="auto"/>
              <w:right w:val="single" w:sz="4" w:space="0" w:color="auto"/>
            </w:tcBorders>
            <w:shd w:val="clear" w:color="auto" w:fill="auto"/>
            <w:vAlign w:val="center"/>
            <w:hideMark/>
          </w:tcPr>
          <w:p w14:paraId="52693362" w14:textId="77777777" w:rsidR="00A02C43" w:rsidRPr="00E47AA9" w:rsidRDefault="00A02C43" w:rsidP="0034644C">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на конец года</w:t>
            </w:r>
          </w:p>
        </w:tc>
        <w:tc>
          <w:tcPr>
            <w:tcW w:w="1418" w:type="dxa"/>
            <w:tcBorders>
              <w:top w:val="nil"/>
              <w:left w:val="nil"/>
              <w:bottom w:val="single" w:sz="4" w:space="0" w:color="auto"/>
              <w:right w:val="single" w:sz="4" w:space="0" w:color="auto"/>
            </w:tcBorders>
            <w:shd w:val="clear" w:color="auto" w:fill="auto"/>
            <w:vAlign w:val="center"/>
            <w:hideMark/>
          </w:tcPr>
          <w:p w14:paraId="28E51CF5" w14:textId="77777777" w:rsidR="00A02C43" w:rsidRPr="00E47AA9" w:rsidRDefault="00A02C43" w:rsidP="0034644C">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за 2024 год</w:t>
            </w:r>
          </w:p>
        </w:tc>
      </w:tr>
      <w:tr w:rsidR="00E47AA9" w:rsidRPr="00E47AA9" w14:paraId="3D7D3319" w14:textId="77777777" w:rsidTr="00117876">
        <w:trPr>
          <w:trHeight w:val="600"/>
          <w:tblHeader/>
        </w:trPr>
        <w:tc>
          <w:tcPr>
            <w:tcW w:w="3259" w:type="dxa"/>
            <w:vMerge/>
            <w:tcBorders>
              <w:top w:val="single" w:sz="4" w:space="0" w:color="auto"/>
              <w:left w:val="single" w:sz="4" w:space="0" w:color="auto"/>
              <w:bottom w:val="single" w:sz="4" w:space="0" w:color="auto"/>
              <w:right w:val="single" w:sz="4" w:space="0" w:color="auto"/>
            </w:tcBorders>
            <w:vAlign w:val="center"/>
            <w:hideMark/>
          </w:tcPr>
          <w:p w14:paraId="780FF656" w14:textId="77777777" w:rsidR="00A02C43" w:rsidRPr="00E47AA9" w:rsidRDefault="00A02C43" w:rsidP="0034644C">
            <w:pPr>
              <w:spacing w:after="0" w:line="240" w:lineRule="auto"/>
              <w:rPr>
                <w:rFonts w:ascii="Times New Roman" w:eastAsia="Times New Roman" w:hAnsi="Times New Roman" w:cs="Times New Roman"/>
                <w:lang w:eastAsia="ru-RU"/>
              </w:rPr>
            </w:pPr>
          </w:p>
        </w:tc>
        <w:tc>
          <w:tcPr>
            <w:tcW w:w="1136" w:type="dxa"/>
            <w:tcBorders>
              <w:top w:val="nil"/>
              <w:left w:val="nil"/>
              <w:bottom w:val="single" w:sz="4" w:space="0" w:color="auto"/>
              <w:right w:val="single" w:sz="4" w:space="0" w:color="auto"/>
            </w:tcBorders>
            <w:shd w:val="clear" w:color="auto" w:fill="auto"/>
            <w:vAlign w:val="center"/>
            <w:hideMark/>
          </w:tcPr>
          <w:p w14:paraId="176A27AC" w14:textId="77777777" w:rsidR="00A02C43" w:rsidRPr="00E47AA9" w:rsidRDefault="00A02C43" w:rsidP="0034644C">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сумма</w:t>
            </w:r>
          </w:p>
        </w:tc>
        <w:tc>
          <w:tcPr>
            <w:tcW w:w="1255" w:type="dxa"/>
            <w:tcBorders>
              <w:top w:val="nil"/>
              <w:left w:val="nil"/>
              <w:bottom w:val="single" w:sz="4" w:space="0" w:color="auto"/>
              <w:right w:val="single" w:sz="4" w:space="0" w:color="auto"/>
            </w:tcBorders>
            <w:shd w:val="clear" w:color="auto" w:fill="auto"/>
            <w:vAlign w:val="center"/>
            <w:hideMark/>
          </w:tcPr>
          <w:p w14:paraId="5E80B0A6" w14:textId="77777777" w:rsidR="00A02C43" w:rsidRPr="00E47AA9" w:rsidRDefault="00A02C43" w:rsidP="0034644C">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структура (%)</w:t>
            </w:r>
          </w:p>
        </w:tc>
        <w:tc>
          <w:tcPr>
            <w:tcW w:w="1283" w:type="dxa"/>
            <w:gridSpan w:val="2"/>
            <w:tcBorders>
              <w:top w:val="nil"/>
              <w:left w:val="nil"/>
              <w:bottom w:val="single" w:sz="4" w:space="0" w:color="auto"/>
              <w:right w:val="single" w:sz="4" w:space="0" w:color="auto"/>
            </w:tcBorders>
            <w:shd w:val="clear" w:color="auto" w:fill="auto"/>
            <w:vAlign w:val="center"/>
            <w:hideMark/>
          </w:tcPr>
          <w:p w14:paraId="0A05AEDE" w14:textId="77777777" w:rsidR="00A02C43" w:rsidRPr="00E47AA9" w:rsidRDefault="00A02C43" w:rsidP="0034644C">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сумма</w:t>
            </w:r>
          </w:p>
        </w:tc>
        <w:tc>
          <w:tcPr>
            <w:tcW w:w="1289" w:type="dxa"/>
            <w:tcBorders>
              <w:top w:val="nil"/>
              <w:left w:val="nil"/>
              <w:bottom w:val="single" w:sz="4" w:space="0" w:color="auto"/>
              <w:right w:val="single" w:sz="4" w:space="0" w:color="auto"/>
            </w:tcBorders>
            <w:shd w:val="clear" w:color="auto" w:fill="auto"/>
            <w:vAlign w:val="center"/>
            <w:hideMark/>
          </w:tcPr>
          <w:p w14:paraId="171236F8" w14:textId="77777777" w:rsidR="00A02C43" w:rsidRPr="00E47AA9" w:rsidRDefault="00A02C43" w:rsidP="0034644C">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структура (%)</w:t>
            </w:r>
          </w:p>
        </w:tc>
        <w:tc>
          <w:tcPr>
            <w:tcW w:w="1418" w:type="dxa"/>
            <w:tcBorders>
              <w:top w:val="nil"/>
              <w:left w:val="nil"/>
              <w:bottom w:val="single" w:sz="4" w:space="0" w:color="auto"/>
              <w:right w:val="single" w:sz="4" w:space="0" w:color="auto"/>
            </w:tcBorders>
            <w:shd w:val="clear" w:color="auto" w:fill="auto"/>
            <w:vAlign w:val="center"/>
            <w:hideMark/>
          </w:tcPr>
          <w:p w14:paraId="30D3840A" w14:textId="77777777" w:rsidR="00A02C43" w:rsidRPr="00E47AA9" w:rsidRDefault="00A02C43" w:rsidP="0034644C">
            <w:pPr>
              <w:spacing w:after="0" w:line="240" w:lineRule="auto"/>
              <w:jc w:val="center"/>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 (+;-)</w:t>
            </w:r>
          </w:p>
        </w:tc>
      </w:tr>
      <w:tr w:rsidR="00E47AA9" w:rsidRPr="00E47AA9" w14:paraId="6658844A" w14:textId="77777777" w:rsidTr="00117876">
        <w:trPr>
          <w:trHeight w:val="439"/>
        </w:trPr>
        <w:tc>
          <w:tcPr>
            <w:tcW w:w="3259" w:type="dxa"/>
            <w:tcBorders>
              <w:top w:val="nil"/>
              <w:left w:val="single" w:sz="4" w:space="0" w:color="auto"/>
              <w:bottom w:val="single" w:sz="4" w:space="0" w:color="auto"/>
              <w:right w:val="single" w:sz="4" w:space="0" w:color="auto"/>
            </w:tcBorders>
            <w:shd w:val="clear" w:color="auto" w:fill="auto"/>
            <w:vAlign w:val="bottom"/>
            <w:hideMark/>
          </w:tcPr>
          <w:p w14:paraId="071E1A28" w14:textId="77777777" w:rsidR="00A02C43" w:rsidRPr="00E47AA9" w:rsidRDefault="00A02C43" w:rsidP="0034644C">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Бюджетные кредиты, привлеченные в краевой бюджет от других бюджетов бюджетной системы Российской Федерации</w:t>
            </w:r>
            <w:r w:rsidRPr="00E47AA9">
              <w:rPr>
                <w:rStyle w:val="a8"/>
                <w:rFonts w:ascii="Times New Roman" w:eastAsia="Times New Roman" w:hAnsi="Times New Roman"/>
                <w:lang w:eastAsia="ru-RU"/>
              </w:rPr>
              <w:footnoteReference w:id="103"/>
            </w:r>
            <w:r w:rsidRPr="00E47AA9">
              <w:rPr>
                <w:rFonts w:ascii="Times New Roman" w:eastAsia="Times New Roman" w:hAnsi="Times New Roman" w:cs="Times New Roman"/>
                <w:lang w:eastAsia="ru-RU"/>
              </w:rPr>
              <w:t xml:space="preserve"> </w:t>
            </w:r>
          </w:p>
        </w:tc>
        <w:tc>
          <w:tcPr>
            <w:tcW w:w="1136" w:type="dxa"/>
            <w:tcBorders>
              <w:top w:val="nil"/>
              <w:left w:val="nil"/>
              <w:bottom w:val="single" w:sz="8" w:space="0" w:color="auto"/>
              <w:right w:val="single" w:sz="8" w:space="0" w:color="auto"/>
            </w:tcBorders>
            <w:shd w:val="clear" w:color="auto" w:fill="auto"/>
            <w:vAlign w:val="center"/>
            <w:hideMark/>
          </w:tcPr>
          <w:p w14:paraId="28DE1C5E" w14:textId="77777777" w:rsidR="00A02C43" w:rsidRPr="00E47AA9" w:rsidRDefault="00A02C43" w:rsidP="0034644C">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19 223,02</w:t>
            </w:r>
          </w:p>
        </w:tc>
        <w:tc>
          <w:tcPr>
            <w:tcW w:w="1255" w:type="dxa"/>
            <w:tcBorders>
              <w:top w:val="nil"/>
              <w:left w:val="nil"/>
              <w:bottom w:val="single" w:sz="8" w:space="0" w:color="auto"/>
              <w:right w:val="single" w:sz="8" w:space="0" w:color="auto"/>
            </w:tcBorders>
            <w:shd w:val="clear" w:color="auto" w:fill="auto"/>
            <w:vAlign w:val="center"/>
          </w:tcPr>
          <w:p w14:paraId="6BF2FF96" w14:textId="77777777" w:rsidR="00A02C43" w:rsidRPr="00E47AA9" w:rsidRDefault="00A02C43" w:rsidP="0034644C">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97,77</w:t>
            </w:r>
          </w:p>
        </w:tc>
        <w:tc>
          <w:tcPr>
            <w:tcW w:w="1283" w:type="dxa"/>
            <w:gridSpan w:val="2"/>
            <w:tcBorders>
              <w:top w:val="nil"/>
              <w:left w:val="nil"/>
              <w:bottom w:val="single" w:sz="8" w:space="0" w:color="auto"/>
              <w:right w:val="single" w:sz="8" w:space="0" w:color="auto"/>
            </w:tcBorders>
            <w:shd w:val="clear" w:color="auto" w:fill="auto"/>
            <w:vAlign w:val="center"/>
          </w:tcPr>
          <w:p w14:paraId="64441B98" w14:textId="77777777" w:rsidR="00A02C43" w:rsidRPr="00E47AA9" w:rsidRDefault="00A02C43" w:rsidP="0034644C">
            <w:pPr>
              <w:spacing w:after="0" w:line="240" w:lineRule="auto"/>
              <w:jc w:val="right"/>
              <w:rPr>
                <w:rFonts w:ascii="Times New Roman" w:eastAsia="Times New Roman" w:hAnsi="Times New Roman" w:cs="Times New Roman"/>
                <w:lang w:eastAsia="ru-RU"/>
              </w:rPr>
            </w:pPr>
            <w:bookmarkStart w:id="28" w:name="RANGE!F4"/>
            <w:r w:rsidRPr="00E47AA9">
              <w:rPr>
                <w:rFonts w:ascii="Times New Roman" w:hAnsi="Times New Roman" w:cs="Times New Roman"/>
              </w:rPr>
              <w:t>18 202,81</w:t>
            </w:r>
            <w:bookmarkEnd w:id="28"/>
          </w:p>
        </w:tc>
        <w:tc>
          <w:tcPr>
            <w:tcW w:w="1289" w:type="dxa"/>
            <w:tcBorders>
              <w:top w:val="nil"/>
              <w:left w:val="nil"/>
              <w:bottom w:val="single" w:sz="8" w:space="0" w:color="auto"/>
              <w:right w:val="single" w:sz="8" w:space="0" w:color="auto"/>
            </w:tcBorders>
            <w:shd w:val="clear" w:color="auto" w:fill="auto"/>
            <w:vAlign w:val="center"/>
            <w:hideMark/>
          </w:tcPr>
          <w:p w14:paraId="23E38B09" w14:textId="77777777" w:rsidR="00A02C43" w:rsidRPr="00E47AA9" w:rsidRDefault="00A02C43" w:rsidP="0034644C">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100,00</w:t>
            </w:r>
          </w:p>
        </w:tc>
        <w:tc>
          <w:tcPr>
            <w:tcW w:w="1418" w:type="dxa"/>
            <w:tcBorders>
              <w:top w:val="single" w:sz="8" w:space="0" w:color="auto"/>
              <w:left w:val="nil"/>
              <w:bottom w:val="single" w:sz="8" w:space="0" w:color="auto"/>
              <w:right w:val="single" w:sz="8" w:space="0" w:color="auto"/>
            </w:tcBorders>
            <w:shd w:val="clear" w:color="auto" w:fill="auto"/>
            <w:vAlign w:val="center"/>
          </w:tcPr>
          <w:p w14:paraId="6B599290" w14:textId="77777777" w:rsidR="00A02C43" w:rsidRPr="00E47AA9" w:rsidRDefault="00A02C43" w:rsidP="0034644C">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-1 020,21</w:t>
            </w:r>
          </w:p>
        </w:tc>
      </w:tr>
      <w:tr w:rsidR="00E47AA9" w:rsidRPr="00E47AA9" w14:paraId="59C63F4D" w14:textId="77777777" w:rsidTr="00117876">
        <w:trPr>
          <w:trHeight w:val="439"/>
        </w:trPr>
        <w:tc>
          <w:tcPr>
            <w:tcW w:w="3259" w:type="dxa"/>
            <w:tcBorders>
              <w:top w:val="nil"/>
              <w:left w:val="single" w:sz="4" w:space="0" w:color="auto"/>
              <w:bottom w:val="single" w:sz="4" w:space="0" w:color="auto"/>
              <w:right w:val="single" w:sz="4" w:space="0" w:color="auto"/>
            </w:tcBorders>
            <w:shd w:val="clear" w:color="auto" w:fill="auto"/>
            <w:vAlign w:val="bottom"/>
          </w:tcPr>
          <w:p w14:paraId="6CD7ECF6" w14:textId="77777777" w:rsidR="00A02C43" w:rsidRPr="00E47AA9" w:rsidRDefault="00A02C43" w:rsidP="0034644C">
            <w:pPr>
              <w:spacing w:after="0" w:line="240" w:lineRule="auto"/>
              <w:rPr>
                <w:rFonts w:ascii="Times New Roman" w:eastAsia="Times New Roman" w:hAnsi="Times New Roman" w:cs="Times New Roman"/>
                <w:i/>
                <w:iCs/>
                <w:lang w:eastAsia="ru-RU"/>
              </w:rPr>
            </w:pPr>
            <w:r w:rsidRPr="00E47AA9">
              <w:rPr>
                <w:rFonts w:ascii="Times New Roman" w:eastAsia="Times New Roman" w:hAnsi="Times New Roman" w:cs="Times New Roman"/>
                <w:i/>
                <w:iCs/>
                <w:lang w:eastAsia="ru-RU"/>
              </w:rPr>
              <w:t>бюджетные кредиты из других бюджетов бюджетной системы</w:t>
            </w:r>
          </w:p>
        </w:tc>
        <w:tc>
          <w:tcPr>
            <w:tcW w:w="1136" w:type="dxa"/>
            <w:tcBorders>
              <w:top w:val="nil"/>
              <w:left w:val="nil"/>
              <w:bottom w:val="single" w:sz="8" w:space="0" w:color="auto"/>
              <w:right w:val="single" w:sz="8" w:space="0" w:color="auto"/>
            </w:tcBorders>
            <w:shd w:val="clear" w:color="auto" w:fill="auto"/>
            <w:vAlign w:val="center"/>
          </w:tcPr>
          <w:p w14:paraId="32AA90A7" w14:textId="77777777" w:rsidR="00A02C43" w:rsidRPr="00E47AA9" w:rsidRDefault="00A02C43" w:rsidP="0034644C">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2 171,53</w:t>
            </w:r>
          </w:p>
        </w:tc>
        <w:tc>
          <w:tcPr>
            <w:tcW w:w="1255" w:type="dxa"/>
            <w:tcBorders>
              <w:top w:val="nil"/>
              <w:left w:val="nil"/>
              <w:bottom w:val="single" w:sz="8" w:space="0" w:color="auto"/>
              <w:right w:val="single" w:sz="8" w:space="0" w:color="auto"/>
            </w:tcBorders>
            <w:shd w:val="clear" w:color="auto" w:fill="auto"/>
            <w:vAlign w:val="center"/>
          </w:tcPr>
          <w:p w14:paraId="547C371A" w14:textId="77777777" w:rsidR="00A02C43" w:rsidRPr="00E47AA9" w:rsidRDefault="00A02C43" w:rsidP="0034644C">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11,04</w:t>
            </w:r>
          </w:p>
        </w:tc>
        <w:tc>
          <w:tcPr>
            <w:tcW w:w="1283" w:type="dxa"/>
            <w:gridSpan w:val="2"/>
            <w:tcBorders>
              <w:top w:val="nil"/>
              <w:left w:val="nil"/>
              <w:bottom w:val="single" w:sz="8" w:space="0" w:color="auto"/>
              <w:right w:val="single" w:sz="8" w:space="0" w:color="auto"/>
            </w:tcBorders>
            <w:shd w:val="clear" w:color="auto" w:fill="auto"/>
            <w:vAlign w:val="center"/>
          </w:tcPr>
          <w:p w14:paraId="3C5AB185" w14:textId="77777777" w:rsidR="00A02C43" w:rsidRPr="00E47AA9" w:rsidRDefault="00A02C43" w:rsidP="0034644C">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908,73</w:t>
            </w:r>
          </w:p>
        </w:tc>
        <w:tc>
          <w:tcPr>
            <w:tcW w:w="1289" w:type="dxa"/>
            <w:tcBorders>
              <w:top w:val="nil"/>
              <w:left w:val="nil"/>
              <w:bottom w:val="single" w:sz="8" w:space="0" w:color="auto"/>
              <w:right w:val="single" w:sz="8" w:space="0" w:color="auto"/>
            </w:tcBorders>
            <w:shd w:val="clear" w:color="auto" w:fill="auto"/>
            <w:vAlign w:val="center"/>
          </w:tcPr>
          <w:p w14:paraId="7E590352" w14:textId="77777777" w:rsidR="00A02C43" w:rsidRPr="00E47AA9" w:rsidRDefault="00A02C43" w:rsidP="0034644C">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4,99</w:t>
            </w:r>
          </w:p>
        </w:tc>
        <w:tc>
          <w:tcPr>
            <w:tcW w:w="1418" w:type="dxa"/>
            <w:tcBorders>
              <w:top w:val="nil"/>
              <w:left w:val="nil"/>
              <w:bottom w:val="single" w:sz="8" w:space="0" w:color="auto"/>
              <w:right w:val="single" w:sz="8" w:space="0" w:color="auto"/>
            </w:tcBorders>
            <w:shd w:val="clear" w:color="auto" w:fill="auto"/>
            <w:vAlign w:val="center"/>
          </w:tcPr>
          <w:p w14:paraId="37E14FFC" w14:textId="77777777" w:rsidR="00A02C43" w:rsidRPr="00E47AA9" w:rsidRDefault="00A02C43" w:rsidP="0034644C">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-1 262,80</w:t>
            </w:r>
          </w:p>
        </w:tc>
      </w:tr>
      <w:tr w:rsidR="00E47AA9" w:rsidRPr="00E47AA9" w14:paraId="0AD3B9F4" w14:textId="77777777" w:rsidTr="00117876">
        <w:trPr>
          <w:trHeight w:val="439"/>
        </w:trPr>
        <w:tc>
          <w:tcPr>
            <w:tcW w:w="3259" w:type="dxa"/>
            <w:tcBorders>
              <w:top w:val="nil"/>
              <w:left w:val="single" w:sz="4" w:space="0" w:color="auto"/>
              <w:bottom w:val="single" w:sz="4" w:space="0" w:color="auto"/>
              <w:right w:val="single" w:sz="4" w:space="0" w:color="auto"/>
            </w:tcBorders>
            <w:shd w:val="clear" w:color="auto" w:fill="auto"/>
            <w:vAlign w:val="bottom"/>
          </w:tcPr>
          <w:p w14:paraId="25775520" w14:textId="77777777" w:rsidR="00A02C43" w:rsidRPr="00E47AA9" w:rsidRDefault="00A02C43" w:rsidP="0034644C">
            <w:pPr>
              <w:spacing w:after="0" w:line="240" w:lineRule="auto"/>
              <w:rPr>
                <w:rFonts w:ascii="Times New Roman" w:eastAsia="Times New Roman" w:hAnsi="Times New Roman" w:cs="Times New Roman"/>
                <w:i/>
                <w:iCs/>
                <w:lang w:eastAsia="ru-RU"/>
              </w:rPr>
            </w:pPr>
            <w:r w:rsidRPr="00E47AA9">
              <w:rPr>
                <w:rFonts w:ascii="Times New Roman" w:eastAsia="Times New Roman" w:hAnsi="Times New Roman" w:cs="Times New Roman"/>
                <w:i/>
                <w:iCs/>
                <w:lang w:eastAsia="ru-RU"/>
              </w:rPr>
              <w:t>бюджетные кредиты на финансовое обеспечение реализации инфраструктурных проектов</w:t>
            </w:r>
          </w:p>
        </w:tc>
        <w:tc>
          <w:tcPr>
            <w:tcW w:w="1136" w:type="dxa"/>
            <w:tcBorders>
              <w:top w:val="nil"/>
              <w:left w:val="nil"/>
              <w:bottom w:val="single" w:sz="8" w:space="0" w:color="auto"/>
              <w:right w:val="single" w:sz="8" w:space="0" w:color="auto"/>
            </w:tcBorders>
            <w:shd w:val="clear" w:color="auto" w:fill="auto"/>
            <w:vAlign w:val="center"/>
          </w:tcPr>
          <w:p w14:paraId="6E097288" w14:textId="77777777" w:rsidR="00A02C43" w:rsidRPr="00E47AA9" w:rsidRDefault="00A02C43" w:rsidP="0034644C">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8 564,04</w:t>
            </w:r>
          </w:p>
        </w:tc>
        <w:tc>
          <w:tcPr>
            <w:tcW w:w="1255" w:type="dxa"/>
            <w:tcBorders>
              <w:top w:val="nil"/>
              <w:left w:val="nil"/>
              <w:bottom w:val="single" w:sz="8" w:space="0" w:color="auto"/>
              <w:right w:val="single" w:sz="8" w:space="0" w:color="auto"/>
            </w:tcBorders>
            <w:shd w:val="clear" w:color="auto" w:fill="auto"/>
            <w:vAlign w:val="center"/>
          </w:tcPr>
          <w:p w14:paraId="7B7BB74D" w14:textId="77777777" w:rsidR="00A02C43" w:rsidRPr="00E47AA9" w:rsidRDefault="00A02C43" w:rsidP="0034644C">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43,56</w:t>
            </w:r>
          </w:p>
        </w:tc>
        <w:tc>
          <w:tcPr>
            <w:tcW w:w="1283" w:type="dxa"/>
            <w:gridSpan w:val="2"/>
            <w:tcBorders>
              <w:top w:val="nil"/>
              <w:left w:val="nil"/>
              <w:bottom w:val="single" w:sz="8" w:space="0" w:color="auto"/>
              <w:right w:val="single" w:sz="8" w:space="0" w:color="auto"/>
            </w:tcBorders>
            <w:shd w:val="clear" w:color="auto" w:fill="auto"/>
            <w:vAlign w:val="center"/>
          </w:tcPr>
          <w:p w14:paraId="5433F464" w14:textId="77777777" w:rsidR="00A02C43" w:rsidRPr="00E47AA9" w:rsidRDefault="00A02C43" w:rsidP="0034644C">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8 837,55</w:t>
            </w:r>
          </w:p>
        </w:tc>
        <w:tc>
          <w:tcPr>
            <w:tcW w:w="1289" w:type="dxa"/>
            <w:tcBorders>
              <w:top w:val="nil"/>
              <w:left w:val="nil"/>
              <w:bottom w:val="single" w:sz="8" w:space="0" w:color="auto"/>
              <w:right w:val="single" w:sz="8" w:space="0" w:color="auto"/>
            </w:tcBorders>
            <w:shd w:val="clear" w:color="auto" w:fill="auto"/>
            <w:vAlign w:val="center"/>
          </w:tcPr>
          <w:p w14:paraId="68337E10" w14:textId="77777777" w:rsidR="00A02C43" w:rsidRPr="00E47AA9" w:rsidRDefault="00A02C43" w:rsidP="0034644C">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i/>
                <w:iCs/>
              </w:rPr>
              <w:t>48,55</w:t>
            </w:r>
          </w:p>
        </w:tc>
        <w:tc>
          <w:tcPr>
            <w:tcW w:w="1418" w:type="dxa"/>
            <w:tcBorders>
              <w:top w:val="nil"/>
              <w:left w:val="nil"/>
              <w:bottom w:val="single" w:sz="8" w:space="0" w:color="auto"/>
              <w:right w:val="single" w:sz="8" w:space="0" w:color="auto"/>
            </w:tcBorders>
            <w:shd w:val="clear" w:color="auto" w:fill="auto"/>
            <w:vAlign w:val="center"/>
          </w:tcPr>
          <w:p w14:paraId="1A780E92" w14:textId="77777777" w:rsidR="00A02C43" w:rsidRPr="00E47AA9" w:rsidRDefault="00A02C43" w:rsidP="0034644C">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273,51</w:t>
            </w:r>
          </w:p>
        </w:tc>
      </w:tr>
      <w:tr w:rsidR="00E47AA9" w:rsidRPr="00E47AA9" w14:paraId="6229E3C3" w14:textId="77777777" w:rsidTr="00117876">
        <w:trPr>
          <w:trHeight w:val="439"/>
        </w:trPr>
        <w:tc>
          <w:tcPr>
            <w:tcW w:w="3259" w:type="dxa"/>
            <w:tcBorders>
              <w:top w:val="nil"/>
              <w:left w:val="single" w:sz="4" w:space="0" w:color="auto"/>
              <w:bottom w:val="single" w:sz="4" w:space="0" w:color="auto"/>
              <w:right w:val="single" w:sz="4" w:space="0" w:color="auto"/>
            </w:tcBorders>
            <w:shd w:val="clear" w:color="auto" w:fill="auto"/>
            <w:vAlign w:val="bottom"/>
          </w:tcPr>
          <w:p w14:paraId="779180FB" w14:textId="77777777" w:rsidR="00A02C43" w:rsidRPr="00E47AA9" w:rsidRDefault="00A02C43" w:rsidP="0034644C">
            <w:pPr>
              <w:spacing w:after="0" w:line="240" w:lineRule="auto"/>
              <w:rPr>
                <w:rFonts w:ascii="Times New Roman" w:eastAsia="Times New Roman" w:hAnsi="Times New Roman" w:cs="Times New Roman"/>
                <w:i/>
                <w:iCs/>
                <w:lang w:eastAsia="ru-RU"/>
              </w:rPr>
            </w:pPr>
            <w:r w:rsidRPr="00E47AA9">
              <w:rPr>
                <w:rFonts w:ascii="Times New Roman" w:eastAsia="Times New Roman" w:hAnsi="Times New Roman" w:cs="Times New Roman"/>
                <w:i/>
                <w:iCs/>
                <w:lang w:eastAsia="ru-RU"/>
              </w:rPr>
              <w:t>специальные казначейские кредиты</w:t>
            </w:r>
          </w:p>
        </w:tc>
        <w:tc>
          <w:tcPr>
            <w:tcW w:w="1136" w:type="dxa"/>
            <w:tcBorders>
              <w:top w:val="nil"/>
              <w:left w:val="nil"/>
              <w:bottom w:val="single" w:sz="8" w:space="0" w:color="auto"/>
              <w:right w:val="single" w:sz="8" w:space="0" w:color="auto"/>
            </w:tcBorders>
            <w:shd w:val="clear" w:color="auto" w:fill="auto"/>
            <w:vAlign w:val="center"/>
          </w:tcPr>
          <w:p w14:paraId="240E17FE" w14:textId="77777777" w:rsidR="00A02C43" w:rsidRPr="00E47AA9" w:rsidRDefault="00A02C43" w:rsidP="0034644C">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8 487,45</w:t>
            </w:r>
          </w:p>
        </w:tc>
        <w:tc>
          <w:tcPr>
            <w:tcW w:w="1255" w:type="dxa"/>
            <w:tcBorders>
              <w:top w:val="nil"/>
              <w:left w:val="nil"/>
              <w:bottom w:val="single" w:sz="8" w:space="0" w:color="auto"/>
              <w:right w:val="single" w:sz="8" w:space="0" w:color="auto"/>
            </w:tcBorders>
            <w:shd w:val="clear" w:color="auto" w:fill="auto"/>
            <w:vAlign w:val="center"/>
          </w:tcPr>
          <w:p w14:paraId="4BBB3A06" w14:textId="77777777" w:rsidR="00A02C43" w:rsidRPr="00E47AA9" w:rsidRDefault="00A02C43" w:rsidP="0034644C">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43,17</w:t>
            </w:r>
          </w:p>
        </w:tc>
        <w:tc>
          <w:tcPr>
            <w:tcW w:w="1283" w:type="dxa"/>
            <w:gridSpan w:val="2"/>
            <w:tcBorders>
              <w:top w:val="nil"/>
              <w:left w:val="nil"/>
              <w:bottom w:val="single" w:sz="8" w:space="0" w:color="auto"/>
              <w:right w:val="single" w:sz="8" w:space="0" w:color="auto"/>
            </w:tcBorders>
            <w:shd w:val="clear" w:color="auto" w:fill="auto"/>
            <w:vAlign w:val="center"/>
          </w:tcPr>
          <w:p w14:paraId="68ADCE58" w14:textId="77777777" w:rsidR="00A02C43" w:rsidRPr="00E47AA9" w:rsidRDefault="00A02C43" w:rsidP="0034644C">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8 456,52</w:t>
            </w:r>
          </w:p>
        </w:tc>
        <w:tc>
          <w:tcPr>
            <w:tcW w:w="1289" w:type="dxa"/>
            <w:tcBorders>
              <w:top w:val="nil"/>
              <w:left w:val="nil"/>
              <w:bottom w:val="single" w:sz="8" w:space="0" w:color="auto"/>
              <w:right w:val="single" w:sz="8" w:space="0" w:color="auto"/>
            </w:tcBorders>
            <w:shd w:val="clear" w:color="auto" w:fill="auto"/>
            <w:vAlign w:val="center"/>
          </w:tcPr>
          <w:p w14:paraId="6ED201D3" w14:textId="77777777" w:rsidR="00A02C43" w:rsidRPr="00E47AA9" w:rsidRDefault="00A02C43" w:rsidP="0034644C">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i/>
                <w:iCs/>
              </w:rPr>
              <w:t>46,46</w:t>
            </w:r>
          </w:p>
        </w:tc>
        <w:tc>
          <w:tcPr>
            <w:tcW w:w="1418" w:type="dxa"/>
            <w:tcBorders>
              <w:top w:val="nil"/>
              <w:left w:val="nil"/>
              <w:bottom w:val="single" w:sz="8" w:space="0" w:color="auto"/>
              <w:right w:val="single" w:sz="8" w:space="0" w:color="auto"/>
            </w:tcBorders>
            <w:shd w:val="clear" w:color="auto" w:fill="auto"/>
            <w:vAlign w:val="center"/>
          </w:tcPr>
          <w:p w14:paraId="099CDF29" w14:textId="77777777" w:rsidR="00A02C43" w:rsidRPr="00E47AA9" w:rsidRDefault="00A02C43" w:rsidP="0034644C">
            <w:pPr>
              <w:spacing w:after="0" w:line="240" w:lineRule="auto"/>
              <w:jc w:val="right"/>
              <w:rPr>
                <w:rFonts w:ascii="Times New Roman" w:eastAsia="Times New Roman" w:hAnsi="Times New Roman" w:cs="Times New Roman"/>
                <w:i/>
                <w:iCs/>
                <w:lang w:eastAsia="ru-RU"/>
              </w:rPr>
            </w:pPr>
            <w:r w:rsidRPr="00E47AA9">
              <w:rPr>
                <w:rFonts w:ascii="Times New Roman" w:hAnsi="Times New Roman" w:cs="Times New Roman"/>
                <w:i/>
                <w:iCs/>
              </w:rPr>
              <w:t>-30,93</w:t>
            </w:r>
          </w:p>
        </w:tc>
      </w:tr>
      <w:tr w:rsidR="00E47AA9" w:rsidRPr="00E47AA9" w14:paraId="160DFBF5" w14:textId="77777777" w:rsidTr="00117876">
        <w:trPr>
          <w:trHeight w:val="470"/>
        </w:trPr>
        <w:tc>
          <w:tcPr>
            <w:tcW w:w="3259" w:type="dxa"/>
            <w:tcBorders>
              <w:top w:val="nil"/>
              <w:left w:val="single" w:sz="4" w:space="0" w:color="auto"/>
              <w:bottom w:val="single" w:sz="4" w:space="0" w:color="auto"/>
              <w:right w:val="single" w:sz="4" w:space="0" w:color="auto"/>
            </w:tcBorders>
            <w:shd w:val="clear" w:color="auto" w:fill="auto"/>
            <w:vAlign w:val="bottom"/>
            <w:hideMark/>
          </w:tcPr>
          <w:p w14:paraId="7C138EB2" w14:textId="77777777" w:rsidR="00A02C43" w:rsidRPr="00E47AA9" w:rsidRDefault="00A02C43" w:rsidP="0034644C">
            <w:pPr>
              <w:spacing w:after="0" w:line="240" w:lineRule="auto"/>
              <w:rPr>
                <w:rFonts w:ascii="Times New Roman" w:eastAsia="Times New Roman" w:hAnsi="Times New Roman" w:cs="Times New Roman"/>
                <w:lang w:eastAsia="ru-RU"/>
              </w:rPr>
            </w:pPr>
            <w:r w:rsidRPr="00E47AA9">
              <w:rPr>
                <w:rFonts w:ascii="Times New Roman" w:eastAsia="Times New Roman" w:hAnsi="Times New Roman" w:cs="Times New Roman"/>
                <w:lang w:eastAsia="ru-RU"/>
              </w:rPr>
              <w:t xml:space="preserve">Государственные гарантии Приморского края </w:t>
            </w:r>
          </w:p>
        </w:tc>
        <w:tc>
          <w:tcPr>
            <w:tcW w:w="1136" w:type="dxa"/>
            <w:tcBorders>
              <w:top w:val="nil"/>
              <w:left w:val="nil"/>
              <w:bottom w:val="single" w:sz="8" w:space="0" w:color="auto"/>
              <w:right w:val="single" w:sz="8" w:space="0" w:color="auto"/>
            </w:tcBorders>
            <w:shd w:val="clear" w:color="auto" w:fill="auto"/>
            <w:vAlign w:val="center"/>
            <w:hideMark/>
          </w:tcPr>
          <w:p w14:paraId="15564139" w14:textId="77777777" w:rsidR="00A02C43" w:rsidRPr="00E47AA9" w:rsidRDefault="00A02C43" w:rsidP="0034644C">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438,43</w:t>
            </w:r>
          </w:p>
        </w:tc>
        <w:tc>
          <w:tcPr>
            <w:tcW w:w="1255" w:type="dxa"/>
            <w:tcBorders>
              <w:top w:val="nil"/>
              <w:left w:val="nil"/>
              <w:bottom w:val="single" w:sz="8" w:space="0" w:color="auto"/>
              <w:right w:val="single" w:sz="8" w:space="0" w:color="auto"/>
            </w:tcBorders>
            <w:shd w:val="clear" w:color="auto" w:fill="auto"/>
            <w:vAlign w:val="center"/>
          </w:tcPr>
          <w:p w14:paraId="2910D33E" w14:textId="77777777" w:rsidR="00A02C43" w:rsidRPr="00E47AA9" w:rsidRDefault="00A02C43" w:rsidP="0034644C">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2,23</w:t>
            </w:r>
          </w:p>
        </w:tc>
        <w:tc>
          <w:tcPr>
            <w:tcW w:w="1283" w:type="dxa"/>
            <w:gridSpan w:val="2"/>
            <w:tcBorders>
              <w:top w:val="nil"/>
              <w:left w:val="nil"/>
              <w:bottom w:val="single" w:sz="8" w:space="0" w:color="auto"/>
              <w:right w:val="single" w:sz="8" w:space="0" w:color="auto"/>
            </w:tcBorders>
            <w:shd w:val="clear" w:color="auto" w:fill="auto"/>
            <w:vAlign w:val="center"/>
          </w:tcPr>
          <w:p w14:paraId="0584B975" w14:textId="77777777" w:rsidR="00A02C43" w:rsidRPr="00E47AA9" w:rsidRDefault="00A02C43" w:rsidP="0034644C">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0,00</w:t>
            </w:r>
          </w:p>
        </w:tc>
        <w:tc>
          <w:tcPr>
            <w:tcW w:w="1289" w:type="dxa"/>
            <w:tcBorders>
              <w:top w:val="nil"/>
              <w:left w:val="nil"/>
              <w:bottom w:val="single" w:sz="8" w:space="0" w:color="auto"/>
              <w:right w:val="single" w:sz="8" w:space="0" w:color="auto"/>
            </w:tcBorders>
            <w:shd w:val="clear" w:color="auto" w:fill="auto"/>
            <w:vAlign w:val="center"/>
            <w:hideMark/>
          </w:tcPr>
          <w:p w14:paraId="4FCB7F5E" w14:textId="77777777" w:rsidR="00A02C43" w:rsidRPr="00E47AA9" w:rsidRDefault="00A02C43" w:rsidP="0034644C">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0,00</w:t>
            </w:r>
          </w:p>
        </w:tc>
        <w:tc>
          <w:tcPr>
            <w:tcW w:w="1418" w:type="dxa"/>
            <w:tcBorders>
              <w:top w:val="nil"/>
              <w:left w:val="nil"/>
              <w:bottom w:val="single" w:sz="8" w:space="0" w:color="auto"/>
              <w:right w:val="single" w:sz="8" w:space="0" w:color="auto"/>
            </w:tcBorders>
            <w:shd w:val="clear" w:color="auto" w:fill="auto"/>
            <w:vAlign w:val="center"/>
          </w:tcPr>
          <w:p w14:paraId="4CE20606" w14:textId="77777777" w:rsidR="00A02C43" w:rsidRPr="00E47AA9" w:rsidRDefault="00A02C43" w:rsidP="0034644C">
            <w:pPr>
              <w:spacing w:after="0" w:line="240" w:lineRule="auto"/>
              <w:jc w:val="right"/>
              <w:rPr>
                <w:rFonts w:ascii="Times New Roman" w:eastAsia="Times New Roman" w:hAnsi="Times New Roman" w:cs="Times New Roman"/>
                <w:lang w:eastAsia="ru-RU"/>
              </w:rPr>
            </w:pPr>
            <w:r w:rsidRPr="00E47AA9">
              <w:rPr>
                <w:rFonts w:ascii="Times New Roman" w:hAnsi="Times New Roman" w:cs="Times New Roman"/>
              </w:rPr>
              <w:t>-438,43</w:t>
            </w:r>
          </w:p>
        </w:tc>
      </w:tr>
      <w:tr w:rsidR="00A02C43" w:rsidRPr="00E47AA9" w14:paraId="3CB24C68" w14:textId="77777777" w:rsidTr="00117876">
        <w:trPr>
          <w:trHeight w:val="300"/>
        </w:trPr>
        <w:tc>
          <w:tcPr>
            <w:tcW w:w="3259" w:type="dxa"/>
            <w:tcBorders>
              <w:top w:val="nil"/>
              <w:left w:val="single" w:sz="4" w:space="0" w:color="auto"/>
              <w:bottom w:val="single" w:sz="4" w:space="0" w:color="auto"/>
              <w:right w:val="single" w:sz="4" w:space="0" w:color="auto"/>
            </w:tcBorders>
            <w:shd w:val="clear" w:color="auto" w:fill="auto"/>
            <w:vAlign w:val="bottom"/>
            <w:hideMark/>
          </w:tcPr>
          <w:p w14:paraId="3187AF6F" w14:textId="77777777" w:rsidR="00A02C43" w:rsidRPr="00E47AA9" w:rsidRDefault="00A02C43" w:rsidP="0034644C">
            <w:pPr>
              <w:spacing w:after="0" w:line="240" w:lineRule="auto"/>
              <w:rPr>
                <w:rFonts w:ascii="Times New Roman" w:eastAsia="Times New Roman" w:hAnsi="Times New Roman" w:cs="Times New Roman"/>
                <w:b/>
                <w:bCs/>
                <w:lang w:eastAsia="ru-RU"/>
              </w:rPr>
            </w:pPr>
            <w:r w:rsidRPr="00E47AA9">
              <w:rPr>
                <w:rFonts w:ascii="Times New Roman" w:eastAsia="Times New Roman" w:hAnsi="Times New Roman" w:cs="Times New Roman"/>
                <w:b/>
                <w:bCs/>
                <w:lang w:eastAsia="ru-RU"/>
              </w:rPr>
              <w:t>Всего</w:t>
            </w:r>
          </w:p>
        </w:tc>
        <w:tc>
          <w:tcPr>
            <w:tcW w:w="1136" w:type="dxa"/>
            <w:tcBorders>
              <w:top w:val="nil"/>
              <w:left w:val="nil"/>
              <w:bottom w:val="single" w:sz="8" w:space="0" w:color="auto"/>
              <w:right w:val="single" w:sz="8" w:space="0" w:color="auto"/>
            </w:tcBorders>
            <w:shd w:val="clear" w:color="auto" w:fill="auto"/>
            <w:vAlign w:val="center"/>
            <w:hideMark/>
          </w:tcPr>
          <w:p w14:paraId="3D620F77" w14:textId="77777777" w:rsidR="00A02C43" w:rsidRPr="00E47AA9" w:rsidRDefault="00A02C43" w:rsidP="0034644C">
            <w:pPr>
              <w:spacing w:after="0" w:line="240" w:lineRule="auto"/>
              <w:jc w:val="right"/>
              <w:rPr>
                <w:rFonts w:ascii="Times New Roman" w:eastAsia="Times New Roman" w:hAnsi="Times New Roman" w:cs="Times New Roman"/>
                <w:b/>
                <w:bCs/>
                <w:lang w:eastAsia="ru-RU"/>
              </w:rPr>
            </w:pPr>
            <w:r w:rsidRPr="00E47AA9">
              <w:rPr>
                <w:rFonts w:ascii="Times New Roman" w:hAnsi="Times New Roman" w:cs="Times New Roman"/>
                <w:b/>
                <w:bCs/>
              </w:rPr>
              <w:t>19 661,45</w:t>
            </w:r>
          </w:p>
        </w:tc>
        <w:tc>
          <w:tcPr>
            <w:tcW w:w="1255" w:type="dxa"/>
            <w:tcBorders>
              <w:top w:val="nil"/>
              <w:left w:val="nil"/>
              <w:bottom w:val="single" w:sz="8" w:space="0" w:color="auto"/>
              <w:right w:val="single" w:sz="8" w:space="0" w:color="auto"/>
            </w:tcBorders>
            <w:shd w:val="clear" w:color="auto" w:fill="auto"/>
            <w:vAlign w:val="center"/>
          </w:tcPr>
          <w:p w14:paraId="75F80F69" w14:textId="77777777" w:rsidR="00A02C43" w:rsidRPr="00E47AA9" w:rsidRDefault="00A02C43" w:rsidP="0034644C">
            <w:pPr>
              <w:spacing w:after="0" w:line="240" w:lineRule="auto"/>
              <w:jc w:val="right"/>
              <w:rPr>
                <w:rFonts w:ascii="Times New Roman" w:eastAsia="Times New Roman" w:hAnsi="Times New Roman" w:cs="Times New Roman"/>
                <w:b/>
                <w:bCs/>
                <w:lang w:eastAsia="ru-RU"/>
              </w:rPr>
            </w:pPr>
            <w:r w:rsidRPr="00E47AA9">
              <w:rPr>
                <w:rFonts w:ascii="Times New Roman" w:hAnsi="Times New Roman" w:cs="Times New Roman"/>
                <w:b/>
                <w:bCs/>
              </w:rPr>
              <w:t>100,00</w:t>
            </w:r>
          </w:p>
        </w:tc>
        <w:tc>
          <w:tcPr>
            <w:tcW w:w="1283" w:type="dxa"/>
            <w:gridSpan w:val="2"/>
            <w:tcBorders>
              <w:top w:val="nil"/>
              <w:left w:val="nil"/>
              <w:bottom w:val="single" w:sz="8" w:space="0" w:color="auto"/>
              <w:right w:val="single" w:sz="8" w:space="0" w:color="auto"/>
            </w:tcBorders>
            <w:shd w:val="clear" w:color="auto" w:fill="auto"/>
            <w:vAlign w:val="center"/>
          </w:tcPr>
          <w:p w14:paraId="48741E6A" w14:textId="77777777" w:rsidR="00A02C43" w:rsidRPr="00E47AA9" w:rsidRDefault="00A02C43" w:rsidP="0034644C">
            <w:pPr>
              <w:spacing w:after="0" w:line="240" w:lineRule="auto"/>
              <w:jc w:val="right"/>
              <w:rPr>
                <w:rFonts w:ascii="Times New Roman" w:eastAsia="Times New Roman" w:hAnsi="Times New Roman" w:cs="Times New Roman"/>
                <w:b/>
                <w:bCs/>
                <w:lang w:eastAsia="ru-RU"/>
              </w:rPr>
            </w:pPr>
            <w:r w:rsidRPr="00E47AA9">
              <w:rPr>
                <w:rFonts w:ascii="Times New Roman" w:hAnsi="Times New Roman" w:cs="Times New Roman"/>
                <w:b/>
                <w:bCs/>
              </w:rPr>
              <w:t>18 202,81</w:t>
            </w:r>
          </w:p>
        </w:tc>
        <w:tc>
          <w:tcPr>
            <w:tcW w:w="1289" w:type="dxa"/>
            <w:tcBorders>
              <w:top w:val="nil"/>
              <w:left w:val="nil"/>
              <w:bottom w:val="single" w:sz="8" w:space="0" w:color="auto"/>
              <w:right w:val="single" w:sz="8" w:space="0" w:color="auto"/>
            </w:tcBorders>
            <w:shd w:val="clear" w:color="auto" w:fill="auto"/>
            <w:vAlign w:val="center"/>
            <w:hideMark/>
          </w:tcPr>
          <w:p w14:paraId="29BF984F" w14:textId="77777777" w:rsidR="00A02C43" w:rsidRPr="00E47AA9" w:rsidRDefault="00A02C43" w:rsidP="0034644C">
            <w:pPr>
              <w:spacing w:after="0" w:line="240" w:lineRule="auto"/>
              <w:jc w:val="right"/>
              <w:rPr>
                <w:rFonts w:ascii="Times New Roman" w:eastAsia="Times New Roman" w:hAnsi="Times New Roman" w:cs="Times New Roman"/>
                <w:b/>
                <w:bCs/>
                <w:lang w:eastAsia="ru-RU"/>
              </w:rPr>
            </w:pPr>
            <w:r w:rsidRPr="00E47AA9">
              <w:rPr>
                <w:rFonts w:ascii="Times New Roman" w:hAnsi="Times New Roman" w:cs="Times New Roman"/>
                <w:b/>
                <w:bCs/>
              </w:rPr>
              <w:t>100,00</w:t>
            </w:r>
          </w:p>
        </w:tc>
        <w:tc>
          <w:tcPr>
            <w:tcW w:w="1418" w:type="dxa"/>
            <w:tcBorders>
              <w:top w:val="nil"/>
              <w:left w:val="nil"/>
              <w:bottom w:val="single" w:sz="8" w:space="0" w:color="auto"/>
              <w:right w:val="single" w:sz="8" w:space="0" w:color="auto"/>
            </w:tcBorders>
            <w:shd w:val="clear" w:color="auto" w:fill="auto"/>
            <w:vAlign w:val="center"/>
          </w:tcPr>
          <w:p w14:paraId="3642D356" w14:textId="77777777" w:rsidR="00A02C43" w:rsidRPr="00E47AA9" w:rsidRDefault="00A02C43" w:rsidP="0034644C">
            <w:pPr>
              <w:spacing w:after="0" w:line="240" w:lineRule="auto"/>
              <w:jc w:val="right"/>
              <w:rPr>
                <w:rFonts w:ascii="Times New Roman" w:eastAsia="Times New Roman" w:hAnsi="Times New Roman" w:cs="Times New Roman"/>
                <w:b/>
                <w:lang w:eastAsia="ru-RU"/>
              </w:rPr>
            </w:pPr>
            <w:r w:rsidRPr="00E47AA9">
              <w:rPr>
                <w:rFonts w:ascii="Times New Roman" w:hAnsi="Times New Roman" w:cs="Times New Roman"/>
                <w:b/>
                <w:bCs/>
              </w:rPr>
              <w:t>-1 458,64</w:t>
            </w:r>
          </w:p>
        </w:tc>
      </w:tr>
    </w:tbl>
    <w:p w14:paraId="1F29F42C" w14:textId="77777777" w:rsidR="00A02C43" w:rsidRPr="00E47AA9" w:rsidRDefault="00A02C43" w:rsidP="00A02C43">
      <w:pPr>
        <w:autoSpaceDE w:val="0"/>
        <w:autoSpaceDN w:val="0"/>
        <w:adjustRightInd w:val="0"/>
        <w:spacing w:after="0" w:line="240" w:lineRule="auto"/>
        <w:ind w:firstLine="709"/>
        <w:jc w:val="both"/>
        <w:outlineLvl w:val="2"/>
        <w:rPr>
          <w:rFonts w:ascii="Times New Roman" w:eastAsia="Times New Roman" w:hAnsi="Times New Roman" w:cs="Times New Roman"/>
          <w:sz w:val="28"/>
          <w:szCs w:val="28"/>
          <w:lang w:eastAsia="ru-RU"/>
        </w:rPr>
      </w:pPr>
    </w:p>
    <w:p w14:paraId="2788ECEA" w14:textId="77777777" w:rsidR="00A02C43" w:rsidRPr="00E47AA9" w:rsidRDefault="00A02C43" w:rsidP="00A02C43">
      <w:pPr>
        <w:autoSpaceDE w:val="0"/>
        <w:autoSpaceDN w:val="0"/>
        <w:adjustRightInd w:val="0"/>
        <w:spacing w:after="0" w:line="240" w:lineRule="auto"/>
        <w:ind w:firstLine="709"/>
        <w:jc w:val="both"/>
        <w:outlineLvl w:val="2"/>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Государственный долг на конец года полностью состоит из бюджетных кредитов, в том числе:</w:t>
      </w:r>
    </w:p>
    <w:p w14:paraId="4AF597F0" w14:textId="23FDA829" w:rsidR="00A02C43" w:rsidRPr="00E47AA9" w:rsidRDefault="00A02C43" w:rsidP="00A02C43">
      <w:pPr>
        <w:autoSpaceDE w:val="0"/>
        <w:autoSpaceDN w:val="0"/>
        <w:adjustRightInd w:val="0"/>
        <w:spacing w:after="0" w:line="240" w:lineRule="auto"/>
        <w:ind w:firstLine="709"/>
        <w:jc w:val="both"/>
        <w:outlineLvl w:val="2"/>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из других бюджетов бюджетной системы </w:t>
      </w:r>
      <w:r w:rsidR="00F22C9F"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908,73 млн рублей, что ниже показателя на начало года на 1262,80 млн рублей, или на 58,15 % (2171,53 млн рублей);</w:t>
      </w:r>
    </w:p>
    <w:p w14:paraId="4AD29E3D" w14:textId="26C647AF" w:rsidR="00A02C43" w:rsidRPr="00E47AA9" w:rsidRDefault="00A02C43" w:rsidP="00A02C43">
      <w:pPr>
        <w:autoSpaceDE w:val="0"/>
        <w:autoSpaceDN w:val="0"/>
        <w:adjustRightInd w:val="0"/>
        <w:spacing w:after="0" w:line="240" w:lineRule="auto"/>
        <w:ind w:firstLine="709"/>
        <w:jc w:val="both"/>
        <w:outlineLvl w:val="2"/>
        <w:rPr>
          <w:rFonts w:ascii="Times New Roman" w:eastAsia="Times New Roman" w:hAnsi="Times New Roman" w:cs="Times New Roman"/>
          <w:i/>
          <w:iCs/>
          <w:sz w:val="28"/>
          <w:szCs w:val="28"/>
          <w:lang w:eastAsia="ru-RU"/>
        </w:rPr>
      </w:pPr>
      <w:r w:rsidRPr="00E47AA9">
        <w:rPr>
          <w:rFonts w:ascii="Times New Roman" w:eastAsia="Times New Roman" w:hAnsi="Times New Roman" w:cs="Times New Roman"/>
          <w:sz w:val="28"/>
          <w:szCs w:val="28"/>
          <w:lang w:eastAsia="ru-RU"/>
        </w:rPr>
        <w:t xml:space="preserve">на финансовое обеспечение реализации инфраструктурных проектов – 8837,55 млн рублей, что выше показателя на начало года на 273,51 млн рублей, или на 3,19 % (8564,04 млн рублей). </w:t>
      </w:r>
      <w:r w:rsidRPr="00E47AA9">
        <w:rPr>
          <w:rFonts w:ascii="Times New Roman" w:eastAsia="Times New Roman" w:hAnsi="Times New Roman" w:cs="Times New Roman"/>
          <w:i/>
          <w:iCs/>
          <w:sz w:val="28"/>
          <w:szCs w:val="28"/>
          <w:lang w:eastAsia="ru-RU"/>
        </w:rPr>
        <w:t xml:space="preserve">Справочно: Минфином России предоставляются бюджетные кредиты на финансовое обеспечение реализации инфраструктурных проектов с 2022 года. За 2023–2024 годы произошло увеличение объема инфраструктурных кредитов Приморского </w:t>
      </w:r>
      <w:r w:rsidRPr="00E47AA9">
        <w:rPr>
          <w:rFonts w:ascii="Times New Roman" w:eastAsia="Times New Roman" w:hAnsi="Times New Roman" w:cs="Times New Roman"/>
          <w:i/>
          <w:iCs/>
          <w:sz w:val="28"/>
          <w:szCs w:val="28"/>
          <w:lang w:eastAsia="ru-RU"/>
        </w:rPr>
        <w:lastRenderedPageBreak/>
        <w:t>края в целом на 5592,74 млн рублей, или на 172,4 %</w:t>
      </w:r>
      <w:r w:rsidRPr="00E47AA9">
        <w:rPr>
          <w:rStyle w:val="a8"/>
          <w:rFonts w:ascii="Times New Roman" w:eastAsia="Times New Roman" w:hAnsi="Times New Roman"/>
          <w:i/>
          <w:iCs/>
          <w:sz w:val="28"/>
          <w:szCs w:val="28"/>
          <w:lang w:eastAsia="ru-RU"/>
        </w:rPr>
        <w:footnoteReference w:id="104"/>
      </w:r>
      <w:r w:rsidRPr="00E47AA9">
        <w:rPr>
          <w:rFonts w:ascii="Times New Roman" w:eastAsia="Times New Roman" w:hAnsi="Times New Roman" w:cs="Times New Roman"/>
          <w:i/>
          <w:iCs/>
          <w:sz w:val="28"/>
          <w:szCs w:val="28"/>
          <w:lang w:eastAsia="ru-RU"/>
        </w:rPr>
        <w:t xml:space="preserve">. В 2024 году министерство финансов Приморского края приняло обязательство по одному инфраструктурному кредиту на сумму 611,54 млн рублей по соглашению от 26.07.2024 № 2024-00185. По условиям соглашения возврат задолженности по основному долгу </w:t>
      </w:r>
      <w:r w:rsidR="00916F77" w:rsidRPr="00E47AA9">
        <w:rPr>
          <w:rFonts w:ascii="Times New Roman" w:eastAsia="Times New Roman" w:hAnsi="Times New Roman" w:cs="Times New Roman"/>
          <w:i/>
          <w:iCs/>
          <w:sz w:val="28"/>
          <w:szCs w:val="28"/>
          <w:lang w:eastAsia="ru-RU"/>
        </w:rPr>
        <w:t>осуществляется,</w:t>
      </w:r>
      <w:r w:rsidRPr="00E47AA9">
        <w:rPr>
          <w:rFonts w:ascii="Times New Roman" w:eastAsia="Times New Roman" w:hAnsi="Times New Roman" w:cs="Times New Roman"/>
          <w:i/>
          <w:iCs/>
          <w:sz w:val="28"/>
          <w:szCs w:val="28"/>
          <w:lang w:eastAsia="ru-RU"/>
        </w:rPr>
        <w:t xml:space="preserve"> начиная с 2026 года по ноябрь 2039 года включительно ежегодно равными долями в сумме 43,68 </w:t>
      </w:r>
      <w:r w:rsidRPr="00E47AA9">
        <w:rPr>
          <w:rFonts w:ascii="Times New Roman" w:hAnsi="Times New Roman" w:cs="Times New Roman"/>
          <w:i/>
          <w:iCs/>
          <w:sz w:val="28"/>
          <w:szCs w:val="28"/>
        </w:rPr>
        <w:t>млн </w:t>
      </w:r>
      <w:r w:rsidRPr="00E47AA9">
        <w:rPr>
          <w:rFonts w:ascii="Times New Roman" w:hAnsi="Times New Roman" w:cs="Times New Roman"/>
          <w:i/>
          <w:iCs/>
          <w:sz w:val="28"/>
          <w:szCs w:val="28"/>
          <w:lang w:eastAsia="ru-RU"/>
        </w:rPr>
        <w:t>рублей</w:t>
      </w:r>
      <w:r w:rsidRPr="00E47AA9">
        <w:rPr>
          <w:rFonts w:ascii="Times New Roman" w:eastAsia="Times New Roman" w:hAnsi="Times New Roman" w:cs="Times New Roman"/>
          <w:i/>
          <w:iCs/>
          <w:sz w:val="28"/>
          <w:szCs w:val="28"/>
          <w:lang w:eastAsia="ru-RU"/>
        </w:rPr>
        <w:t xml:space="preserve"> с возможностью его досрочного погашения согласно графику погашения задолженности и в отчетном году не погашалась. Начисленные по кредиту проценты, сумма которых составила 6,31 млн рублей, погашена 27.11.2024. В 2025 году сумма подлежащих к уплате процентов составит 18,35 млн рублей с датой погашения в ноябре текущего года;</w:t>
      </w:r>
    </w:p>
    <w:p w14:paraId="0D0D7204" w14:textId="1BC23ADF" w:rsidR="00A02C43" w:rsidRPr="00E47AA9" w:rsidRDefault="00A02C43" w:rsidP="00A02C43">
      <w:pPr>
        <w:autoSpaceDE w:val="0"/>
        <w:autoSpaceDN w:val="0"/>
        <w:adjustRightInd w:val="0"/>
        <w:spacing w:after="0" w:line="240" w:lineRule="auto"/>
        <w:ind w:firstLine="709"/>
        <w:jc w:val="both"/>
        <w:outlineLvl w:val="2"/>
        <w:rPr>
          <w:rFonts w:ascii="Times New Roman" w:eastAsia="Times New Roman" w:hAnsi="Times New Roman" w:cs="Times New Roman"/>
          <w:i/>
          <w:iCs/>
          <w:sz w:val="28"/>
          <w:szCs w:val="28"/>
          <w:lang w:eastAsia="ru-RU"/>
        </w:rPr>
      </w:pPr>
      <w:r w:rsidRPr="00E47AA9">
        <w:rPr>
          <w:rFonts w:ascii="Times New Roman" w:eastAsia="Times New Roman" w:hAnsi="Times New Roman" w:cs="Times New Roman"/>
          <w:sz w:val="28"/>
          <w:szCs w:val="28"/>
          <w:lang w:eastAsia="ru-RU"/>
        </w:rPr>
        <w:t xml:space="preserve">специальные казначейские кредиты </w:t>
      </w:r>
      <w:r w:rsidR="00F22C9F"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8456,52 млн рублей и сократились на 30,93</w:t>
      </w:r>
      <w:r w:rsidRPr="00E47AA9">
        <w:rPr>
          <w:rFonts w:ascii="Times New Roman" w:eastAsia="Times New Roman" w:hAnsi="Times New Roman" w:cs="Times New Roman"/>
          <w:i/>
          <w:iCs/>
          <w:sz w:val="28"/>
          <w:szCs w:val="28"/>
          <w:lang w:eastAsia="ru-RU"/>
        </w:rPr>
        <w:t xml:space="preserve"> </w:t>
      </w:r>
      <w:r w:rsidRPr="00E47AA9">
        <w:rPr>
          <w:rFonts w:ascii="Times New Roman" w:eastAsia="Times New Roman" w:hAnsi="Times New Roman" w:cs="Times New Roman"/>
          <w:sz w:val="28"/>
          <w:szCs w:val="28"/>
          <w:lang w:eastAsia="ru-RU"/>
        </w:rPr>
        <w:t xml:space="preserve">млн рублей, или на 0,36 % (на </w:t>
      </w:r>
      <w:r w:rsidR="00117474" w:rsidRPr="00E47AA9">
        <w:rPr>
          <w:rFonts w:ascii="Times New Roman" w:eastAsia="Times New Roman" w:hAnsi="Times New Roman" w:cs="Times New Roman"/>
          <w:sz w:val="28"/>
          <w:szCs w:val="28"/>
          <w:lang w:eastAsia="ru-RU"/>
        </w:rPr>
        <w:t>01.01.2024</w:t>
      </w:r>
      <w:r w:rsidRPr="00E47AA9">
        <w:rPr>
          <w:rFonts w:ascii="Times New Roman" w:eastAsia="Times New Roman" w:hAnsi="Times New Roman" w:cs="Times New Roman"/>
          <w:sz w:val="28"/>
          <w:szCs w:val="28"/>
          <w:lang w:eastAsia="ru-RU"/>
        </w:rPr>
        <w:t xml:space="preserve"> – 8487,45 млн рублей). </w:t>
      </w:r>
    </w:p>
    <w:p w14:paraId="2361E2BA" w14:textId="7D43BE0D" w:rsidR="001E031B" w:rsidRDefault="00A02C43" w:rsidP="001E031B">
      <w:pPr>
        <w:autoSpaceDE w:val="0"/>
        <w:autoSpaceDN w:val="0"/>
        <w:adjustRightInd w:val="0"/>
        <w:spacing w:after="0" w:line="240" w:lineRule="auto"/>
        <w:ind w:firstLine="709"/>
        <w:jc w:val="both"/>
        <w:rPr>
          <w:rFonts w:ascii="Times New Roman" w:eastAsia="Times New Roman" w:hAnsi="Times New Roman" w:cs="Times New Roman"/>
          <w:sz w:val="28"/>
          <w:szCs w:val="28"/>
          <w:lang w:eastAsia="ar-SA"/>
        </w:rPr>
      </w:pPr>
      <w:r w:rsidRPr="00E47AA9">
        <w:rPr>
          <w:rFonts w:ascii="Times New Roman" w:eastAsia="Times New Roman" w:hAnsi="Times New Roman" w:cs="Times New Roman"/>
          <w:sz w:val="28"/>
          <w:szCs w:val="28"/>
        </w:rPr>
        <w:t>На начало года в структуре государственного долга значились две государственные гарантии Приморского края на общую сумму 438,43 млн рублей, предоставленные в обеспечение надлежащего исполнения обязательств КГУП "Приморский водоканал"</w:t>
      </w:r>
      <w:r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ar-SA"/>
        </w:rPr>
        <w:t xml:space="preserve">на сумму 208,42 млн рублей и 230,01 млн рублей). В связи с истечением срока действия (до 28.02.2024), обязательства по гарантиям, предоставленным Приморским краем, прекращены в 2024 году в полном </w:t>
      </w:r>
      <w:proofErr w:type="gramStart"/>
      <w:r w:rsidRPr="00E47AA9">
        <w:rPr>
          <w:rFonts w:ascii="Times New Roman" w:eastAsia="Times New Roman" w:hAnsi="Times New Roman" w:cs="Times New Roman"/>
          <w:sz w:val="28"/>
          <w:szCs w:val="28"/>
          <w:lang w:eastAsia="ar-SA"/>
        </w:rPr>
        <w:t>объеме.</w:t>
      </w:r>
      <w:r w:rsidR="00916F77" w:rsidRPr="00E47AA9">
        <w:rPr>
          <w:rFonts w:ascii="Times New Roman" w:eastAsia="Times New Roman" w:hAnsi="Times New Roman" w:cs="Times New Roman"/>
          <w:sz w:val="28"/>
          <w:szCs w:val="28"/>
          <w:lang w:eastAsia="ar-SA"/>
        </w:rPr>
        <w:t xml:space="preserve"> </w:t>
      </w:r>
      <w:r w:rsidR="00B85F55" w:rsidRPr="00E47AA9">
        <w:rPr>
          <w:rFonts w:ascii="Times New Roman" w:eastAsia="Times New Roman" w:hAnsi="Times New Roman" w:cs="Times New Roman"/>
          <w:sz w:val="28"/>
          <w:szCs w:val="28"/>
          <w:lang w:eastAsia="ar-SA"/>
        </w:rPr>
        <w:t xml:space="preserve"> </w:t>
      </w:r>
      <w:proofErr w:type="gramEnd"/>
      <w:r w:rsidR="001E031B">
        <w:rPr>
          <w:rFonts w:ascii="Times New Roman" w:eastAsia="Times New Roman" w:hAnsi="Times New Roman" w:cs="Times New Roman"/>
          <w:sz w:val="28"/>
          <w:szCs w:val="28"/>
          <w:lang w:eastAsia="ar-SA"/>
        </w:rPr>
        <w:br w:type="page"/>
      </w:r>
    </w:p>
    <w:p w14:paraId="624EC584" w14:textId="77777777" w:rsidR="00995D97" w:rsidRPr="00E47AA9" w:rsidRDefault="00995D97" w:rsidP="00995D97">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 xml:space="preserve">8. Результаты камеральных внешних проверок </w:t>
      </w:r>
    </w:p>
    <w:p w14:paraId="02FC44B4" w14:textId="77777777" w:rsidR="00995D97" w:rsidRPr="00E47AA9" w:rsidRDefault="00995D97" w:rsidP="00995D97">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бюджетной отчетности главных администраторов средств краевого бюджета за 2024 год</w:t>
      </w:r>
    </w:p>
    <w:p w14:paraId="22E46883" w14:textId="77777777" w:rsidR="00995D97" w:rsidRPr="00E47AA9" w:rsidRDefault="00995D97" w:rsidP="00995D97">
      <w:pPr>
        <w:spacing w:after="0" w:line="240" w:lineRule="auto"/>
        <w:ind w:firstLine="720"/>
        <w:jc w:val="both"/>
        <w:rPr>
          <w:rFonts w:ascii="Times New Roman" w:eastAsia="Times New Roman" w:hAnsi="Times New Roman" w:cs="Times New Roman"/>
          <w:sz w:val="28"/>
          <w:szCs w:val="28"/>
          <w:lang w:eastAsia="x-none"/>
        </w:rPr>
      </w:pPr>
      <w:r w:rsidRPr="00E47AA9">
        <w:rPr>
          <w:rFonts w:ascii="Times New Roman" w:eastAsia="Times New Roman" w:hAnsi="Times New Roman" w:cs="Times New Roman"/>
          <w:sz w:val="28"/>
          <w:szCs w:val="28"/>
          <w:lang w:eastAsia="x-none"/>
        </w:rPr>
        <w:t>Заключение Контрольно-счетной палатой подготовлено с учетом данных камеральных внешних проверок бюджетной отчетности ГАБС за 2024 год в соответствии со статьей 264.4 Бюджетного кодекса Российской Федерации, статьей 111(1) Закона Приморского края от 02.08.2005 № 271-КЗ "О бюджетном устройстве, бюджетном процессе и межбюджетных отношениях в Приморском крае".</w:t>
      </w:r>
    </w:p>
    <w:p w14:paraId="2F8A2922" w14:textId="77777777" w:rsidR="00995D97" w:rsidRPr="00E47AA9" w:rsidRDefault="00995D97" w:rsidP="00995D97">
      <w:pPr>
        <w:spacing w:after="0" w:line="240" w:lineRule="auto"/>
        <w:ind w:firstLine="720"/>
        <w:jc w:val="both"/>
        <w:rPr>
          <w:rFonts w:ascii="Times New Roman" w:eastAsia="Times New Roman" w:hAnsi="Times New Roman" w:cs="Times New Roman"/>
          <w:sz w:val="28"/>
          <w:szCs w:val="28"/>
          <w:lang w:eastAsia="x-none"/>
        </w:rPr>
      </w:pPr>
      <w:r w:rsidRPr="00E47AA9">
        <w:rPr>
          <w:rFonts w:ascii="Times New Roman" w:eastAsia="Times New Roman" w:hAnsi="Times New Roman" w:cs="Times New Roman"/>
          <w:sz w:val="28"/>
          <w:szCs w:val="28"/>
          <w:lang w:eastAsia="x-none"/>
        </w:rPr>
        <w:t>По результатам проведенных проверок составлено 43 акта, которые подписаны руководителями ГАБС без разногласий.</w:t>
      </w:r>
    </w:p>
    <w:p w14:paraId="6258C907" w14:textId="77777777" w:rsidR="00995D97" w:rsidRPr="00E47AA9" w:rsidRDefault="00995D97" w:rsidP="00995D97">
      <w:pPr>
        <w:spacing w:after="0" w:line="240" w:lineRule="auto"/>
        <w:ind w:firstLine="720"/>
        <w:jc w:val="both"/>
        <w:rPr>
          <w:rFonts w:ascii="Times New Roman" w:eastAsia="Times New Roman" w:hAnsi="Times New Roman" w:cs="Times New Roman"/>
          <w:sz w:val="28"/>
          <w:szCs w:val="28"/>
          <w:lang w:eastAsia="x-none"/>
        </w:rPr>
      </w:pPr>
      <w:r w:rsidRPr="00E47AA9">
        <w:rPr>
          <w:rFonts w:ascii="Times New Roman" w:eastAsia="Times New Roman" w:hAnsi="Times New Roman" w:cs="Times New Roman"/>
          <w:sz w:val="28"/>
          <w:szCs w:val="28"/>
          <w:lang w:eastAsia="x-none"/>
        </w:rPr>
        <w:t>В Контрольно-счетную палату всеми ГАБС годовая бюджетная отчетность за отчетный год предоставлена своевременно, без нарушения условий, установленных абзацем 2 пункта 2 статьи 111(1) Закона Приморского края от 02.08.2005 № 271-КЗ "О бюджетном устройстве, бюджетном процессе и межбюджетных отношениях в Приморском крае".</w:t>
      </w:r>
    </w:p>
    <w:p w14:paraId="0324FCEB" w14:textId="77777777" w:rsidR="00995D97" w:rsidRPr="00E47AA9" w:rsidRDefault="00995D97" w:rsidP="00995D97">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x-none"/>
        </w:rPr>
      </w:pPr>
      <w:r w:rsidRPr="00E47AA9">
        <w:rPr>
          <w:rFonts w:ascii="Times New Roman" w:eastAsia="Times New Roman" w:hAnsi="Times New Roman" w:cs="Times New Roman"/>
          <w:sz w:val="28"/>
          <w:szCs w:val="28"/>
          <w:lang w:eastAsia="x-none"/>
        </w:rPr>
        <w:t xml:space="preserve">Годовая бюджетная отчетность предоставлена ГАБС на бумажных и электронных носителях в составе отчетных форм, установленных Инструкцией № 191н, с учетом положений письма министерства финансов Приморского края от 26.12.2024 № 28-08-03-28/4999 "О дополнительных </w:t>
      </w:r>
      <w:r w:rsidRPr="00E47AA9">
        <w:rPr>
          <w:rFonts w:ascii="Times New Roman" w:eastAsia="Times New Roman" w:hAnsi="Times New Roman" w:cs="Times New Roman"/>
          <w:sz w:val="28"/>
          <w:szCs w:val="28"/>
          <w:lang w:eastAsia="x-none"/>
        </w:rPr>
        <w:lastRenderedPageBreak/>
        <w:t>критериях по раскрытию информации при составлении и представлении годовой бюджетной отчетности, годовой бухгалтерской отчетности государственных бюджетных и автономных учреждений за 2024 год".</w:t>
      </w:r>
    </w:p>
    <w:p w14:paraId="3D078203" w14:textId="77777777" w:rsidR="00995D97" w:rsidRPr="00E47AA9" w:rsidRDefault="00995D97" w:rsidP="00995D97">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x-none"/>
        </w:rPr>
      </w:pPr>
      <w:r w:rsidRPr="00E47AA9">
        <w:rPr>
          <w:rFonts w:ascii="Times New Roman" w:eastAsia="Times New Roman" w:hAnsi="Times New Roman" w:cs="Times New Roman"/>
          <w:sz w:val="28"/>
          <w:szCs w:val="28"/>
          <w:lang w:eastAsia="x-none"/>
        </w:rPr>
        <w:t>Достоверность годовой бюджетной отчетности ГАБС за 2024 год и годового отчета об исполнении краевого бюджета на 01.01.2025 подтверждается в ходе сверки соответствующих показателей по доходам и источникам внутреннего финансирования дефицита краевого бюджета, администрируемым ГАБС; по осуществленным расходам (в том числе погашение бюджетных кредитов) и соответствующих показателей в сводной справке по операциям со средствами бюджета и сводной справке по операциям со средствами консолидированного бюджета по состоянию на 01.01.2025 (формы 0531857 и 0531858 Порядка, утвержденного приказом Казначейства России от 14.05.2020 № 21н "О порядке казначейского обслуживания"),</w:t>
      </w:r>
      <w:r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x-none"/>
        </w:rPr>
        <w:t>предоставленных Контрольно-счетной палате в рамках Соглашения об информационном взаимодействии с УФК по Приморскому краю. Фактов несоответствия взаимосвязанных показателей не установлено.</w:t>
      </w:r>
    </w:p>
    <w:p w14:paraId="6413813C" w14:textId="77777777" w:rsidR="00995D97" w:rsidRPr="00E47AA9" w:rsidRDefault="00995D97" w:rsidP="00995D97">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Высокий уровень автоматизации, обеспечивающий единую взаимосвязанную систему обработки документации, способствует формированию достоверной и точной бюджетной отчетности ГАБС, и, соответственно, помогает достичь положительных итоговых результатов внешних проверок.</w:t>
      </w:r>
    </w:p>
    <w:p w14:paraId="5B51CAF7" w14:textId="77777777" w:rsidR="00995D97" w:rsidRPr="00E47AA9" w:rsidRDefault="00995D97" w:rsidP="00995D97">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x-none"/>
        </w:rPr>
      </w:pPr>
      <w:r w:rsidRPr="00E47AA9">
        <w:rPr>
          <w:rFonts w:ascii="Times New Roman" w:eastAsia="Times New Roman" w:hAnsi="Times New Roman" w:cs="Times New Roman"/>
          <w:sz w:val="28"/>
          <w:szCs w:val="28"/>
          <w:lang w:eastAsia="x-none"/>
        </w:rPr>
        <w:t>В ходе выборочных проверок соблюдения контрольных соотношений (увязки) между показателями форм бюджетной отчетности ГАБС расхождений Контрольно-счетной палатой не выявлено, соответствие взаимосвязанных показателей соблюдено.</w:t>
      </w:r>
    </w:p>
    <w:p w14:paraId="6BE43C58" w14:textId="77777777" w:rsidR="00995D97" w:rsidRPr="00E47AA9" w:rsidRDefault="00995D97" w:rsidP="00995D97">
      <w:pPr>
        <w:spacing w:after="0" w:line="240" w:lineRule="auto"/>
        <w:ind w:firstLine="709"/>
        <w:jc w:val="both"/>
        <w:rPr>
          <w:rFonts w:ascii="Times New Roman" w:eastAsia="Times New Roman" w:hAnsi="Times New Roman" w:cs="Times New Roman"/>
          <w:sz w:val="28"/>
          <w:szCs w:val="28"/>
          <w:lang w:eastAsia="x-none"/>
        </w:rPr>
      </w:pPr>
      <w:r w:rsidRPr="00E47AA9">
        <w:rPr>
          <w:rFonts w:ascii="Times New Roman" w:eastAsia="Times New Roman" w:hAnsi="Times New Roman" w:cs="Times New Roman"/>
          <w:sz w:val="28"/>
          <w:szCs w:val="28"/>
          <w:lang w:eastAsia="x-none"/>
        </w:rPr>
        <w:t>По итогам проведенных внешних проверок факты неполноты и недостоверности показателей бюджетной отчетности в части исполнения ГАБС краевого бюджета не установлены.</w:t>
      </w:r>
    </w:p>
    <w:p w14:paraId="719F596C" w14:textId="77777777" w:rsidR="005B6095" w:rsidRPr="00E47AA9" w:rsidRDefault="005B6095" w:rsidP="00995D97">
      <w:pPr>
        <w:spacing w:after="0" w:line="240" w:lineRule="auto"/>
        <w:ind w:firstLine="709"/>
        <w:jc w:val="both"/>
        <w:rPr>
          <w:rFonts w:ascii="Times New Roman" w:eastAsia="Times New Roman" w:hAnsi="Times New Roman" w:cs="Times New Roman"/>
          <w:sz w:val="28"/>
          <w:szCs w:val="28"/>
          <w:lang w:eastAsia="x-none"/>
        </w:rPr>
      </w:pPr>
    </w:p>
    <w:p w14:paraId="2DEBFB46" w14:textId="77777777" w:rsidR="00995D97" w:rsidRPr="00E47AA9" w:rsidRDefault="00995D97" w:rsidP="00995D97">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Calibri" w:hAnsi="Times New Roman" w:cs="Times New Roman"/>
          <w:b/>
          <w:sz w:val="28"/>
          <w:szCs w:val="28"/>
        </w:rPr>
        <w:t xml:space="preserve">8.1. Результаты проверки и анализа осуществления внутреннего финансового аудита </w:t>
      </w:r>
      <w:r w:rsidRPr="00E47AA9">
        <w:rPr>
          <w:rFonts w:ascii="Times New Roman" w:eastAsia="Times New Roman" w:hAnsi="Times New Roman" w:cs="Times New Roman"/>
          <w:b/>
          <w:sz w:val="28"/>
          <w:szCs w:val="28"/>
          <w:lang w:eastAsia="ru-RU"/>
        </w:rPr>
        <w:t xml:space="preserve">главными администраторами </w:t>
      </w:r>
    </w:p>
    <w:p w14:paraId="51137748" w14:textId="77777777" w:rsidR="00995D97" w:rsidRPr="00E47AA9" w:rsidRDefault="00995D97" w:rsidP="00995D97">
      <w:pPr>
        <w:spacing w:after="0" w:line="240" w:lineRule="auto"/>
        <w:jc w:val="center"/>
        <w:rPr>
          <w:rFonts w:ascii="Calibri" w:eastAsia="Calibri" w:hAnsi="Calibri" w:cs="Times New Roman"/>
        </w:rPr>
      </w:pPr>
      <w:r w:rsidRPr="00E47AA9">
        <w:rPr>
          <w:rFonts w:ascii="Times New Roman" w:eastAsia="Times New Roman" w:hAnsi="Times New Roman" w:cs="Times New Roman"/>
          <w:b/>
          <w:sz w:val="28"/>
          <w:szCs w:val="28"/>
          <w:lang w:eastAsia="ru-RU"/>
        </w:rPr>
        <w:t>бюджетных средств</w:t>
      </w:r>
    </w:p>
    <w:p w14:paraId="72D3F09A" w14:textId="77777777" w:rsidR="00995D97" w:rsidRPr="00E47AA9" w:rsidRDefault="00995D97" w:rsidP="00995D97">
      <w:pPr>
        <w:spacing w:after="0" w:line="240" w:lineRule="auto"/>
        <w:ind w:firstLine="708"/>
        <w:jc w:val="both"/>
        <w:rPr>
          <w:rFonts w:ascii="Times New Roman" w:eastAsia="Calibri" w:hAnsi="Times New Roman" w:cs="Times New Roman"/>
          <w:sz w:val="28"/>
          <w:szCs w:val="28"/>
        </w:rPr>
      </w:pPr>
      <w:r w:rsidRPr="00E47AA9">
        <w:rPr>
          <w:rFonts w:ascii="Times New Roman" w:eastAsia="Times New Roman" w:hAnsi="Times New Roman" w:cs="Times New Roman"/>
          <w:sz w:val="28"/>
          <w:szCs w:val="28"/>
          <w:lang w:eastAsia="ru-RU"/>
        </w:rPr>
        <w:t xml:space="preserve">В рамках осуществления полномочий согласно части 2 статьи 157 Бюджетного кодекса Российской Федерации, пункту 5 части 1 статьи 55 Закона № 271-КЗ </w:t>
      </w:r>
      <w:r w:rsidRPr="00E47AA9">
        <w:rPr>
          <w:rFonts w:ascii="Times New Roman" w:eastAsia="Calibri" w:hAnsi="Times New Roman" w:cs="Times New Roman"/>
          <w:sz w:val="28"/>
          <w:szCs w:val="28"/>
        </w:rPr>
        <w:t>Контрольно-счетной палатой в ходе проведения проверок годовой бюджетной отчетности ГАБС проведен анализ</w:t>
      </w:r>
      <w:r w:rsidRPr="00E47AA9">
        <w:rPr>
          <w:rFonts w:ascii="Times New Roman" w:eastAsia="Times New Roman" w:hAnsi="Times New Roman" w:cs="Times New Roman"/>
          <w:sz w:val="28"/>
          <w:szCs w:val="28"/>
          <w:lang w:eastAsia="ru-RU"/>
        </w:rPr>
        <w:t xml:space="preserve"> </w:t>
      </w:r>
      <w:r w:rsidRPr="00E47AA9">
        <w:rPr>
          <w:rFonts w:ascii="Times New Roman" w:eastAsia="Calibri" w:hAnsi="Times New Roman" w:cs="Times New Roman"/>
          <w:sz w:val="28"/>
          <w:szCs w:val="28"/>
        </w:rPr>
        <w:t>осуществления ГАБС внутреннего финансового аудита.</w:t>
      </w:r>
    </w:p>
    <w:p w14:paraId="47C22FEB" w14:textId="77777777" w:rsidR="00995D97" w:rsidRPr="00E47AA9" w:rsidRDefault="00995D97" w:rsidP="00995D97">
      <w:pPr>
        <w:spacing w:line="240" w:lineRule="auto"/>
        <w:ind w:firstLine="709"/>
        <w:contextualSpacing/>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Во исполнение требований статьи 160.2-1 Бюджетного кодекса Российской Федерации проверенными ГАБС осуществляется внутренний финансовый аудит в соответствии с федеральными стандартами, установленными Министерством финансов Российской Федерации</w:t>
      </w:r>
      <w:r w:rsidRPr="00E47AA9">
        <w:rPr>
          <w:rFonts w:ascii="Times New Roman" w:eastAsia="Times New Roman" w:hAnsi="Times New Roman" w:cs="Times New Roman"/>
          <w:sz w:val="28"/>
          <w:szCs w:val="28"/>
          <w:vertAlign w:val="superscript"/>
          <w:lang w:eastAsia="ru-RU"/>
        </w:rPr>
        <w:footnoteReference w:id="105"/>
      </w:r>
      <w:r w:rsidRPr="00E47AA9">
        <w:rPr>
          <w:rFonts w:ascii="Times New Roman" w:eastAsia="Times New Roman" w:hAnsi="Times New Roman" w:cs="Times New Roman"/>
          <w:sz w:val="28"/>
          <w:szCs w:val="28"/>
          <w:lang w:eastAsia="ru-RU"/>
        </w:rPr>
        <w:t>.</w:t>
      </w:r>
    </w:p>
    <w:p w14:paraId="7FB51A77" w14:textId="093668CB" w:rsidR="00995D97" w:rsidRPr="00E47AA9" w:rsidRDefault="00995D97" w:rsidP="00995D97">
      <w:pPr>
        <w:spacing w:line="240" w:lineRule="auto"/>
        <w:ind w:firstLine="709"/>
        <w:contextualSpacing/>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Согласно предоставленной информации в 2024 году внутренний финансовый аудит по 43 ГАБС проводился следующим образом:</w:t>
      </w:r>
    </w:p>
    <w:p w14:paraId="61C54E1A" w14:textId="77777777" w:rsidR="00995D97" w:rsidRPr="00E47AA9" w:rsidRDefault="00995D97" w:rsidP="00995D97">
      <w:pPr>
        <w:spacing w:line="240" w:lineRule="auto"/>
        <w:ind w:firstLine="709"/>
        <w:contextualSpacing/>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в упрощенной форме ведения внутреннего финансового аудита по 23 ГАБС (в соответствии с пунктом 14 федерального стандарта № 237н руководитель принимает на себя и единолично несет ответственность за результаты выполнения бюджетных процедур, а также самостоятельно выполняет действия, направленные на достижение целей осуществления внутреннего финансового аудита);</w:t>
      </w:r>
    </w:p>
    <w:p w14:paraId="6952137C" w14:textId="77777777" w:rsidR="00995D97" w:rsidRPr="00E47AA9" w:rsidRDefault="00995D97" w:rsidP="00995D97">
      <w:pPr>
        <w:spacing w:line="240" w:lineRule="auto"/>
        <w:ind w:firstLine="709"/>
        <w:contextualSpacing/>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на основании соответствующих соглашений по передаче полномочий по ведению бюджетного учета государственным казенным учреждением "Центр бухгалтерского обслуживания – по 11 ГАБС; </w:t>
      </w:r>
    </w:p>
    <w:p w14:paraId="0CC2664C" w14:textId="77777777" w:rsidR="00995D97" w:rsidRPr="00E47AA9" w:rsidRDefault="00995D97" w:rsidP="00995D97">
      <w:pPr>
        <w:spacing w:line="240" w:lineRule="auto"/>
        <w:ind w:firstLine="709"/>
        <w:contextualSpacing/>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субъектами внутреннего финансового аудита – по 9 ГАБС.</w:t>
      </w:r>
    </w:p>
    <w:p w14:paraId="18DB3AD1" w14:textId="77777777" w:rsidR="00995D97" w:rsidRPr="00E47AA9" w:rsidRDefault="00995D97" w:rsidP="00995D97">
      <w:pPr>
        <w:spacing w:line="240" w:lineRule="auto"/>
        <w:ind w:firstLine="709"/>
        <w:contextualSpacing/>
        <w:jc w:val="both"/>
        <w:rPr>
          <w:rFonts w:ascii="Times New Roman" w:eastAsia="Times New Roman" w:hAnsi="Times New Roman" w:cs="Times New Roman"/>
          <w:sz w:val="28"/>
          <w:szCs w:val="28"/>
          <w:lang w:eastAsia="x-none"/>
        </w:rPr>
      </w:pPr>
      <w:r w:rsidRPr="00E47AA9">
        <w:rPr>
          <w:rFonts w:ascii="Times New Roman" w:eastAsia="Times New Roman" w:hAnsi="Times New Roman" w:cs="Times New Roman"/>
          <w:sz w:val="28"/>
          <w:szCs w:val="28"/>
          <w:lang w:eastAsia="x-none"/>
        </w:rPr>
        <w:t xml:space="preserve">В Контрольно-счетную палату предоставлены заключения (по Уполномоченному по правам человека в Приморском крае – отчет), содержащие информацию о степени надежности внутреннего финансового контроля, о достоверности годовой бюджетной отчетности. В заключениях по результатам аудиторских проверок указано, что при проведении аудиторских мероприятий не выявлены существенные ошибки, нарушения и недостатки, бюджетная отчетность ГАБС признана достоверной. </w:t>
      </w:r>
    </w:p>
    <w:p w14:paraId="075EDE3C" w14:textId="77777777" w:rsidR="005B6095" w:rsidRPr="00E47AA9" w:rsidRDefault="005B6095" w:rsidP="00995D97">
      <w:pPr>
        <w:spacing w:line="240" w:lineRule="auto"/>
        <w:ind w:firstLine="709"/>
        <w:contextualSpacing/>
        <w:jc w:val="both"/>
        <w:rPr>
          <w:rFonts w:ascii="Times New Roman" w:eastAsia="Times New Roman" w:hAnsi="Times New Roman" w:cs="Times New Roman"/>
          <w:sz w:val="28"/>
          <w:szCs w:val="28"/>
          <w:lang w:eastAsia="x-none"/>
        </w:rPr>
      </w:pPr>
    </w:p>
    <w:p w14:paraId="2D6C2929" w14:textId="77777777" w:rsidR="00995D97" w:rsidRPr="00E47AA9" w:rsidRDefault="00995D97" w:rsidP="00995D97">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8.2. Состояние дебиторской и кредиторской задолженности главных администраторов бюджетных средств краевого бюджета</w:t>
      </w:r>
    </w:p>
    <w:p w14:paraId="2973DD71" w14:textId="5D8056E6" w:rsidR="00995D97" w:rsidRPr="00E47AA9" w:rsidRDefault="00995D97" w:rsidP="00995D97">
      <w:pPr>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ab/>
        <w:t>В соответствии с показателями формы 0503169 "Сведения по дебиторской и кредиторской задолженности", представленной в составе годовой бюджетной отчетности</w:t>
      </w:r>
      <w:r w:rsidR="005B6095"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по 43 ГАБС за 2024 год Контрольно-счетной палатой проанализирована дебиторская и кредиторская задолженности по бюджетной деятельности. </w:t>
      </w:r>
    </w:p>
    <w:p w14:paraId="5D02FFD5" w14:textId="77777777"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Сведения о суммах задолженности на начало и на конец отчетного года в разрезе ГАБС представлены в приложении 4 к заключению.</w:t>
      </w:r>
    </w:p>
    <w:p w14:paraId="571D68AB" w14:textId="77777777" w:rsidR="00995D97" w:rsidRPr="00E47AA9" w:rsidRDefault="00995D97" w:rsidP="00ED0234">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8.2.1. Дебиторская задолженность</w:t>
      </w:r>
    </w:p>
    <w:p w14:paraId="1E453D3E" w14:textId="77777777"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Общий объем дебиторской задолженности по бюджетной деятельности ГАБС на конец 2024 года увеличился на 37,37 %, или на 42859,93 млн рублей, что составило 157542,21 млн рублей (на начало года – 114682,27 млн рублей). </w:t>
      </w:r>
    </w:p>
    <w:p w14:paraId="614B342F" w14:textId="77777777"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Просроченная дебиторская задолженность на конец года уменьшилась на 14,01 млн рублей (с 538,11 млн рублей до 524,09</w:t>
      </w:r>
      <w:r w:rsidRPr="00E47AA9">
        <w:rPr>
          <w:rFonts w:ascii="Times New Roman" w:eastAsia="Times New Roman" w:hAnsi="Times New Roman" w:cs="Times New Roman"/>
          <w:b/>
          <w:bCs/>
          <w:sz w:val="28"/>
          <w:szCs w:val="28"/>
          <w:lang w:eastAsia="ru-RU"/>
        </w:rPr>
        <w:t xml:space="preserve"> </w:t>
      </w:r>
      <w:r w:rsidRPr="00E47AA9">
        <w:rPr>
          <w:rFonts w:ascii="Times New Roman" w:eastAsia="Times New Roman" w:hAnsi="Times New Roman" w:cs="Times New Roman"/>
          <w:sz w:val="28"/>
          <w:szCs w:val="28"/>
          <w:lang w:eastAsia="ru-RU"/>
        </w:rPr>
        <w:t>млн рублей). Такая задолженность числится по шести ГАБС, из них самые максимальные объемы по:</w:t>
      </w:r>
    </w:p>
    <w:p w14:paraId="1D1DE5EA" w14:textId="53E1AF61"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министерству лесного хозяйства, охраны окружающей среды, животного мира и природных ресурсов Приморского края </w:t>
      </w:r>
      <w:r w:rsidR="005B6095"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441,01 млн рублей;</w:t>
      </w:r>
    </w:p>
    <w:p w14:paraId="1F09F8A2" w14:textId="13D48401"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lastRenderedPageBreak/>
        <w:t xml:space="preserve">министерству сельского хозяйства Приморского края </w:t>
      </w:r>
      <w:r w:rsidR="005B6095"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58,63 млн рублей;</w:t>
      </w:r>
    </w:p>
    <w:p w14:paraId="5C942249" w14:textId="4C3AAD4F"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министерству имущественных и земельных отношений Приморского края </w:t>
      </w:r>
      <w:r w:rsidR="005B6095"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24,40 млн рублей.</w:t>
      </w:r>
    </w:p>
    <w:p w14:paraId="57DF8717" w14:textId="7A5986B5" w:rsidR="00C5656D"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Контрольно-счетная палата Приморского края рекомендует принять меры по снижению и предотвращению роста просроченной дебиторской </w:t>
      </w:r>
      <w:r w:rsidR="00C5656D" w:rsidRPr="00E47AA9">
        <w:rPr>
          <w:rFonts w:ascii="Times New Roman" w:eastAsia="Times New Roman" w:hAnsi="Times New Roman" w:cs="Times New Roman"/>
          <w:sz w:val="28"/>
          <w:szCs w:val="28"/>
          <w:lang w:eastAsia="ru-RU"/>
        </w:rPr>
        <w:t>задолженности</w:t>
      </w:r>
      <w:r w:rsidR="005B6095" w:rsidRPr="00E47AA9">
        <w:rPr>
          <w:rFonts w:ascii="Times New Roman" w:eastAsia="Times New Roman" w:hAnsi="Times New Roman" w:cs="Times New Roman"/>
          <w:sz w:val="28"/>
          <w:szCs w:val="28"/>
          <w:lang w:eastAsia="ru-RU"/>
        </w:rPr>
        <w:t>,</w:t>
      </w:r>
      <w:r w:rsidR="00C5656D" w:rsidRPr="00E47AA9">
        <w:rPr>
          <w:rFonts w:ascii="Times New Roman" w:eastAsia="Times New Roman" w:hAnsi="Times New Roman" w:cs="Times New Roman"/>
          <w:sz w:val="28"/>
          <w:szCs w:val="28"/>
          <w:lang w:eastAsia="ru-RU"/>
        </w:rPr>
        <w:t xml:space="preserve"> включая усиление взыскания просроченных платежей, совершенствование контроля за использованием бюджетных средств.</w:t>
      </w:r>
    </w:p>
    <w:p w14:paraId="68E10F89" w14:textId="49D7E42E"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конец отчетного года уменьшили дебиторскую задолженность 8 ГАБС, сократил в полном объеме 1 ГАБС, увеличили задолженность 32 ведомства</w:t>
      </w:r>
      <w:r w:rsidR="005B6095"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включая агентство по гидротехническим сооружениям, мелиорации и гидрологии Приморского края</w:t>
      </w:r>
      <w:r w:rsidRPr="00E47AA9">
        <w:rPr>
          <w:rFonts w:ascii="Times New Roman" w:eastAsia="Times New Roman" w:hAnsi="Times New Roman" w:cs="Times New Roman"/>
          <w:sz w:val="28"/>
          <w:szCs w:val="28"/>
          <w:vertAlign w:val="superscript"/>
          <w:lang w:eastAsia="ru-RU"/>
        </w:rPr>
        <w:footnoteReference w:id="106"/>
      </w:r>
      <w:r w:rsidRPr="00E47AA9">
        <w:rPr>
          <w:rFonts w:ascii="Times New Roman" w:eastAsia="Times New Roman" w:hAnsi="Times New Roman" w:cs="Times New Roman"/>
          <w:sz w:val="28"/>
          <w:szCs w:val="28"/>
          <w:lang w:eastAsia="ru-RU"/>
        </w:rPr>
        <w:t>, что обусловлено его созданием в отчетном году.</w:t>
      </w:r>
    </w:p>
    <w:p w14:paraId="1D1DF26F" w14:textId="77777777"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Таким образом, из 43 ведомств дебиторская задолженность значится по 40 ГАБС. </w:t>
      </w:r>
    </w:p>
    <w:p w14:paraId="20EA42E0" w14:textId="77777777"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Значительные объемы дебиторской задолженности приходятся на: </w:t>
      </w:r>
    </w:p>
    <w:p w14:paraId="561447D7" w14:textId="77777777"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министерство транспорта и дорожного хозяйства Приморского края – 25847,95 млн рублей (доля в общем объеме дебиторской задолженности 16,41 %);</w:t>
      </w:r>
    </w:p>
    <w:p w14:paraId="6314F359" w14:textId="77777777"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министерство труда и социальной политики Приморского края – 24065,06 млн рублей (доля 15,28 %);</w:t>
      </w:r>
    </w:p>
    <w:p w14:paraId="35C87AEB" w14:textId="77777777"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министерство экономического развития Приморского края – 18060,</w:t>
      </w:r>
      <w:r w:rsidRPr="00E47AA9">
        <w:rPr>
          <w:rFonts w:ascii="Times New Roman" w:hAnsi="Times New Roman" w:cs="Times New Roman"/>
          <w:sz w:val="28"/>
          <w:szCs w:val="28"/>
        </w:rPr>
        <w:t>87 млн</w:t>
      </w:r>
      <w:r w:rsidRPr="00E47AA9">
        <w:rPr>
          <w:rFonts w:ascii="Times New Roman" w:eastAsia="Times New Roman" w:hAnsi="Times New Roman" w:cs="Times New Roman"/>
          <w:sz w:val="28"/>
          <w:szCs w:val="28"/>
          <w:lang w:eastAsia="ru-RU"/>
        </w:rPr>
        <w:t xml:space="preserve"> рублей (доля 11,46 %);</w:t>
      </w:r>
    </w:p>
    <w:p w14:paraId="67205E30" w14:textId="10185BDC"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министерство лесного хозяйства, охраны окружающей среды, животного мира и природных ресурсов Приморского края </w:t>
      </w:r>
      <w:r w:rsidR="005B6095"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18038,39 </w:t>
      </w:r>
      <w:r w:rsidRPr="00E47AA9">
        <w:rPr>
          <w:rFonts w:ascii="Times New Roman" w:hAnsi="Times New Roman" w:cs="Times New Roman"/>
          <w:sz w:val="28"/>
          <w:szCs w:val="28"/>
        </w:rPr>
        <w:t>млн рублей</w:t>
      </w:r>
      <w:r w:rsidRPr="00E47AA9">
        <w:rPr>
          <w:rFonts w:ascii="Times New Roman" w:eastAsia="Times New Roman" w:hAnsi="Times New Roman" w:cs="Times New Roman"/>
          <w:sz w:val="28"/>
          <w:szCs w:val="28"/>
          <w:lang w:eastAsia="ru-RU"/>
        </w:rPr>
        <w:t xml:space="preserve"> (11,45 %);</w:t>
      </w:r>
    </w:p>
    <w:p w14:paraId="5FCA48F4" w14:textId="77777777"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министерство образования Приморского края – 14569,23 млн рублей (9,25 %);</w:t>
      </w:r>
    </w:p>
    <w:p w14:paraId="6E5D9998" w14:textId="77777777"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министерство строительства Приморского края – 12217,02 млн рублей (7,75</w:t>
      </w:r>
      <w:r w:rsidRPr="00E47AA9">
        <w:t> </w:t>
      </w:r>
      <w:r w:rsidRPr="00E47AA9">
        <w:rPr>
          <w:rFonts w:ascii="Times New Roman" w:eastAsia="Times New Roman" w:hAnsi="Times New Roman" w:cs="Times New Roman"/>
          <w:sz w:val="28"/>
          <w:szCs w:val="28"/>
          <w:lang w:eastAsia="ru-RU"/>
        </w:rPr>
        <w:t>%);</w:t>
      </w:r>
    </w:p>
    <w:p w14:paraId="17DA5E12" w14:textId="77777777"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министерство финансов Приморского края – 10485,53 млн рублей (6,66 %).</w:t>
      </w:r>
    </w:p>
    <w:p w14:paraId="5126D323" w14:textId="60C99EC8"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структуре дебиторской задолженности основной объем приходится </w:t>
      </w:r>
      <w:r w:rsidR="00117474" w:rsidRPr="00E47AA9">
        <w:rPr>
          <w:rFonts w:ascii="Times New Roman" w:eastAsia="Times New Roman" w:hAnsi="Times New Roman" w:cs="Times New Roman"/>
          <w:sz w:val="28"/>
          <w:szCs w:val="28"/>
          <w:lang w:eastAsia="ru-RU"/>
        </w:rPr>
        <w:t>на</w:t>
      </w:r>
      <w:r w:rsidRPr="00E47AA9">
        <w:rPr>
          <w:rFonts w:ascii="Times New Roman" w:eastAsia="Times New Roman" w:hAnsi="Times New Roman" w:cs="Times New Roman"/>
          <w:sz w:val="28"/>
          <w:szCs w:val="28"/>
          <w:lang w:eastAsia="ru-RU"/>
        </w:rPr>
        <w:t xml:space="preserve"> расчет</w:t>
      </w:r>
      <w:r w:rsidR="00117474" w:rsidRPr="00E47AA9">
        <w:rPr>
          <w:rFonts w:ascii="Times New Roman" w:eastAsia="Times New Roman" w:hAnsi="Times New Roman" w:cs="Times New Roman"/>
          <w:sz w:val="28"/>
          <w:szCs w:val="28"/>
          <w:lang w:eastAsia="ru-RU"/>
        </w:rPr>
        <w:t>ы</w:t>
      </w:r>
      <w:r w:rsidRPr="00E47AA9">
        <w:rPr>
          <w:rFonts w:ascii="Times New Roman" w:eastAsia="Times New Roman" w:hAnsi="Times New Roman" w:cs="Times New Roman"/>
          <w:sz w:val="28"/>
          <w:szCs w:val="28"/>
          <w:lang w:eastAsia="ru-RU"/>
        </w:rPr>
        <w:t xml:space="preserve"> по доходам 82,67 % общей суммы задолженности, которые отражены по </w:t>
      </w:r>
      <w:r w:rsidRPr="00E47AA9">
        <w:rPr>
          <w:rFonts w:ascii="Times New Roman" w:hAnsi="Times New Roman" w:cs="Times New Roman"/>
          <w:sz w:val="28"/>
          <w:szCs w:val="28"/>
        </w:rPr>
        <w:t>24 ГАБС</w:t>
      </w:r>
      <w:r w:rsidRPr="00E47AA9">
        <w:rPr>
          <w:rFonts w:ascii="Times New Roman" w:eastAsia="Times New Roman" w:hAnsi="Times New Roman" w:cs="Times New Roman"/>
          <w:sz w:val="36"/>
          <w:szCs w:val="36"/>
          <w:lang w:eastAsia="ru-RU"/>
        </w:rPr>
        <w:t xml:space="preserve"> </w:t>
      </w:r>
      <w:r w:rsidRPr="00E47AA9">
        <w:rPr>
          <w:rFonts w:ascii="Times New Roman" w:eastAsia="Times New Roman" w:hAnsi="Times New Roman" w:cs="Times New Roman"/>
          <w:sz w:val="28"/>
          <w:szCs w:val="28"/>
          <w:lang w:eastAsia="ru-RU"/>
        </w:rPr>
        <w:t>на общую сумму 130238,49 млн рублей, из них</w:t>
      </w:r>
      <w:r w:rsidR="00714850" w:rsidRPr="00E47AA9">
        <w:rPr>
          <w:rFonts w:ascii="Times New Roman" w:eastAsia="Times New Roman" w:hAnsi="Times New Roman" w:cs="Times New Roman"/>
          <w:sz w:val="28"/>
          <w:szCs w:val="28"/>
          <w:lang w:eastAsia="ru-RU"/>
        </w:rPr>
        <w:t xml:space="preserve"> по </w:t>
      </w:r>
      <w:r w:rsidRPr="00E47AA9">
        <w:rPr>
          <w:rFonts w:ascii="Times New Roman" w:eastAsia="Times New Roman" w:hAnsi="Times New Roman" w:cs="Times New Roman"/>
          <w:sz w:val="28"/>
          <w:szCs w:val="28"/>
          <w:lang w:eastAsia="ru-RU"/>
        </w:rPr>
        <w:t>расчетам по</w:t>
      </w:r>
      <w:r w:rsidRPr="00E47AA9">
        <w:rPr>
          <w:rFonts w:ascii="Calibri" w:eastAsia="Calibri" w:hAnsi="Calibri" w:cs="Times New Roman"/>
        </w:rPr>
        <w:t xml:space="preserve"> </w:t>
      </w:r>
      <w:r w:rsidRPr="00E47AA9">
        <w:rPr>
          <w:rFonts w:ascii="Times New Roman" w:eastAsia="Times New Roman" w:hAnsi="Times New Roman" w:cs="Times New Roman"/>
          <w:sz w:val="28"/>
          <w:szCs w:val="28"/>
          <w:lang w:eastAsia="ru-RU"/>
        </w:rPr>
        <w:t xml:space="preserve">безвозмездным поступлениям текущего характера – 95897,44 млн рублей, в которых учитываются неиспользованные остатки межбюджетных трансфертов, в том числе муниципальными образованиями Приморского края, подлежащие возврату в краевой бюджет в 2025 году; иные межбюджетные трансферты, отраженные в соответствии с требованиями приказа Минфина </w:t>
      </w:r>
      <w:r w:rsidRPr="00E47AA9">
        <w:rPr>
          <w:rFonts w:ascii="Times New Roman" w:eastAsia="Times New Roman" w:hAnsi="Times New Roman" w:cs="Times New Roman"/>
          <w:sz w:val="28"/>
          <w:szCs w:val="28"/>
          <w:lang w:eastAsia="ru-RU"/>
        </w:rPr>
        <w:lastRenderedPageBreak/>
        <w:t>России от 27.02.2018 № 32н "Об утверждении федерального стандарта бухгалтерского учета для организаций государственного сектора "Доходы"</w:t>
      </w:r>
      <w:r w:rsidRPr="00E47AA9">
        <w:rPr>
          <w:rFonts w:ascii="Times New Roman" w:eastAsia="Times New Roman" w:hAnsi="Times New Roman" w:cs="Times New Roman"/>
          <w:sz w:val="28"/>
          <w:szCs w:val="28"/>
          <w:vertAlign w:val="superscript"/>
          <w:lang w:eastAsia="ru-RU"/>
        </w:rPr>
        <w:footnoteReference w:id="107"/>
      </w:r>
      <w:r w:rsidRPr="00E47AA9">
        <w:rPr>
          <w:rFonts w:ascii="Times New Roman" w:eastAsia="Times New Roman" w:hAnsi="Times New Roman" w:cs="Times New Roman"/>
          <w:sz w:val="28"/>
          <w:szCs w:val="28"/>
          <w:lang w:eastAsia="ru-RU"/>
        </w:rPr>
        <w:t xml:space="preserve">. </w:t>
      </w:r>
    </w:p>
    <w:p w14:paraId="597EB80F" w14:textId="77777777" w:rsidR="00995D97" w:rsidRPr="00E47AA9" w:rsidRDefault="00995D97" w:rsidP="00995D97">
      <w:pPr>
        <w:spacing w:after="0" w:line="240" w:lineRule="auto"/>
        <w:ind w:firstLine="708"/>
        <w:jc w:val="both"/>
        <w:rPr>
          <w:rFonts w:ascii="Times New Roman" w:eastAsia="Times New Roman" w:hAnsi="Times New Roman" w:cs="Times New Roman"/>
          <w:sz w:val="36"/>
          <w:szCs w:val="36"/>
          <w:lang w:eastAsia="ru-RU"/>
        </w:rPr>
      </w:pPr>
      <w:r w:rsidRPr="00E47AA9">
        <w:rPr>
          <w:rFonts w:ascii="Times New Roman" w:eastAsia="Times New Roman" w:hAnsi="Times New Roman" w:cs="Times New Roman"/>
          <w:bCs/>
          <w:iCs/>
          <w:sz w:val="28"/>
          <w:szCs w:val="28"/>
          <w:lang w:eastAsia="ru-RU"/>
        </w:rPr>
        <w:t>Дебиторская задолженность</w:t>
      </w:r>
      <w:r w:rsidRPr="00E47AA9">
        <w:rPr>
          <w:rFonts w:ascii="Times New Roman" w:eastAsia="Times New Roman" w:hAnsi="Times New Roman" w:cs="Times New Roman"/>
          <w:sz w:val="28"/>
          <w:szCs w:val="28"/>
          <w:lang w:eastAsia="ru-RU"/>
        </w:rPr>
        <w:t xml:space="preserve"> по расчетам по выданным авансам </w:t>
      </w:r>
      <w:r w:rsidRPr="00E47AA9">
        <w:rPr>
          <w:rFonts w:ascii="Times New Roman" w:eastAsia="Times New Roman" w:hAnsi="Times New Roman" w:cs="Times New Roman"/>
          <w:bCs/>
          <w:iCs/>
          <w:sz w:val="28"/>
          <w:szCs w:val="28"/>
          <w:lang w:eastAsia="ru-RU"/>
        </w:rPr>
        <w:t>числится по 27 ГАБС и на нее</w:t>
      </w:r>
      <w:r w:rsidRPr="00E47AA9">
        <w:rPr>
          <w:rFonts w:ascii="Times New Roman" w:eastAsia="Times New Roman" w:hAnsi="Times New Roman" w:cs="Times New Roman"/>
          <w:sz w:val="28"/>
          <w:szCs w:val="28"/>
          <w:lang w:eastAsia="ru-RU"/>
        </w:rPr>
        <w:t xml:space="preserve"> приходится 15,49 % от общего объема, или 24409,</w:t>
      </w:r>
      <w:r w:rsidRPr="00E47AA9">
        <w:rPr>
          <w:rFonts w:ascii="Times New Roman" w:hAnsi="Times New Roman" w:cs="Times New Roman"/>
          <w:sz w:val="28"/>
          <w:szCs w:val="28"/>
        </w:rPr>
        <w:t>77 млн рублей</w:t>
      </w:r>
      <w:r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36"/>
          <w:szCs w:val="36"/>
          <w:lang w:eastAsia="ru-RU"/>
        </w:rPr>
        <w:t xml:space="preserve"> </w:t>
      </w:r>
    </w:p>
    <w:p w14:paraId="6D680930" w14:textId="42BE4148" w:rsidR="00995D97" w:rsidRPr="00E47AA9" w:rsidRDefault="00714850" w:rsidP="00995D97">
      <w:pPr>
        <w:spacing w:after="0" w:line="240" w:lineRule="auto"/>
        <w:ind w:firstLine="708"/>
        <w:jc w:val="both"/>
        <w:rPr>
          <w:rFonts w:ascii="Times New Roman" w:eastAsia="Times New Roman" w:hAnsi="Times New Roman" w:cs="Times New Roman"/>
          <w:strike/>
          <w:sz w:val="28"/>
          <w:szCs w:val="28"/>
          <w:lang w:eastAsia="ru-RU"/>
        </w:rPr>
      </w:pPr>
      <w:r w:rsidRPr="00E47AA9">
        <w:rPr>
          <w:rFonts w:ascii="Times New Roman" w:eastAsia="Times New Roman" w:hAnsi="Times New Roman" w:cs="Times New Roman"/>
          <w:sz w:val="28"/>
          <w:szCs w:val="28"/>
          <w:lang w:eastAsia="ru-RU"/>
        </w:rPr>
        <w:t>На</w:t>
      </w:r>
      <w:r w:rsidR="00995D97" w:rsidRPr="00E47AA9">
        <w:rPr>
          <w:rFonts w:ascii="Times New Roman" w:eastAsia="Times New Roman" w:hAnsi="Times New Roman" w:cs="Times New Roman"/>
          <w:sz w:val="28"/>
          <w:szCs w:val="28"/>
          <w:lang w:eastAsia="ru-RU"/>
        </w:rPr>
        <w:t xml:space="preserve"> расчет</w:t>
      </w:r>
      <w:r w:rsidRPr="00E47AA9">
        <w:rPr>
          <w:rFonts w:ascii="Times New Roman" w:eastAsia="Times New Roman" w:hAnsi="Times New Roman" w:cs="Times New Roman"/>
          <w:sz w:val="28"/>
          <w:szCs w:val="28"/>
          <w:lang w:eastAsia="ru-RU"/>
        </w:rPr>
        <w:t>ы</w:t>
      </w:r>
      <w:r w:rsidR="00995D97" w:rsidRPr="00E47AA9">
        <w:rPr>
          <w:rFonts w:ascii="Times New Roman" w:eastAsia="Times New Roman" w:hAnsi="Times New Roman" w:cs="Times New Roman"/>
          <w:sz w:val="28"/>
          <w:szCs w:val="28"/>
          <w:lang w:eastAsia="ru-RU"/>
        </w:rPr>
        <w:t xml:space="preserve"> по ущербу и иным доходам дебиторская задолженность составляет 1,83 % от общей суммы задолженности и отражена по 28 ГАБС на общую сумму 2886,73 млн рублей.</w:t>
      </w:r>
    </w:p>
    <w:p w14:paraId="4B356C4D" w14:textId="38B5960C" w:rsidR="00995D97" w:rsidRPr="00E47AA9" w:rsidRDefault="00995D97" w:rsidP="003212FC">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По остальным расчетам приходится менее 1 процента: с подотчетными лицам</w:t>
      </w:r>
      <w:r w:rsidR="005B6095" w:rsidRPr="00E47AA9">
        <w:rPr>
          <w:rFonts w:ascii="Times New Roman" w:eastAsia="Times New Roman" w:hAnsi="Times New Roman" w:cs="Times New Roman"/>
          <w:sz w:val="28"/>
          <w:szCs w:val="28"/>
          <w:lang w:eastAsia="ru-RU"/>
        </w:rPr>
        <w:t>и – 6,84 млн рублей (по 8 ГАБС),</w:t>
      </w:r>
      <w:r w:rsidR="003212FC" w:rsidRPr="00E47AA9">
        <w:rPr>
          <w:rFonts w:ascii="Times New Roman" w:eastAsia="Times New Roman" w:hAnsi="Times New Roman" w:cs="Times New Roman"/>
          <w:sz w:val="28"/>
          <w:szCs w:val="28"/>
          <w:lang w:eastAsia="ru-RU"/>
        </w:rPr>
        <w:t xml:space="preserve"> </w:t>
      </w:r>
      <w:r w:rsidRPr="00E47AA9">
        <w:rPr>
          <w:rFonts w:ascii="Times New Roman" w:eastAsia="Times New Roman" w:hAnsi="Times New Roman" w:cs="Times New Roman"/>
          <w:sz w:val="28"/>
          <w:szCs w:val="28"/>
          <w:lang w:eastAsia="ru-RU"/>
        </w:rPr>
        <w:t>по платежам в бюджеты – 0,38 млн рублей (по 3 ГАБС).</w:t>
      </w:r>
    </w:p>
    <w:p w14:paraId="5B88952C" w14:textId="77777777" w:rsidR="00995D97" w:rsidRPr="00E47AA9" w:rsidRDefault="00995D97" w:rsidP="00ED0234">
      <w:pPr>
        <w:spacing w:after="0" w:line="240" w:lineRule="auto"/>
        <w:jc w:val="center"/>
        <w:rPr>
          <w:rFonts w:ascii="Times New Roman" w:eastAsia="Times New Roman" w:hAnsi="Times New Roman" w:cs="Times New Roman"/>
          <w:sz w:val="28"/>
          <w:szCs w:val="28"/>
          <w:lang w:eastAsia="ru-RU"/>
        </w:rPr>
      </w:pPr>
      <w:r w:rsidRPr="00E47AA9">
        <w:rPr>
          <w:rFonts w:ascii="Times New Roman" w:eastAsia="Times New Roman" w:hAnsi="Times New Roman" w:cs="Times New Roman"/>
          <w:b/>
          <w:sz w:val="28"/>
          <w:szCs w:val="28"/>
          <w:lang w:eastAsia="ru-RU"/>
        </w:rPr>
        <w:t>8.2.2. Кредиторская задолженность</w:t>
      </w:r>
    </w:p>
    <w:p w14:paraId="21CF929A" w14:textId="77777777"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Значительные объемы кредиторской задолженности отчетного финансового года влияют на исполнение краевого бюджета в очередном финансовом году. </w:t>
      </w:r>
    </w:p>
    <w:p w14:paraId="3337DAB7" w14:textId="77777777" w:rsidR="00995D97" w:rsidRPr="00E47AA9" w:rsidRDefault="00995D97" w:rsidP="00995D97">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 конец 2024 года к</w:t>
      </w:r>
      <w:r w:rsidRPr="00E47AA9">
        <w:rPr>
          <w:rFonts w:ascii="Times New Roman" w:eastAsia="Times New Roman" w:hAnsi="Times New Roman" w:cs="Times New Roman"/>
          <w:bCs/>
          <w:sz w:val="28"/>
          <w:szCs w:val="28"/>
          <w:lang w:eastAsia="ru-RU"/>
        </w:rPr>
        <w:t>редиторская задолженность по бюджетной деятельности</w:t>
      </w:r>
      <w:r w:rsidRPr="00E47AA9">
        <w:rPr>
          <w:rFonts w:ascii="Times New Roman" w:eastAsia="Times New Roman" w:hAnsi="Times New Roman" w:cs="Times New Roman"/>
          <w:sz w:val="28"/>
          <w:szCs w:val="28"/>
          <w:lang w:eastAsia="ru-RU"/>
        </w:rPr>
        <w:t xml:space="preserve"> (без учета суммы доходов будущих периодов, суммы резервов предстоящих расходов) составила 1855,57 млн рублей, со снижением на 39,84 %, или на 1229,03 млн рублей, к уровню на начало года – 3084,60 млн рублей. </w:t>
      </w:r>
    </w:p>
    <w:p w14:paraId="00CE5DE0" w14:textId="77777777" w:rsidR="00995D97" w:rsidRPr="00E47AA9" w:rsidRDefault="00995D97" w:rsidP="00995D97">
      <w:pPr>
        <w:tabs>
          <w:tab w:val="left" w:pos="0"/>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На конец 2024 года кредиторскую задолженность: </w:t>
      </w:r>
    </w:p>
    <w:p w14:paraId="07F4011E" w14:textId="77777777" w:rsidR="00995D97" w:rsidRPr="00E47AA9" w:rsidRDefault="00995D97" w:rsidP="00995D97">
      <w:pPr>
        <w:tabs>
          <w:tab w:val="left" w:pos="0"/>
        </w:tabs>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ab/>
        <w:t>увеличили 7 ГАБС, из них наибольшие объемы имеют министерство профессионального образования и занятости населения Приморского края – на 7,42 млн рублей и министерство имущественных и земельных отношений Приморского края – на 4,28 млн рублей;</w:t>
      </w:r>
    </w:p>
    <w:p w14:paraId="36DB8BDB" w14:textId="77777777" w:rsidR="00995D97" w:rsidRPr="00E47AA9" w:rsidRDefault="00995D97" w:rsidP="00995D97">
      <w:pPr>
        <w:tabs>
          <w:tab w:val="left" w:pos="0"/>
        </w:tabs>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ab/>
        <w:t>снизили – 11 ГАБС, из которых значительный объем у министерства строительства Приморского края – на 1115,98 млн рублей;</w:t>
      </w:r>
    </w:p>
    <w:p w14:paraId="1F911921" w14:textId="77777777" w:rsidR="00995D97" w:rsidRPr="00E47AA9" w:rsidRDefault="00995D97" w:rsidP="00995D97">
      <w:pPr>
        <w:tabs>
          <w:tab w:val="left" w:pos="0"/>
        </w:tabs>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ab/>
        <w:t>полностью сократили – 5 ГАБС: министерство жилищно-коммунального хозяйства Приморского края (5,89 млн рублей), департамент внутренней политики Приморского края (34,35 тыс. рублей), министерство финансов Приморского края (19,04 тыс. рублей), министерство лесного хозяйства, охраны окружающей среды, животного мира и природных ресурсов Приморского края (4,</w:t>
      </w:r>
      <w:r w:rsidRPr="00E47AA9">
        <w:rPr>
          <w:rFonts w:ascii="Times New Roman" w:hAnsi="Times New Roman" w:cs="Times New Roman"/>
          <w:sz w:val="28"/>
          <w:szCs w:val="28"/>
        </w:rPr>
        <w:t>85 тыс</w:t>
      </w:r>
      <w:r w:rsidRPr="00E47AA9">
        <w:rPr>
          <w:rFonts w:ascii="Times New Roman" w:eastAsia="Times New Roman" w:hAnsi="Times New Roman" w:cs="Times New Roman"/>
          <w:sz w:val="28"/>
          <w:szCs w:val="28"/>
          <w:lang w:eastAsia="ru-RU"/>
        </w:rPr>
        <w:t>.</w:t>
      </w:r>
      <w:r w:rsidRPr="00E47AA9">
        <w:t> </w:t>
      </w:r>
      <w:r w:rsidRPr="00E47AA9">
        <w:rPr>
          <w:rFonts w:ascii="Times New Roman" w:eastAsia="Times New Roman" w:hAnsi="Times New Roman" w:cs="Times New Roman"/>
          <w:sz w:val="28"/>
          <w:szCs w:val="28"/>
          <w:lang w:eastAsia="ru-RU"/>
        </w:rPr>
        <w:t>рублей), министерство культуры и архивного дела Приморского края (2,02 тыс. рублей).</w:t>
      </w:r>
    </w:p>
    <w:p w14:paraId="1C7DCA93" w14:textId="77777777" w:rsidR="00995D97" w:rsidRPr="00E47AA9" w:rsidRDefault="00995D97" w:rsidP="00995D97">
      <w:pPr>
        <w:tabs>
          <w:tab w:val="left" w:pos="0"/>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Таким образом, на конец отчетного года из 43 ГАБС кредиторская задолженность отсутствует по 20 и значится по 23 ведомствам. Задолженность носит текущий характер, просроченная кредиторская задолженность не значится.</w:t>
      </w:r>
    </w:p>
    <w:p w14:paraId="20D13D19" w14:textId="77777777" w:rsidR="00995D97" w:rsidRPr="00E47AA9" w:rsidRDefault="00995D97" w:rsidP="00995D97">
      <w:pPr>
        <w:tabs>
          <w:tab w:val="left" w:pos="0"/>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общем объеме кредиторской задолженности из 23 ГАБС наибольшая доля приходится на министерство транспорта и дорожного хозяйства Приморского края (77,14 %, или 1431,35 млн рублей) и министерство </w:t>
      </w:r>
      <w:r w:rsidRPr="00E47AA9">
        <w:rPr>
          <w:rFonts w:ascii="Times New Roman" w:eastAsia="Times New Roman" w:hAnsi="Times New Roman" w:cs="Times New Roman"/>
          <w:sz w:val="28"/>
          <w:szCs w:val="28"/>
          <w:lang w:eastAsia="ru-RU"/>
        </w:rPr>
        <w:lastRenderedPageBreak/>
        <w:t xml:space="preserve">физической культуры и спорта Приморского края (10,87 %, или 201,73 млн рублей). </w:t>
      </w:r>
    </w:p>
    <w:p w14:paraId="1621BDCE" w14:textId="198998F5" w:rsidR="00995D97" w:rsidRPr="00E47AA9" w:rsidRDefault="00995D97" w:rsidP="00995D97">
      <w:pPr>
        <w:tabs>
          <w:tab w:val="left" w:pos="0"/>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В структуре задолженности наибольшее суммовое значение отражено по расчетам по принятым обязательствам. Задолженность отражена по 8 ГАБС. Доля в общем объеме составила 89,02 %, или 1651,77 млн рублей. </w:t>
      </w:r>
      <w:r w:rsidR="008D0E1B" w:rsidRPr="00E47AA9">
        <w:rPr>
          <w:rFonts w:ascii="Times New Roman" w:eastAsia="Times New Roman" w:hAnsi="Times New Roman" w:cs="Times New Roman"/>
          <w:sz w:val="28"/>
          <w:szCs w:val="28"/>
          <w:lang w:eastAsia="ru-RU"/>
        </w:rPr>
        <w:t xml:space="preserve">Наибольшая доля, </w:t>
      </w:r>
      <w:r w:rsidRPr="00E47AA9">
        <w:rPr>
          <w:rFonts w:ascii="Times New Roman" w:eastAsia="Times New Roman" w:hAnsi="Times New Roman" w:cs="Times New Roman"/>
          <w:sz w:val="28"/>
          <w:szCs w:val="28"/>
          <w:lang w:eastAsia="ru-RU"/>
        </w:rPr>
        <w:t>86,66 %</w:t>
      </w:r>
      <w:r w:rsidR="008D0E1B"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приходится на министерство транспорта и дорожного хозяйства Приморского края (1431,35 млн рублей) и </w:t>
      </w:r>
      <w:r w:rsidR="008D0E1B" w:rsidRPr="00E47AA9">
        <w:rPr>
          <w:rFonts w:ascii="Times New Roman" w:eastAsia="Times New Roman" w:hAnsi="Times New Roman" w:cs="Times New Roman"/>
          <w:sz w:val="28"/>
          <w:szCs w:val="28"/>
          <w:lang w:eastAsia="ru-RU"/>
        </w:rPr>
        <w:t>значительная доля –</w:t>
      </w:r>
      <w:r w:rsidRPr="00E47AA9">
        <w:rPr>
          <w:rFonts w:ascii="Times New Roman" w:eastAsia="Times New Roman" w:hAnsi="Times New Roman" w:cs="Times New Roman"/>
          <w:sz w:val="28"/>
          <w:szCs w:val="28"/>
          <w:lang w:eastAsia="ru-RU"/>
        </w:rPr>
        <w:t xml:space="preserve"> 12,21 % на министерство физической культуры и спорта Приморского края (201,73 млн рублей).</w:t>
      </w:r>
    </w:p>
    <w:p w14:paraId="277B3385" w14:textId="68EB27A9" w:rsidR="00995D97" w:rsidRPr="00E47AA9" w:rsidRDefault="00A2598E" w:rsidP="00995D97">
      <w:pPr>
        <w:tabs>
          <w:tab w:val="left" w:pos="0"/>
        </w:tabs>
        <w:spacing w:after="0" w:line="240" w:lineRule="auto"/>
        <w:ind w:firstLine="709"/>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На</w:t>
      </w:r>
      <w:r w:rsidR="00995D97" w:rsidRPr="00E47AA9">
        <w:rPr>
          <w:rFonts w:ascii="Times New Roman" w:eastAsia="Times New Roman" w:hAnsi="Times New Roman" w:cs="Times New Roman"/>
          <w:sz w:val="28"/>
          <w:szCs w:val="28"/>
          <w:lang w:eastAsia="ru-RU"/>
        </w:rPr>
        <w:t xml:space="preserve"> расчет</w:t>
      </w:r>
      <w:r w:rsidRPr="00E47AA9">
        <w:rPr>
          <w:rFonts w:ascii="Times New Roman" w:eastAsia="Times New Roman" w:hAnsi="Times New Roman" w:cs="Times New Roman"/>
          <w:sz w:val="28"/>
          <w:szCs w:val="28"/>
          <w:lang w:eastAsia="ru-RU"/>
        </w:rPr>
        <w:t>ы</w:t>
      </w:r>
      <w:r w:rsidR="00995D97" w:rsidRPr="00E47AA9">
        <w:rPr>
          <w:rFonts w:ascii="Times New Roman" w:eastAsia="Times New Roman" w:hAnsi="Times New Roman" w:cs="Times New Roman"/>
          <w:sz w:val="28"/>
          <w:szCs w:val="28"/>
          <w:lang w:eastAsia="ru-RU"/>
        </w:rPr>
        <w:t xml:space="preserve"> по доходам задолженность </w:t>
      </w:r>
      <w:r w:rsidR="00995D97" w:rsidRPr="00E47AA9">
        <w:rPr>
          <w:rFonts w:ascii="Times New Roman" w:eastAsia="Times New Roman" w:hAnsi="Times New Roman" w:cs="Times New Roman"/>
          <w:bCs/>
          <w:iCs/>
          <w:sz w:val="28"/>
          <w:szCs w:val="28"/>
          <w:lang w:eastAsia="ru-RU"/>
        </w:rPr>
        <w:t xml:space="preserve">значится по 10 ГАБС. </w:t>
      </w:r>
      <w:r w:rsidR="00995D97" w:rsidRPr="00E47AA9">
        <w:rPr>
          <w:rFonts w:ascii="Times New Roman" w:eastAsia="Times New Roman" w:hAnsi="Times New Roman" w:cs="Times New Roman"/>
          <w:sz w:val="28"/>
          <w:szCs w:val="28"/>
          <w:lang w:eastAsia="ru-RU"/>
        </w:rPr>
        <w:t xml:space="preserve">На долю таких расчетов приходится 9,76 %, или 181,17 млн рублей. На конец года основная доля приходится на министерство строительства Приморского края и составляет 92,39 %, или 167,39 млн рублей, а именно: расчетам по поступлениям текущего характера </w:t>
      </w:r>
      <w:r w:rsidR="008D0E1B" w:rsidRPr="00E47AA9">
        <w:rPr>
          <w:rFonts w:ascii="Times New Roman" w:eastAsia="Times New Roman" w:hAnsi="Times New Roman" w:cs="Times New Roman"/>
          <w:sz w:val="28"/>
          <w:szCs w:val="28"/>
          <w:lang w:eastAsia="ru-RU"/>
        </w:rPr>
        <w:t>–</w:t>
      </w:r>
      <w:r w:rsidR="00995D97" w:rsidRPr="00E47AA9">
        <w:rPr>
          <w:rFonts w:ascii="Times New Roman" w:eastAsia="Times New Roman" w:hAnsi="Times New Roman" w:cs="Times New Roman"/>
          <w:sz w:val="28"/>
          <w:szCs w:val="28"/>
          <w:lang w:eastAsia="ru-RU"/>
        </w:rPr>
        <w:t xml:space="preserve"> 167,</w:t>
      </w:r>
      <w:r w:rsidR="00995D97" w:rsidRPr="00E47AA9">
        <w:rPr>
          <w:rFonts w:ascii="Times New Roman" w:hAnsi="Times New Roman" w:cs="Times New Roman"/>
          <w:sz w:val="28"/>
          <w:szCs w:val="28"/>
        </w:rPr>
        <w:t>34 млн</w:t>
      </w:r>
      <w:r w:rsidR="00995D97" w:rsidRPr="00E47AA9">
        <w:rPr>
          <w:rFonts w:ascii="Times New Roman" w:eastAsia="Times New Roman" w:hAnsi="Times New Roman" w:cs="Times New Roman"/>
          <w:sz w:val="28"/>
          <w:szCs w:val="28"/>
          <w:lang w:eastAsia="ru-RU"/>
        </w:rPr>
        <w:t xml:space="preserve"> рублей по безвозмездным поступлениям от государственной корпорации – Фонда содействия реформированию жилищно-коммунального хозяйства </w:t>
      </w:r>
      <w:r w:rsidR="00995D97" w:rsidRPr="00E47AA9">
        <w:rPr>
          <w:rFonts w:ascii="Times New Roman" w:eastAsia="Times New Roman" w:hAnsi="Times New Roman" w:cs="Times New Roman"/>
          <w:sz w:val="28"/>
          <w:szCs w:val="28"/>
          <w:shd w:val="clear" w:color="auto" w:fill="FFFFFF"/>
          <w:lang w:eastAsia="ru-RU"/>
        </w:rPr>
        <w:t>по договору от 18.06.2019 № 65/</w:t>
      </w:r>
      <w:proofErr w:type="spellStart"/>
      <w:r w:rsidR="00995D97" w:rsidRPr="00E47AA9">
        <w:rPr>
          <w:rFonts w:ascii="Times New Roman" w:eastAsia="Times New Roman" w:hAnsi="Times New Roman" w:cs="Times New Roman"/>
          <w:sz w:val="28"/>
          <w:szCs w:val="28"/>
          <w:shd w:val="clear" w:color="auto" w:fill="FFFFFF"/>
          <w:lang w:eastAsia="ru-RU"/>
        </w:rPr>
        <w:t>пс</w:t>
      </w:r>
      <w:proofErr w:type="spellEnd"/>
      <w:r w:rsidR="00995D97" w:rsidRPr="00E47AA9">
        <w:rPr>
          <w:rFonts w:ascii="Times New Roman" w:eastAsia="Times New Roman" w:hAnsi="Times New Roman" w:cs="Times New Roman"/>
          <w:sz w:val="28"/>
          <w:szCs w:val="28"/>
          <w:shd w:val="clear" w:color="auto" w:fill="FFFFFF"/>
          <w:lang w:eastAsia="ru-RU"/>
        </w:rPr>
        <w:t xml:space="preserve"> (</w:t>
      </w:r>
      <w:r w:rsidR="00995D97" w:rsidRPr="00E47AA9">
        <w:rPr>
          <w:rFonts w:ascii="Times New Roman" w:eastAsia="Times New Roman" w:hAnsi="Times New Roman" w:cs="Times New Roman"/>
          <w:sz w:val="28"/>
          <w:szCs w:val="28"/>
          <w:lang w:eastAsia="ru-RU"/>
        </w:rPr>
        <w:t>164,71 млн рублей) и соглашению от 12.03.2021 № ФЗП-28/670-21 (2,63 млн рублей)</w:t>
      </w:r>
      <w:r w:rsidR="00995D97" w:rsidRPr="00E47AA9">
        <w:rPr>
          <w:rFonts w:ascii="Times New Roman" w:eastAsia="Times New Roman" w:hAnsi="Times New Roman" w:cs="Times New Roman"/>
          <w:sz w:val="28"/>
          <w:szCs w:val="28"/>
          <w:shd w:val="clear" w:color="auto" w:fill="FFFFFF"/>
          <w:lang w:eastAsia="ru-RU"/>
        </w:rPr>
        <w:t>.</w:t>
      </w:r>
      <w:r w:rsidR="00995D97" w:rsidRPr="00E47AA9">
        <w:rPr>
          <w:rFonts w:ascii="Times New Roman" w:eastAsia="Times New Roman" w:hAnsi="Times New Roman" w:cs="Times New Roman"/>
          <w:sz w:val="28"/>
          <w:szCs w:val="28"/>
          <w:lang w:eastAsia="ru-RU"/>
        </w:rPr>
        <w:t xml:space="preserve"> Задолженность будет зачтена после принятия Фондом содействия реформированию жилищно-коммунального хозяйства решения о зачете произведенных за счет субсидии расходов (в 2025 году).</w:t>
      </w:r>
    </w:p>
    <w:p w14:paraId="3C744B2F" w14:textId="31933696" w:rsidR="00995D97" w:rsidRPr="00E47AA9" w:rsidRDefault="00995D97" w:rsidP="00995D97">
      <w:pPr>
        <w:tabs>
          <w:tab w:val="left" w:pos="0"/>
        </w:tabs>
        <w:spacing w:after="0" w:line="240" w:lineRule="auto"/>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ab/>
        <w:t xml:space="preserve">Остальной объем кредиторской задолженности отражен </w:t>
      </w:r>
      <w:r w:rsidR="00A2598E" w:rsidRPr="00E47AA9">
        <w:rPr>
          <w:rFonts w:ascii="Times New Roman" w:eastAsia="Times New Roman" w:hAnsi="Times New Roman" w:cs="Times New Roman"/>
          <w:sz w:val="28"/>
          <w:szCs w:val="28"/>
          <w:lang w:eastAsia="ru-RU"/>
        </w:rPr>
        <w:t>на</w:t>
      </w:r>
      <w:r w:rsidRPr="00E47AA9">
        <w:rPr>
          <w:rFonts w:ascii="Times New Roman" w:eastAsia="Times New Roman" w:hAnsi="Times New Roman" w:cs="Times New Roman"/>
          <w:sz w:val="28"/>
          <w:szCs w:val="28"/>
          <w:lang w:eastAsia="ru-RU"/>
        </w:rPr>
        <w:t xml:space="preserve"> расчет</w:t>
      </w:r>
      <w:r w:rsidR="00A2598E" w:rsidRPr="00E47AA9">
        <w:rPr>
          <w:rFonts w:ascii="Times New Roman" w:eastAsia="Times New Roman" w:hAnsi="Times New Roman" w:cs="Times New Roman"/>
          <w:sz w:val="28"/>
          <w:szCs w:val="28"/>
          <w:lang w:eastAsia="ru-RU"/>
        </w:rPr>
        <w:t>ы</w:t>
      </w:r>
      <w:r w:rsidRPr="00E47AA9">
        <w:rPr>
          <w:rFonts w:ascii="Times New Roman" w:eastAsia="Times New Roman" w:hAnsi="Times New Roman" w:cs="Times New Roman"/>
          <w:sz w:val="28"/>
          <w:szCs w:val="28"/>
          <w:lang w:eastAsia="ru-RU"/>
        </w:rPr>
        <w:t xml:space="preserve"> по платежам в бюджеты – 1,21 % в общем объеме, или 22,45 млн рублей</w:t>
      </w:r>
      <w:r w:rsidR="008D0E1B" w:rsidRPr="00E47AA9">
        <w:rPr>
          <w:rFonts w:ascii="Times New Roman" w:eastAsia="Times New Roman" w:hAnsi="Times New Roman" w:cs="Times New Roman"/>
          <w:sz w:val="28"/>
          <w:szCs w:val="28"/>
          <w:lang w:eastAsia="ru-RU"/>
        </w:rPr>
        <w:t>,</w:t>
      </w:r>
      <w:r w:rsidRPr="00E47AA9">
        <w:rPr>
          <w:rFonts w:ascii="Times New Roman" w:eastAsia="Times New Roman" w:hAnsi="Times New Roman" w:cs="Times New Roman"/>
          <w:sz w:val="28"/>
          <w:szCs w:val="28"/>
          <w:lang w:eastAsia="ru-RU"/>
        </w:rPr>
        <w:t xml:space="preserve"> по 8 ГАБС, по расчетам по ущербу и иным доходам – 0,01 %, или 0,18 млн рублей, по 2 ведомствам.</w:t>
      </w:r>
    </w:p>
    <w:p w14:paraId="54752A0E" w14:textId="79CDF6F8" w:rsidR="00995D97" w:rsidRPr="00E47AA9" w:rsidRDefault="00995D97" w:rsidP="00995D97">
      <w:pPr>
        <w:spacing w:after="0" w:line="240" w:lineRule="auto"/>
        <w:ind w:firstLine="697"/>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 xml:space="preserve">Помимо этого, в составе кредиторской задолженности по бюджетной деятельности ГАБС в соответствии с федеральными стандартами бухгалтерского учета для организаций государственного сектора отражены </w:t>
      </w:r>
      <w:r w:rsidRPr="00E47AA9">
        <w:rPr>
          <w:rFonts w:ascii="Times New Roman" w:eastAsia="Times New Roman" w:hAnsi="Times New Roman" w:cs="Times New Roman"/>
          <w:bCs/>
          <w:iCs/>
          <w:sz w:val="28"/>
          <w:szCs w:val="28"/>
          <w:lang w:eastAsia="ru-RU"/>
        </w:rPr>
        <w:t>доходы будущих периодов</w:t>
      </w:r>
      <w:r w:rsidRPr="00E47AA9">
        <w:rPr>
          <w:rFonts w:ascii="Times New Roman" w:eastAsia="Times New Roman" w:hAnsi="Times New Roman" w:cs="Times New Roman"/>
          <w:sz w:val="28"/>
          <w:szCs w:val="28"/>
          <w:lang w:eastAsia="ru-RU"/>
        </w:rPr>
        <w:t xml:space="preserve"> (124152,86 млн рублей по 26 ГАБС) и </w:t>
      </w:r>
      <w:r w:rsidRPr="00E47AA9">
        <w:rPr>
          <w:rFonts w:ascii="Times New Roman" w:eastAsia="Times New Roman" w:hAnsi="Times New Roman" w:cs="Times New Roman"/>
          <w:bCs/>
          <w:iCs/>
          <w:sz w:val="28"/>
          <w:szCs w:val="28"/>
          <w:lang w:eastAsia="ru-RU"/>
        </w:rPr>
        <w:t>резервы предстоящих расходов</w:t>
      </w:r>
      <w:r w:rsidRPr="00E47AA9">
        <w:rPr>
          <w:rFonts w:ascii="Times New Roman" w:eastAsia="Times New Roman" w:hAnsi="Times New Roman" w:cs="Times New Roman"/>
          <w:sz w:val="28"/>
          <w:szCs w:val="28"/>
          <w:lang w:eastAsia="ru-RU"/>
        </w:rPr>
        <w:t xml:space="preserve"> (968,56 млн рублей по 40 ГАБС) по соответствующим счетам.</w:t>
      </w:r>
    </w:p>
    <w:p w14:paraId="7D6E88AB" w14:textId="77777777" w:rsidR="00097551" w:rsidRPr="00E47AA9" w:rsidRDefault="00097551" w:rsidP="00097551">
      <w:pPr>
        <w:spacing w:after="0" w:line="240" w:lineRule="auto"/>
        <w:ind w:firstLine="708"/>
        <w:jc w:val="both"/>
        <w:rPr>
          <w:rFonts w:ascii="Times New Roman" w:eastAsia="Times New Roman" w:hAnsi="Times New Roman" w:cs="Times New Roman"/>
          <w:sz w:val="28"/>
          <w:szCs w:val="28"/>
          <w:lang w:eastAsia="ru-RU"/>
        </w:rPr>
      </w:pPr>
      <w:r w:rsidRPr="00E47AA9">
        <w:rPr>
          <w:rFonts w:ascii="Times New Roman" w:eastAsia="Times New Roman" w:hAnsi="Times New Roman" w:cs="Times New Roman"/>
          <w:sz w:val="28"/>
          <w:szCs w:val="28"/>
          <w:lang w:eastAsia="ru-RU"/>
        </w:rPr>
        <w:t>Контрольно-счетная палата Приморского края рекомендует ГАБС обеспечить эффективное управление кредиторской задолженностью и минимизировать риски несвоевременного исполнения принятых обязательств.</w:t>
      </w:r>
    </w:p>
    <w:p w14:paraId="1641143D" w14:textId="77777777" w:rsidR="00B35548" w:rsidRPr="00E47AA9" w:rsidRDefault="00B35548" w:rsidP="00B35548">
      <w:pPr>
        <w:spacing w:after="0" w:line="240" w:lineRule="auto"/>
        <w:ind w:firstLine="708"/>
        <w:jc w:val="center"/>
        <w:rPr>
          <w:rFonts w:ascii="Times New Roman" w:eastAsia="Times New Roman" w:hAnsi="Times New Roman" w:cs="Times New Roman"/>
          <w:b/>
          <w:sz w:val="28"/>
          <w:szCs w:val="28"/>
          <w:lang w:eastAsia="ru-RU"/>
        </w:rPr>
      </w:pPr>
    </w:p>
    <w:p w14:paraId="0D1F5746" w14:textId="77777777" w:rsidR="00B35548" w:rsidRPr="00E47AA9" w:rsidRDefault="00B35548" w:rsidP="0012309A">
      <w:pPr>
        <w:spacing w:after="0" w:line="240" w:lineRule="auto"/>
        <w:jc w:val="center"/>
        <w:rPr>
          <w:rFonts w:ascii="Times New Roman" w:eastAsia="Times New Roman" w:hAnsi="Times New Roman" w:cs="Times New Roman"/>
          <w:b/>
          <w:sz w:val="28"/>
          <w:szCs w:val="28"/>
          <w:lang w:eastAsia="ru-RU"/>
        </w:rPr>
      </w:pPr>
      <w:r w:rsidRPr="00E47AA9">
        <w:rPr>
          <w:rFonts w:ascii="Times New Roman" w:eastAsia="Times New Roman" w:hAnsi="Times New Roman" w:cs="Times New Roman"/>
          <w:b/>
          <w:sz w:val="28"/>
          <w:szCs w:val="28"/>
          <w:lang w:eastAsia="ru-RU"/>
        </w:rPr>
        <w:t>9. Выводы и предложения</w:t>
      </w:r>
    </w:p>
    <w:p w14:paraId="0663C6E4" w14:textId="77777777" w:rsidR="00B35548" w:rsidRPr="00E47AA9" w:rsidRDefault="00B35548" w:rsidP="00B35548">
      <w:pPr>
        <w:tabs>
          <w:tab w:val="left" w:pos="1095"/>
        </w:tabs>
        <w:spacing w:after="0" w:line="240" w:lineRule="auto"/>
        <w:ind w:firstLine="709"/>
        <w:jc w:val="both"/>
        <w:rPr>
          <w:rFonts w:ascii="Times New Roman" w:hAnsi="Times New Roman" w:cs="Times New Roman"/>
          <w:sz w:val="28"/>
          <w:szCs w:val="28"/>
        </w:rPr>
      </w:pPr>
      <w:r w:rsidRPr="00E47AA9">
        <w:rPr>
          <w:rFonts w:ascii="Times New Roman" w:eastAsia="Times New Roman" w:hAnsi="Times New Roman" w:cs="Times New Roman"/>
          <w:sz w:val="28"/>
          <w:szCs w:val="28"/>
          <w:lang w:eastAsia="ru-RU"/>
        </w:rPr>
        <w:t xml:space="preserve">Заключение </w:t>
      </w:r>
      <w:r w:rsidRPr="00E47AA9">
        <w:rPr>
          <w:rFonts w:ascii="Times New Roman" w:hAnsi="Times New Roman" w:cs="Times New Roman"/>
          <w:sz w:val="28"/>
          <w:szCs w:val="28"/>
        </w:rPr>
        <w:t xml:space="preserve">Контрольно-счетной палаты </w:t>
      </w:r>
      <w:r w:rsidRPr="00E47AA9">
        <w:rPr>
          <w:rFonts w:ascii="Times New Roman" w:eastAsia="Times New Roman" w:hAnsi="Times New Roman" w:cs="Times New Roman"/>
          <w:sz w:val="28"/>
          <w:szCs w:val="28"/>
          <w:lang w:eastAsia="ru-RU"/>
        </w:rPr>
        <w:t>на отчет об исполнении краевого бюджета за 2024 год подготовлено в соответствии с Бюджетным кодексом Российской Федерации, законами Приморского края от 02.08.2005 № 271-КЗ "О бюджетном устройстве, бюджетном процессе и межбюджетных отношениях в Приморском крае", от 04.08.2011 № 795-КЗ "О Контрольно-счетной палате Приморского края".</w:t>
      </w:r>
      <w:r w:rsidRPr="00E47AA9">
        <w:rPr>
          <w:rFonts w:ascii="Times New Roman" w:hAnsi="Times New Roman" w:cs="Times New Roman"/>
          <w:sz w:val="28"/>
          <w:szCs w:val="28"/>
        </w:rPr>
        <w:t xml:space="preserve"> </w:t>
      </w:r>
    </w:p>
    <w:p w14:paraId="3CD1BD9E" w14:textId="0F176EB5" w:rsidR="00B35548" w:rsidRPr="00E47AA9" w:rsidRDefault="00B35548" w:rsidP="00B35548">
      <w:pPr>
        <w:tabs>
          <w:tab w:val="left" w:pos="1095"/>
        </w:tabs>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Заключение составлено с учетом внешних проверок годовой бюджетной отчетности главных администраторов бюджетных средств за 2024 год. По </w:t>
      </w:r>
      <w:r w:rsidRPr="00E47AA9">
        <w:rPr>
          <w:rFonts w:ascii="Times New Roman" w:hAnsi="Times New Roman" w:cs="Times New Roman"/>
          <w:sz w:val="28"/>
          <w:szCs w:val="28"/>
        </w:rPr>
        <w:lastRenderedPageBreak/>
        <w:t>итогам проверок установлено, что представленный отчет является достоверным.</w:t>
      </w:r>
    </w:p>
    <w:p w14:paraId="5564375B" w14:textId="77777777" w:rsidR="00B35548" w:rsidRPr="00E47AA9" w:rsidRDefault="00B35548" w:rsidP="00B35548">
      <w:pPr>
        <w:tabs>
          <w:tab w:val="left" w:pos="1095"/>
        </w:tabs>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b/>
          <w:sz w:val="28"/>
          <w:szCs w:val="28"/>
        </w:rPr>
        <w:t>1.</w:t>
      </w:r>
      <w:r w:rsidRPr="00E47AA9">
        <w:rPr>
          <w:rFonts w:ascii="Times New Roman" w:hAnsi="Times New Roman" w:cs="Times New Roman"/>
          <w:sz w:val="28"/>
          <w:szCs w:val="28"/>
        </w:rPr>
        <w:t> Отчет об исполнении краевого бюджета на 01.01.2025 представлен Правительством Приморского края в Контрольно-счетную палату в соответствии с бюджетным законодательством в установленный срок.</w:t>
      </w:r>
    </w:p>
    <w:p w14:paraId="00AC798D" w14:textId="77777777" w:rsidR="00B35548" w:rsidRPr="00E47AA9" w:rsidRDefault="00B35548" w:rsidP="00B35548">
      <w:pPr>
        <w:tabs>
          <w:tab w:val="left" w:pos="1095"/>
        </w:tabs>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 xml:space="preserve">Проект закона Приморского края "Об исполнении краевого бюджета за 2024 год" и перечень приложений к нему в целом соответствуют условиям статьи 112 Закона Приморского края от 02.08.2005 № 271-КЗ. </w:t>
      </w:r>
    </w:p>
    <w:p w14:paraId="73BFC161" w14:textId="77777777" w:rsidR="00B35548" w:rsidRPr="00E47AA9" w:rsidRDefault="00B35548" w:rsidP="00B35548">
      <w:pPr>
        <w:tabs>
          <w:tab w:val="left" w:pos="1095"/>
        </w:tabs>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sz w:val="28"/>
          <w:szCs w:val="28"/>
        </w:rPr>
        <w:t>Показатели законопроекта соответствуют показателям отчета об исполнении краевого бюджета за 2024 год, представленным Правительством Приморского края, и взаимосвязанным данным годовой бюджетной отчетности ГАБС.</w:t>
      </w:r>
    </w:p>
    <w:p w14:paraId="1E6A980F" w14:textId="77777777" w:rsidR="00B35548" w:rsidRPr="00E47AA9" w:rsidRDefault="00B35548" w:rsidP="00B35548">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b/>
          <w:bCs/>
          <w:sz w:val="28"/>
          <w:szCs w:val="28"/>
        </w:rPr>
        <w:t>2. </w:t>
      </w:r>
      <w:r w:rsidRPr="00E47AA9">
        <w:rPr>
          <w:rFonts w:ascii="Times New Roman" w:eastAsia="Calibri" w:hAnsi="Times New Roman" w:cs="Times New Roman"/>
          <w:sz w:val="28"/>
          <w:szCs w:val="28"/>
        </w:rPr>
        <w:t xml:space="preserve">В рамках мониторинга реализуемости, рисков и эффективности достижения целей социально-экономического развития, установленных стратегическими документами региона, Контрольно-счетная палата провела оценку ключевых макроэкономических показателей, заложенных в проектировках краевого бюджета на 2024 год. </w:t>
      </w:r>
    </w:p>
    <w:p w14:paraId="7A58332A" w14:textId="77777777" w:rsidR="00B35548" w:rsidRPr="00E47AA9" w:rsidRDefault="00B35548" w:rsidP="00B35548">
      <w:pPr>
        <w:spacing w:after="0" w:line="240" w:lineRule="auto"/>
        <w:ind w:firstLine="709"/>
        <w:jc w:val="both"/>
        <w:rPr>
          <w:rFonts w:ascii="Times New Roman" w:eastAsia="Calibri" w:hAnsi="Times New Roman" w:cs="Times New Roman"/>
          <w:sz w:val="28"/>
          <w:szCs w:val="28"/>
        </w:rPr>
      </w:pPr>
      <w:r w:rsidRPr="00E47AA9">
        <w:rPr>
          <w:rFonts w:ascii="Times New Roman" w:eastAsia="Calibri" w:hAnsi="Times New Roman" w:cs="Times New Roman"/>
          <w:sz w:val="28"/>
          <w:szCs w:val="28"/>
        </w:rPr>
        <w:t>В отчетном году экономика Приморского края продемонстрировала повышенную устойчивость, что проявилось в менее значительном, чем прогнозировалось, снижении темпов роста ключевых социально-экономических индикаторов.</w:t>
      </w:r>
    </w:p>
    <w:p w14:paraId="24AFC98C" w14:textId="77777777" w:rsidR="00B35548" w:rsidRPr="00134DD2" w:rsidRDefault="00B35548" w:rsidP="00B35548">
      <w:pPr>
        <w:spacing w:after="0" w:line="240" w:lineRule="auto"/>
        <w:ind w:firstLine="709"/>
        <w:jc w:val="both"/>
        <w:rPr>
          <w:rFonts w:ascii="Times New Roman" w:hAnsi="Times New Roman" w:cs="Times New Roman"/>
          <w:sz w:val="28"/>
          <w:szCs w:val="28"/>
        </w:rPr>
      </w:pPr>
      <w:r w:rsidRPr="00E47AA9">
        <w:rPr>
          <w:rFonts w:ascii="Times New Roman" w:hAnsi="Times New Roman" w:cs="Times New Roman"/>
          <w:b/>
          <w:bCs/>
          <w:sz w:val="28"/>
          <w:szCs w:val="28"/>
        </w:rPr>
        <w:t>2</w:t>
      </w:r>
      <w:r w:rsidRPr="00134DD2">
        <w:rPr>
          <w:rFonts w:ascii="Times New Roman" w:hAnsi="Times New Roman" w:cs="Times New Roman"/>
          <w:b/>
          <w:bCs/>
          <w:sz w:val="28"/>
          <w:szCs w:val="28"/>
        </w:rPr>
        <w:t>.1.</w:t>
      </w:r>
      <w:r w:rsidRPr="00134DD2">
        <w:rPr>
          <w:rFonts w:ascii="Times New Roman" w:hAnsi="Times New Roman" w:cs="Times New Roman"/>
          <w:sz w:val="28"/>
          <w:szCs w:val="28"/>
        </w:rPr>
        <w:t xml:space="preserve"> Анализ отдельных основных макроэкономических показателей выявил, что фактические данные за 2024 год  превысили прогнозные значения по: инвестициям в основной капитал (в абсолютном выражении) на 47744,40 млн рублей; обороту розничной торговли (в абсолютном выражении) на 34167,50 млн рублей; обороту розничной торговли (в % к предыдущему году) на 4,70 %; объему платных услуг населению (в абсолютном выражении) на 371,80 млн рублей; индексу потребительских цен 4,70 %, объему продукции сельского хозяйства (в абсолютном выражении)  на </w:t>
      </w:r>
      <w:bookmarkStart w:id="29" w:name="_Hlk197330962"/>
      <w:r w:rsidRPr="00134DD2">
        <w:rPr>
          <w:rFonts w:ascii="Times New Roman" w:hAnsi="Times New Roman" w:cs="Times New Roman"/>
          <w:sz w:val="28"/>
          <w:szCs w:val="28"/>
        </w:rPr>
        <w:t>1127,50 млн рублей</w:t>
      </w:r>
      <w:bookmarkEnd w:id="29"/>
      <w:r w:rsidRPr="00134DD2">
        <w:rPr>
          <w:rFonts w:ascii="Times New Roman" w:hAnsi="Times New Roman" w:cs="Times New Roman"/>
          <w:sz w:val="28"/>
          <w:szCs w:val="28"/>
        </w:rPr>
        <w:t>.</w:t>
      </w:r>
    </w:p>
    <w:p w14:paraId="06D3B9EF" w14:textId="384592A2" w:rsidR="00B35548" w:rsidRPr="00134DD2" w:rsidRDefault="00B35548" w:rsidP="00D06EF2">
      <w:pPr>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Не достигли прогнозных показателей</w:t>
      </w:r>
      <w:r w:rsidR="00FC2839" w:rsidRPr="00134DD2">
        <w:rPr>
          <w:rFonts w:ascii="Times New Roman" w:hAnsi="Times New Roman" w:cs="Times New Roman"/>
          <w:sz w:val="28"/>
          <w:szCs w:val="28"/>
        </w:rPr>
        <w:t xml:space="preserve"> такие</w:t>
      </w:r>
      <w:r w:rsidRPr="00134DD2">
        <w:rPr>
          <w:rFonts w:ascii="Times New Roman" w:hAnsi="Times New Roman" w:cs="Times New Roman"/>
          <w:sz w:val="28"/>
          <w:szCs w:val="28"/>
        </w:rPr>
        <w:t xml:space="preserve"> </w:t>
      </w:r>
      <w:r w:rsidR="00FC2839" w:rsidRPr="00134DD2">
        <w:rPr>
          <w:rFonts w:ascii="Times New Roman" w:hAnsi="Times New Roman" w:cs="Times New Roman"/>
          <w:sz w:val="28"/>
          <w:szCs w:val="28"/>
        </w:rPr>
        <w:t>фактические данные</w:t>
      </w:r>
      <w:r w:rsidR="00FC2839" w:rsidRPr="00134DD2">
        <w:rPr>
          <w:rFonts w:ascii="Times New Roman" w:hAnsi="Times New Roman" w:cs="Times New Roman"/>
          <w:sz w:val="28"/>
          <w:szCs w:val="28"/>
        </w:rPr>
        <w:t>, как индекс</w:t>
      </w:r>
      <w:r w:rsidRPr="00134DD2">
        <w:rPr>
          <w:rFonts w:ascii="Times New Roman" w:hAnsi="Times New Roman" w:cs="Times New Roman"/>
          <w:sz w:val="28"/>
          <w:szCs w:val="28"/>
        </w:rPr>
        <w:t xml:space="preserve"> промышленного производства </w:t>
      </w:r>
      <w:r w:rsidR="003A4205" w:rsidRPr="00134DD2">
        <w:rPr>
          <w:rFonts w:ascii="Times New Roman" w:hAnsi="Times New Roman" w:cs="Times New Roman"/>
          <w:sz w:val="28"/>
          <w:szCs w:val="28"/>
        </w:rPr>
        <w:t>–</w:t>
      </w:r>
      <w:r w:rsidRPr="00134DD2">
        <w:rPr>
          <w:rFonts w:ascii="Times New Roman" w:hAnsi="Times New Roman" w:cs="Times New Roman"/>
          <w:sz w:val="28"/>
          <w:szCs w:val="28"/>
        </w:rPr>
        <w:t xml:space="preserve"> ниже на 2,90 %</w:t>
      </w:r>
      <w:r w:rsidR="00D06EF2" w:rsidRPr="00134DD2">
        <w:rPr>
          <w:rFonts w:ascii="Times New Roman" w:hAnsi="Times New Roman" w:cs="Times New Roman"/>
          <w:sz w:val="28"/>
          <w:szCs w:val="28"/>
        </w:rPr>
        <w:t>,</w:t>
      </w:r>
      <w:r w:rsidRPr="00134DD2">
        <w:rPr>
          <w:rFonts w:ascii="Times New Roman" w:hAnsi="Times New Roman" w:cs="Times New Roman"/>
          <w:sz w:val="28"/>
          <w:szCs w:val="28"/>
        </w:rPr>
        <w:t xml:space="preserve"> индекс физического объема инвестиций в основной капитал (в % к предыдущему году) – на 6,2 %</w:t>
      </w:r>
      <w:r w:rsidR="00D06EF2" w:rsidRPr="00134DD2">
        <w:rPr>
          <w:rFonts w:ascii="Times New Roman" w:hAnsi="Times New Roman" w:cs="Times New Roman"/>
          <w:sz w:val="28"/>
          <w:szCs w:val="28"/>
        </w:rPr>
        <w:t>,</w:t>
      </w:r>
      <w:r w:rsidRPr="00134DD2">
        <w:rPr>
          <w:rFonts w:ascii="Times New Roman" w:hAnsi="Times New Roman" w:cs="Times New Roman"/>
          <w:sz w:val="28"/>
          <w:szCs w:val="28"/>
        </w:rPr>
        <w:t xml:space="preserve"> объем платных услуг (в % к предыдущему году) – на 0,90 %</w:t>
      </w:r>
      <w:r w:rsidR="00D06EF2" w:rsidRPr="00134DD2">
        <w:rPr>
          <w:rFonts w:ascii="Times New Roman" w:hAnsi="Times New Roman" w:cs="Times New Roman"/>
          <w:sz w:val="28"/>
          <w:szCs w:val="28"/>
        </w:rPr>
        <w:t>,</w:t>
      </w:r>
      <w:r w:rsidRPr="00134DD2">
        <w:rPr>
          <w:rFonts w:ascii="Times New Roman" w:hAnsi="Times New Roman" w:cs="Times New Roman"/>
          <w:sz w:val="28"/>
          <w:szCs w:val="28"/>
        </w:rPr>
        <w:t xml:space="preserve"> индекс производства продукции сельского хозяйства – ниже на 12,30 %.</w:t>
      </w:r>
    </w:p>
    <w:p w14:paraId="0390B08A" w14:textId="77777777"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b/>
          <w:bCs/>
          <w:sz w:val="28"/>
          <w:szCs w:val="28"/>
        </w:rPr>
        <w:t>2.2.</w:t>
      </w:r>
      <w:r w:rsidRPr="00134DD2">
        <w:rPr>
          <w:rFonts w:ascii="Times New Roman" w:eastAsia="Calibri" w:hAnsi="Times New Roman" w:cs="Times New Roman"/>
          <w:sz w:val="28"/>
          <w:szCs w:val="28"/>
        </w:rPr>
        <w:t xml:space="preserve"> По сравнению с предыдущим годом рост показателей в 2024 году отмечен по таким основным макроэкономическим показателям, как:</w:t>
      </w:r>
    </w:p>
    <w:p w14:paraId="60D13FC6" w14:textId="57FFEC97"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в абсолютном выражении: инвестиции в основной капитал – на 25006,00 млн рублей</w:t>
      </w:r>
      <w:r w:rsidR="003A4205" w:rsidRPr="00134DD2">
        <w:rPr>
          <w:rFonts w:ascii="Times New Roman" w:eastAsia="Calibri" w:hAnsi="Times New Roman" w:cs="Times New Roman"/>
          <w:sz w:val="28"/>
          <w:szCs w:val="28"/>
        </w:rPr>
        <w:t>,</w:t>
      </w:r>
      <w:r w:rsidRPr="00134DD2">
        <w:rPr>
          <w:rFonts w:ascii="Times New Roman" w:eastAsia="Calibri" w:hAnsi="Times New Roman" w:cs="Times New Roman"/>
          <w:sz w:val="28"/>
          <w:szCs w:val="28"/>
        </w:rPr>
        <w:t xml:space="preserve"> оборот розничной торговли – на 120745,30 млн рублей</w:t>
      </w:r>
      <w:r w:rsidR="003A4205" w:rsidRPr="00134DD2">
        <w:rPr>
          <w:rFonts w:ascii="Times New Roman" w:eastAsia="Calibri" w:hAnsi="Times New Roman" w:cs="Times New Roman"/>
          <w:sz w:val="28"/>
          <w:szCs w:val="28"/>
        </w:rPr>
        <w:t>,</w:t>
      </w:r>
      <w:r w:rsidRPr="00134DD2">
        <w:rPr>
          <w:rFonts w:ascii="Times New Roman" w:eastAsia="Calibri" w:hAnsi="Times New Roman" w:cs="Times New Roman"/>
          <w:sz w:val="28"/>
          <w:szCs w:val="28"/>
        </w:rPr>
        <w:t xml:space="preserve"> объем платных услуг – на 28214,30 млн рублей</w:t>
      </w:r>
      <w:r w:rsidR="003A4205" w:rsidRPr="00134DD2">
        <w:rPr>
          <w:rFonts w:ascii="Times New Roman" w:eastAsia="Calibri" w:hAnsi="Times New Roman" w:cs="Times New Roman"/>
          <w:sz w:val="28"/>
          <w:szCs w:val="28"/>
        </w:rPr>
        <w:t>,</w:t>
      </w:r>
      <w:r w:rsidRPr="00134DD2">
        <w:rPr>
          <w:rFonts w:ascii="Times New Roman" w:eastAsia="Calibri" w:hAnsi="Times New Roman" w:cs="Times New Roman"/>
          <w:sz w:val="28"/>
          <w:szCs w:val="28"/>
        </w:rPr>
        <w:t xml:space="preserve"> объем продукции сельского хозяйства – на 11119,90 млн рублей;</w:t>
      </w:r>
    </w:p>
    <w:p w14:paraId="56887E1F" w14:textId="77777777"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в % к предыдущему году: индекс промышленного производства – 103,00 %, оборот розничной торговли – 108,70 %, индекс производства продукции сельского хозяйства – 94,20 %, индекс потребительских цен – 109,20 % в декабре 2024 года к декабрю 2023 года.</w:t>
      </w:r>
    </w:p>
    <w:p w14:paraId="4D5B5A61" w14:textId="2ED0A423"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lastRenderedPageBreak/>
        <w:t xml:space="preserve">Между тем в 2024 году отмечается снижение по таким макроэкономическим показателям, как: индекс физического объема инвестиций в основной капитал </w:t>
      </w:r>
      <w:r w:rsidR="00A47C2A" w:rsidRPr="00134DD2">
        <w:rPr>
          <w:rFonts w:ascii="Times New Roman" w:eastAsia="Calibri" w:hAnsi="Times New Roman" w:cs="Times New Roman"/>
          <w:sz w:val="28"/>
          <w:szCs w:val="28"/>
        </w:rPr>
        <w:t xml:space="preserve">– </w:t>
      </w:r>
      <w:r w:rsidRPr="00134DD2">
        <w:rPr>
          <w:rFonts w:ascii="Times New Roman" w:eastAsia="Calibri" w:hAnsi="Times New Roman" w:cs="Times New Roman"/>
          <w:sz w:val="28"/>
          <w:szCs w:val="28"/>
        </w:rPr>
        <w:t>98,20 %, индекс объема платных услуг населению – 102,10 %.</w:t>
      </w:r>
    </w:p>
    <w:p w14:paraId="44A72363" w14:textId="233D3453"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b/>
          <w:bCs/>
          <w:sz w:val="28"/>
          <w:szCs w:val="28"/>
        </w:rPr>
        <w:t>2.3.</w:t>
      </w:r>
      <w:r w:rsidRPr="00134DD2">
        <w:rPr>
          <w:rFonts w:ascii="Times New Roman" w:eastAsia="Calibri" w:hAnsi="Times New Roman" w:cs="Times New Roman"/>
          <w:sz w:val="28"/>
          <w:szCs w:val="28"/>
        </w:rPr>
        <w:t xml:space="preserve"> Среднедушевые денежные доходы населения в 2024 году выросли на 13,10 тыс. рублей в месяц и составили 64,86 тыс. рублей. Номинальная начисленная среднемесячная заработная плата работников организаций увеличилась на 10,95 тыс. рублей, или на 14,81 %, и составила 84,91 тыс. рублей. Реальные денежные доходы населения составили 108,1 % к предыдущему году, реальные располагаемые денежные доходы населения </w:t>
      </w:r>
      <w:r w:rsidR="003A4205" w:rsidRPr="00134DD2">
        <w:rPr>
          <w:rFonts w:ascii="Times New Roman" w:eastAsia="Calibri" w:hAnsi="Times New Roman" w:cs="Times New Roman"/>
          <w:sz w:val="28"/>
          <w:szCs w:val="28"/>
        </w:rPr>
        <w:t>–</w:t>
      </w:r>
      <w:r w:rsidRPr="00134DD2">
        <w:rPr>
          <w:rFonts w:ascii="Times New Roman" w:eastAsia="Calibri" w:hAnsi="Times New Roman" w:cs="Times New Roman"/>
          <w:sz w:val="28"/>
          <w:szCs w:val="28"/>
        </w:rPr>
        <w:t xml:space="preserve"> 108,3 %. Реальная заработная плата, рассчитанная с учетом индекса потребительских цен, выше 2023 года на 7,2 %.</w:t>
      </w:r>
    </w:p>
    <w:p w14:paraId="5B05793C" w14:textId="77777777"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b/>
          <w:bCs/>
          <w:sz w:val="28"/>
          <w:szCs w:val="28"/>
        </w:rPr>
        <w:t>2.4. </w:t>
      </w:r>
      <w:r w:rsidRPr="00134DD2">
        <w:rPr>
          <w:rFonts w:ascii="Times New Roman" w:eastAsia="Calibri" w:hAnsi="Times New Roman" w:cs="Times New Roman"/>
          <w:sz w:val="28"/>
          <w:szCs w:val="28"/>
        </w:rPr>
        <w:t>Численность занятых в экономике увеличилась по сравнению с предыдущим годом на 44,60 тыс. человек и составила 980,80 тыс. человек.</w:t>
      </w:r>
    </w:p>
    <w:p w14:paraId="7C08DEB1" w14:textId="77777777"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 xml:space="preserve">Численность официально зарегистрированных безработных граждан на конец 2024 года составила 4,00 тыс. человек (на конец 2023 года – 5,40 тыс. человек). Уровень зарегистрированной безработицы – 0,40 % (на конец 2023 года – 0,70 %). </w:t>
      </w:r>
    </w:p>
    <w:p w14:paraId="7B541BB7" w14:textId="77777777"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b/>
          <w:bCs/>
          <w:sz w:val="28"/>
          <w:szCs w:val="28"/>
        </w:rPr>
        <w:t>2.5. </w:t>
      </w:r>
      <w:r w:rsidRPr="00134DD2">
        <w:rPr>
          <w:rFonts w:ascii="Times New Roman" w:eastAsia="Calibri" w:hAnsi="Times New Roman" w:cs="Times New Roman"/>
          <w:sz w:val="28"/>
          <w:szCs w:val="28"/>
        </w:rPr>
        <w:t xml:space="preserve">За 2024 год численность постоянного населения уменьшилась на 6,77 тыс. человек и на начало 2025 года составила 1799,6 тыс. человек. За последние 5 лет численность населения Приморского края снизилась на 96,3 тыс. человек. </w:t>
      </w:r>
    </w:p>
    <w:p w14:paraId="64B83F94" w14:textId="7E0D2AD7"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hAnsi="Times New Roman" w:cs="Times New Roman"/>
          <w:b/>
          <w:sz w:val="28"/>
          <w:szCs w:val="28"/>
        </w:rPr>
        <w:t>3.</w:t>
      </w:r>
      <w:r w:rsidRPr="00134DD2">
        <w:rPr>
          <w:rFonts w:ascii="Times New Roman" w:hAnsi="Times New Roman" w:cs="Times New Roman"/>
          <w:sz w:val="28"/>
          <w:szCs w:val="28"/>
        </w:rPr>
        <w:t> </w:t>
      </w:r>
      <w:r w:rsidRPr="00134DD2">
        <w:rPr>
          <w:rFonts w:ascii="Times New Roman" w:eastAsia="Calibri" w:hAnsi="Times New Roman" w:cs="Times New Roman"/>
          <w:sz w:val="28"/>
          <w:szCs w:val="28"/>
        </w:rPr>
        <w:t>В 2024 году в ходе исполнения краевого бюджета внесено восемь изменений в Закон № 495-КЗ соответствующими законами Приморского края. Помимо этого, с соблюдением условий действующего бюджетного законодательства без внесения изменений в закон о краевом бюджете уточнены расходы краевого бюджета.</w:t>
      </w:r>
    </w:p>
    <w:p w14:paraId="0B6BF399" w14:textId="4EF4B791"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С учетом всех корректировок плановые назначения на 2024 год составили по доходам краевого бюджета – 224413,24 млн рублей, по расходам</w:t>
      </w:r>
      <w:r w:rsidR="003A4205" w:rsidRPr="00134DD2">
        <w:rPr>
          <w:rFonts w:ascii="Times New Roman" w:eastAsia="Calibri" w:hAnsi="Times New Roman" w:cs="Times New Roman"/>
          <w:sz w:val="28"/>
          <w:szCs w:val="28"/>
        </w:rPr>
        <w:t> –</w:t>
      </w:r>
      <w:r w:rsidRPr="00134DD2">
        <w:rPr>
          <w:rFonts w:ascii="Times New Roman" w:eastAsia="Calibri" w:hAnsi="Times New Roman" w:cs="Times New Roman"/>
          <w:sz w:val="28"/>
          <w:szCs w:val="28"/>
        </w:rPr>
        <w:t xml:space="preserve"> 245684,26 млн рублей. Размер дефицита краевого бюджета – 20516,68 млн рублей.</w:t>
      </w:r>
    </w:p>
    <w:p w14:paraId="476CFE76" w14:textId="77777777" w:rsidR="00B35548" w:rsidRPr="00134DD2" w:rsidRDefault="00B35548" w:rsidP="00B35548">
      <w:pPr>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За отчетный период в краевой бюджет поступило доходов в сумме 229284,55 млн рублей (102,17 % плановых назначений). Расходы краевого бюджета составили 236994,68 млн рублей (96,46 % уточненного плана). Размер дефицита краевого бюджета – 7710,13 млн рублей.</w:t>
      </w:r>
    </w:p>
    <w:p w14:paraId="3B6AD274" w14:textId="77777777" w:rsidR="00B35548" w:rsidRPr="00134DD2" w:rsidRDefault="00B35548" w:rsidP="00B35548">
      <w:pPr>
        <w:spacing w:after="0" w:line="240" w:lineRule="auto"/>
        <w:ind w:firstLine="708"/>
        <w:jc w:val="both"/>
        <w:rPr>
          <w:rFonts w:ascii="Times New Roman" w:eastAsia="Calibri" w:hAnsi="Times New Roman" w:cs="Times New Roman"/>
          <w:sz w:val="28"/>
          <w:szCs w:val="28"/>
        </w:rPr>
      </w:pPr>
      <w:r w:rsidRPr="00134DD2">
        <w:rPr>
          <w:rFonts w:ascii="Times New Roman" w:hAnsi="Times New Roman" w:cs="Times New Roman"/>
          <w:b/>
          <w:sz w:val="28"/>
          <w:szCs w:val="28"/>
        </w:rPr>
        <w:t>4.</w:t>
      </w:r>
      <w:r w:rsidRPr="00134DD2">
        <w:rPr>
          <w:rFonts w:ascii="Times New Roman" w:hAnsi="Times New Roman" w:cs="Times New Roman"/>
          <w:sz w:val="28"/>
          <w:szCs w:val="28"/>
        </w:rPr>
        <w:t xml:space="preserve"> </w:t>
      </w:r>
      <w:r w:rsidRPr="00134DD2">
        <w:rPr>
          <w:rFonts w:ascii="Times New Roman" w:eastAsia="Calibri" w:hAnsi="Times New Roman" w:cs="Times New Roman"/>
          <w:sz w:val="28"/>
          <w:szCs w:val="28"/>
          <w:lang w:eastAsia="ru-RU"/>
        </w:rPr>
        <w:t>В отчетном году в доходной части</w:t>
      </w:r>
      <w:r w:rsidRPr="00134DD2">
        <w:rPr>
          <w:rFonts w:ascii="Times New Roman" w:eastAsia="Calibri" w:hAnsi="Times New Roman" w:cs="Times New Roman"/>
          <w:sz w:val="28"/>
          <w:szCs w:val="28"/>
        </w:rPr>
        <w:t xml:space="preserve"> краевого бюджета налоговые и неналоговые доходы поступили на сумму 190686,73 млн рублей, или 102,39 % от плановых назначений, безвозмездные поступления – 38597,82 млн рублей, или 101,11 %.</w:t>
      </w:r>
    </w:p>
    <w:p w14:paraId="0C1880F7" w14:textId="6BCB1573" w:rsidR="00B35548" w:rsidRPr="00134DD2" w:rsidRDefault="00B35548" w:rsidP="00B35548">
      <w:pPr>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 xml:space="preserve">Анализ динамики поступивших доходов краевого бюджета за 2020-2024 годы демонстрирует устойчивый рост поступлений в абсолютном выражении. Наблюдается положительная динамика на протяжении всего рассматриваемого периода. Однако в 2024 году темпы роста замедлились до +3,88 %, что связано с продолжающейся адаптацией к действующим реалиям. </w:t>
      </w:r>
      <w:r w:rsidRPr="00134DD2">
        <w:rPr>
          <w:rFonts w:ascii="Times New Roman" w:eastAsia="Times New Roman" w:hAnsi="Times New Roman" w:cs="Times New Roman"/>
          <w:sz w:val="28"/>
          <w:szCs w:val="28"/>
          <w:lang w:eastAsia="ru-RU"/>
        </w:rPr>
        <w:lastRenderedPageBreak/>
        <w:t xml:space="preserve">При этом снижение доли безвозмездных поступлений до 16,83 % (2023 год </w:t>
      </w:r>
      <w:r w:rsidR="00092A2F"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22,77 %) указывает на повышение самостоятельности и финансовой устойчивости краевого бюджета.</w:t>
      </w:r>
    </w:p>
    <w:p w14:paraId="23182886" w14:textId="77777777" w:rsidR="00B35548" w:rsidRPr="00134DD2" w:rsidRDefault="00B35548" w:rsidP="00B35548">
      <w:pPr>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Calibri" w:hAnsi="Times New Roman" w:cs="Times New Roman"/>
          <w:b/>
          <w:bCs/>
          <w:sz w:val="28"/>
          <w:szCs w:val="28"/>
        </w:rPr>
        <w:t>4.1</w:t>
      </w:r>
      <w:r w:rsidRPr="00134DD2">
        <w:rPr>
          <w:rFonts w:ascii="Times New Roman" w:eastAsia="Calibri" w:hAnsi="Times New Roman" w:cs="Times New Roman"/>
          <w:sz w:val="28"/>
          <w:szCs w:val="28"/>
        </w:rPr>
        <w:t>. </w:t>
      </w:r>
      <w:r w:rsidRPr="00134DD2">
        <w:rPr>
          <w:rFonts w:ascii="Times New Roman" w:eastAsia="Times New Roman" w:hAnsi="Times New Roman" w:cs="Times New Roman"/>
          <w:sz w:val="28"/>
          <w:szCs w:val="28"/>
          <w:lang w:eastAsia="ru-RU"/>
        </w:rPr>
        <w:t>Структура доходов краевого бюджета характеризуется преобладанием налоговых и неналоговых поступлений. Их доля увеличилась до 83,17 % в 2024 году (77,23 % в 2023 году).</w:t>
      </w:r>
    </w:p>
    <w:p w14:paraId="70D75745" w14:textId="77777777"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 xml:space="preserve">В отчетном году поступление налоговых и неналоговых доходов в абсолютном значении увеличилось по сравнению с предыдущим годом на </w:t>
      </w:r>
      <w:r w:rsidRPr="00134DD2">
        <w:rPr>
          <w:rFonts w:ascii="Times New Roman" w:eastAsia="Calibri" w:hAnsi="Times New Roman" w:cs="Times New Roman"/>
          <w:sz w:val="28"/>
          <w:szCs w:val="28"/>
        </w:rPr>
        <w:br/>
        <w:t>20232,77 млн рублей, или на 11,87 %, из них по: налогу на доходы физических лиц – на 11482,37 млн рублей, или на 18,68 %; акцизам – на 1641,66 млн рублей, или на 10,55 %; налогу, взимаемому в связи с применением упрощенной системы налогообложения, – на 5184,32 млн рублей, или на 34,10 %; штрафам, санкциям, возмещению ущерба – на 864,10 млн рублей, или на 46,21 %.</w:t>
      </w:r>
    </w:p>
    <w:p w14:paraId="103BF3EC" w14:textId="11C6E8B2" w:rsidR="00B35548" w:rsidRPr="00134DD2" w:rsidRDefault="00B35548" w:rsidP="00B35548">
      <w:pPr>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 xml:space="preserve">Основными налогами, формирующими налоговую базу краевого бюджета в 2024 году, являются налог на доходы физических лиц </w:t>
      </w:r>
      <w:r w:rsidR="00092A2F"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 xml:space="preserve">  </w:t>
      </w:r>
      <w:r w:rsidRPr="00134DD2">
        <w:rPr>
          <w:rFonts w:ascii="Times New Roman" w:eastAsia="Times New Roman" w:hAnsi="Times New Roman" w:cs="Times New Roman"/>
          <w:sz w:val="28"/>
          <w:szCs w:val="28"/>
          <w:lang w:eastAsia="ru-RU"/>
        </w:rPr>
        <w:br/>
        <w:t xml:space="preserve">72964,09 млн рублей, или 38,26 % в объеме поступивших налоговых и неналоговых доходов, налог на прибыль организаций </w:t>
      </w:r>
      <w:r w:rsidR="00092A2F"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 xml:space="preserve"> </w:t>
      </w:r>
      <w:r w:rsidR="00092A2F" w:rsidRPr="00134DD2">
        <w:rPr>
          <w:rFonts w:ascii="Times New Roman" w:eastAsia="Times New Roman" w:hAnsi="Times New Roman" w:cs="Times New Roman"/>
          <w:sz w:val="28"/>
          <w:szCs w:val="28"/>
          <w:lang w:eastAsia="ru-RU"/>
        </w:rPr>
        <w:t xml:space="preserve">49956,67 </w:t>
      </w:r>
      <w:r w:rsidRPr="00134DD2">
        <w:rPr>
          <w:rFonts w:ascii="Times New Roman" w:eastAsia="Times New Roman" w:hAnsi="Times New Roman" w:cs="Times New Roman"/>
          <w:sz w:val="28"/>
          <w:szCs w:val="28"/>
          <w:lang w:eastAsia="ru-RU"/>
        </w:rPr>
        <w:t>млн рублей, или 26,20 %, налог, взимаемый в связи с применением упрощенной системы налогообложения</w:t>
      </w:r>
      <w:r w:rsidR="00092A2F" w:rsidRPr="00134DD2">
        <w:rPr>
          <w:rFonts w:ascii="Times New Roman" w:eastAsia="Times New Roman" w:hAnsi="Times New Roman" w:cs="Times New Roman"/>
          <w:sz w:val="28"/>
          <w:szCs w:val="28"/>
          <w:lang w:eastAsia="ru-RU"/>
        </w:rPr>
        <w:t>,  –</w:t>
      </w:r>
      <w:r w:rsidRPr="00134DD2">
        <w:rPr>
          <w:rFonts w:ascii="Times New Roman" w:eastAsia="Times New Roman" w:hAnsi="Times New Roman" w:cs="Times New Roman"/>
          <w:sz w:val="28"/>
          <w:szCs w:val="28"/>
          <w:lang w:eastAsia="ru-RU"/>
        </w:rPr>
        <w:t xml:space="preserve"> 20386,01 млн рублей, или 10,69 %, акцизы </w:t>
      </w:r>
      <w:r w:rsidR="00092A2F"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 xml:space="preserve">  17</w:t>
      </w:r>
      <w:r w:rsidR="00092A2F" w:rsidRPr="00134DD2">
        <w:rPr>
          <w:rFonts w:ascii="Times New Roman" w:eastAsia="Times New Roman" w:hAnsi="Times New Roman" w:cs="Times New Roman"/>
          <w:sz w:val="28"/>
          <w:szCs w:val="28"/>
          <w:lang w:eastAsia="ru-RU"/>
        </w:rPr>
        <w:t> </w:t>
      </w:r>
      <w:r w:rsidRPr="00134DD2">
        <w:rPr>
          <w:rFonts w:ascii="Times New Roman" w:eastAsia="Times New Roman" w:hAnsi="Times New Roman" w:cs="Times New Roman"/>
          <w:sz w:val="28"/>
          <w:szCs w:val="28"/>
          <w:lang w:eastAsia="ru-RU"/>
        </w:rPr>
        <w:t>195,96</w:t>
      </w:r>
      <w:r w:rsidR="00092A2F" w:rsidRPr="00134DD2">
        <w:rPr>
          <w:rFonts w:ascii="Times New Roman" w:eastAsia="Times New Roman" w:hAnsi="Times New Roman" w:cs="Times New Roman"/>
          <w:sz w:val="28"/>
          <w:szCs w:val="28"/>
          <w:lang w:eastAsia="ru-RU"/>
        </w:rPr>
        <w:t> </w:t>
      </w:r>
      <w:r w:rsidRPr="00134DD2">
        <w:rPr>
          <w:rFonts w:ascii="Times New Roman" w:eastAsia="Times New Roman" w:hAnsi="Times New Roman" w:cs="Times New Roman"/>
          <w:sz w:val="28"/>
          <w:szCs w:val="28"/>
          <w:lang w:eastAsia="ru-RU"/>
        </w:rPr>
        <w:t>млн рублей, или 9,02 %</w:t>
      </w:r>
      <w:r w:rsidR="00092A2F"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 xml:space="preserve"> и налог на имущество организаций </w:t>
      </w:r>
      <w:r w:rsidR="00092A2F"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 xml:space="preserve">  15</w:t>
      </w:r>
      <w:r w:rsidR="00092A2F" w:rsidRPr="00134DD2">
        <w:rPr>
          <w:rFonts w:ascii="Times New Roman" w:eastAsia="Times New Roman" w:hAnsi="Times New Roman" w:cs="Times New Roman"/>
          <w:sz w:val="28"/>
          <w:szCs w:val="28"/>
          <w:lang w:eastAsia="ru-RU"/>
        </w:rPr>
        <w:t> </w:t>
      </w:r>
      <w:r w:rsidRPr="00134DD2">
        <w:rPr>
          <w:rFonts w:ascii="Times New Roman" w:eastAsia="Times New Roman" w:hAnsi="Times New Roman" w:cs="Times New Roman"/>
          <w:sz w:val="28"/>
          <w:szCs w:val="28"/>
          <w:lang w:eastAsia="ru-RU"/>
        </w:rPr>
        <w:t>064,98  млн рублей, или 7,90 %.</w:t>
      </w:r>
    </w:p>
    <w:p w14:paraId="67094FF7" w14:textId="2DD936C6"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 xml:space="preserve">Наибольшую долю в неналоговых доходах заняли доходы от использования имущества, находящегося в государственной и муниципальной собственности – 3014,18 млн рублей (доля 1,58 % в объеме поступивших налоговых и неналоговых доходов) и штрафы, санкции, возмещение ущерба </w:t>
      </w:r>
      <w:r w:rsidR="00092A2F" w:rsidRPr="00134DD2">
        <w:rPr>
          <w:rFonts w:ascii="Times New Roman" w:eastAsia="Calibri" w:hAnsi="Times New Roman" w:cs="Times New Roman"/>
          <w:sz w:val="28"/>
          <w:szCs w:val="28"/>
        </w:rPr>
        <w:t>–</w:t>
      </w:r>
      <w:r w:rsidRPr="00134DD2">
        <w:rPr>
          <w:rFonts w:ascii="Times New Roman" w:eastAsia="Calibri" w:hAnsi="Times New Roman" w:cs="Times New Roman"/>
          <w:sz w:val="28"/>
          <w:szCs w:val="28"/>
        </w:rPr>
        <w:t xml:space="preserve"> 2</w:t>
      </w:r>
      <w:r w:rsidR="00092A2F" w:rsidRPr="00134DD2">
        <w:rPr>
          <w:rFonts w:ascii="Times New Roman" w:eastAsia="Calibri" w:hAnsi="Times New Roman" w:cs="Times New Roman"/>
          <w:sz w:val="28"/>
          <w:szCs w:val="28"/>
        </w:rPr>
        <w:t> </w:t>
      </w:r>
      <w:r w:rsidRPr="00134DD2">
        <w:rPr>
          <w:rFonts w:ascii="Times New Roman" w:eastAsia="Calibri" w:hAnsi="Times New Roman" w:cs="Times New Roman"/>
          <w:sz w:val="28"/>
          <w:szCs w:val="28"/>
        </w:rPr>
        <w:t>734,01 млн рублей (1,43 %).</w:t>
      </w:r>
    </w:p>
    <w:p w14:paraId="6B4DAF83" w14:textId="39B7C05C" w:rsidR="00B35548" w:rsidRPr="00134DD2" w:rsidRDefault="00B35548" w:rsidP="00B35548">
      <w:pPr>
        <w:spacing w:after="0" w:line="240" w:lineRule="auto"/>
        <w:ind w:firstLine="709"/>
        <w:jc w:val="both"/>
        <w:rPr>
          <w:rFonts w:ascii="Times New Roman" w:eastAsia="Times New Roman" w:hAnsi="Times New Roman" w:cs="Times New Roman"/>
          <w:bCs/>
          <w:sz w:val="28"/>
          <w:szCs w:val="28"/>
          <w:lang w:eastAsia="ru-RU"/>
        </w:rPr>
      </w:pPr>
      <w:r w:rsidRPr="00134DD2">
        <w:rPr>
          <w:rFonts w:ascii="Times New Roman" w:eastAsia="Times New Roman" w:hAnsi="Times New Roman" w:cs="Times New Roman"/>
          <w:b/>
          <w:sz w:val="28"/>
          <w:szCs w:val="28"/>
          <w:lang w:eastAsia="ru-RU"/>
        </w:rPr>
        <w:t>4.2. </w:t>
      </w:r>
      <w:r w:rsidRPr="00134DD2">
        <w:rPr>
          <w:rFonts w:ascii="Times New Roman" w:eastAsia="Times New Roman" w:hAnsi="Times New Roman" w:cs="Times New Roman"/>
          <w:bCs/>
          <w:sz w:val="28"/>
          <w:szCs w:val="28"/>
          <w:lang w:eastAsia="ru-RU"/>
        </w:rPr>
        <w:t xml:space="preserve">Объем безвозмездных поступлений в 2024 году снизился на 11661,73 млн рублей, или на 23,20 % (в 2023 году </w:t>
      </w:r>
      <w:r w:rsidR="00092A2F" w:rsidRPr="00134DD2">
        <w:rPr>
          <w:rFonts w:ascii="Times New Roman" w:eastAsia="Times New Roman" w:hAnsi="Times New Roman" w:cs="Times New Roman"/>
          <w:bCs/>
          <w:sz w:val="28"/>
          <w:szCs w:val="28"/>
          <w:lang w:eastAsia="ru-RU"/>
        </w:rPr>
        <w:t>–</w:t>
      </w:r>
      <w:r w:rsidRPr="00134DD2">
        <w:rPr>
          <w:rFonts w:ascii="Times New Roman" w:eastAsia="Times New Roman" w:hAnsi="Times New Roman" w:cs="Times New Roman"/>
          <w:bCs/>
          <w:sz w:val="28"/>
          <w:szCs w:val="28"/>
          <w:lang w:eastAsia="ru-RU"/>
        </w:rPr>
        <w:t xml:space="preserve"> 50259,55 млн рублей).</w:t>
      </w:r>
    </w:p>
    <w:p w14:paraId="1E532D4D" w14:textId="77777777" w:rsidR="00B35548" w:rsidRPr="00134DD2" w:rsidRDefault="00B35548" w:rsidP="00B35548">
      <w:pPr>
        <w:spacing w:after="0" w:line="240" w:lineRule="auto"/>
        <w:ind w:firstLine="709"/>
        <w:jc w:val="both"/>
        <w:rPr>
          <w:rFonts w:ascii="Times New Roman" w:eastAsia="Times New Roman" w:hAnsi="Times New Roman" w:cs="Times New Roman"/>
          <w:bCs/>
          <w:sz w:val="28"/>
          <w:szCs w:val="28"/>
          <w:lang w:eastAsia="ru-RU"/>
        </w:rPr>
      </w:pPr>
      <w:r w:rsidRPr="00134DD2">
        <w:rPr>
          <w:rFonts w:ascii="Times New Roman" w:eastAsia="Times New Roman" w:hAnsi="Times New Roman" w:cs="Times New Roman"/>
          <w:bCs/>
          <w:sz w:val="28"/>
          <w:szCs w:val="28"/>
          <w:lang w:eastAsia="ru-RU"/>
        </w:rPr>
        <w:t xml:space="preserve">Значительную часть безвозмездных поступлений в 2024 году составили поступления из федерального бюджета 97,22 %, или 37524,12 млн рублей, в том числе: дотации – 7413,05 млн рублей, субсидии – 23330,23 млн рублей, субвенции – 3324,68 млн рублей, иные межбюджетные трансферты – </w:t>
      </w:r>
      <w:r w:rsidRPr="00134DD2">
        <w:rPr>
          <w:rFonts w:ascii="Times New Roman" w:eastAsia="Times New Roman" w:hAnsi="Times New Roman" w:cs="Times New Roman"/>
          <w:bCs/>
          <w:sz w:val="28"/>
          <w:szCs w:val="28"/>
          <w:lang w:eastAsia="ru-RU"/>
        </w:rPr>
        <w:br/>
        <w:t>3456,16 млн рублей.</w:t>
      </w:r>
    </w:p>
    <w:p w14:paraId="77FDAE6C" w14:textId="77777777" w:rsidR="00B35548" w:rsidRPr="00134DD2" w:rsidRDefault="00B35548" w:rsidP="00B35548">
      <w:pPr>
        <w:spacing w:after="0" w:line="240" w:lineRule="auto"/>
        <w:ind w:firstLine="709"/>
        <w:jc w:val="both"/>
        <w:rPr>
          <w:rFonts w:ascii="Times New Roman" w:eastAsia="Times New Roman" w:hAnsi="Times New Roman" w:cs="Times New Roman"/>
          <w:bCs/>
          <w:sz w:val="28"/>
          <w:szCs w:val="28"/>
          <w:lang w:eastAsia="ru-RU"/>
        </w:rPr>
      </w:pPr>
      <w:r w:rsidRPr="00134DD2">
        <w:rPr>
          <w:rFonts w:ascii="Times New Roman" w:eastAsia="Times New Roman" w:hAnsi="Times New Roman" w:cs="Times New Roman"/>
          <w:bCs/>
          <w:sz w:val="28"/>
          <w:szCs w:val="28"/>
          <w:lang w:eastAsia="ru-RU"/>
        </w:rPr>
        <w:t xml:space="preserve">В финансовом году от государственных организаций поступило </w:t>
      </w:r>
      <w:r w:rsidRPr="00134DD2">
        <w:rPr>
          <w:rFonts w:ascii="Times New Roman" w:eastAsia="Times New Roman" w:hAnsi="Times New Roman" w:cs="Times New Roman"/>
          <w:bCs/>
          <w:sz w:val="28"/>
          <w:szCs w:val="28"/>
          <w:lang w:eastAsia="ru-RU"/>
        </w:rPr>
        <w:br/>
        <w:t>218,65 млн рублей, от негосударственных организаций – 43,72 млн рублей. Прочие безвозмездные поступления составили 166,55 млн рублей.</w:t>
      </w:r>
    </w:p>
    <w:p w14:paraId="5A196210" w14:textId="77777777" w:rsidR="00B35548" w:rsidRPr="00134DD2" w:rsidRDefault="00B35548" w:rsidP="00B35548">
      <w:pPr>
        <w:spacing w:after="0" w:line="240" w:lineRule="auto"/>
        <w:ind w:firstLine="709"/>
        <w:jc w:val="both"/>
        <w:rPr>
          <w:rFonts w:ascii="Times New Roman" w:eastAsia="Times New Roman" w:hAnsi="Times New Roman" w:cs="Times New Roman"/>
          <w:bCs/>
          <w:sz w:val="28"/>
          <w:szCs w:val="28"/>
          <w:lang w:eastAsia="ru-RU"/>
        </w:rPr>
      </w:pPr>
      <w:r w:rsidRPr="00134DD2">
        <w:rPr>
          <w:rFonts w:ascii="Times New Roman" w:eastAsia="Times New Roman" w:hAnsi="Times New Roman" w:cs="Times New Roman"/>
          <w:bCs/>
          <w:sz w:val="28"/>
          <w:szCs w:val="28"/>
          <w:lang w:eastAsia="ru-RU"/>
        </w:rPr>
        <w:t>Кроме того, осуществлены возвраты остатков субсидий, субвенций и иных межбюджетных трансфертов, имеющих целевое назначение, прошлых лет в доходы краевого бюджета в объеме 886,13 млн рублей, из краевого бюджета – 241,35 млн рублей.</w:t>
      </w:r>
    </w:p>
    <w:p w14:paraId="1AD3F155" w14:textId="77777777"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b/>
          <w:sz w:val="28"/>
          <w:szCs w:val="28"/>
        </w:rPr>
        <w:t>5.</w:t>
      </w:r>
      <w:r w:rsidRPr="00134DD2">
        <w:rPr>
          <w:rFonts w:ascii="Times New Roman" w:eastAsia="Calibri" w:hAnsi="Times New Roman" w:cs="Times New Roman"/>
          <w:sz w:val="28"/>
          <w:szCs w:val="28"/>
        </w:rPr>
        <w:t xml:space="preserve"> Контрольно-счетная палата отмечает растущий уровень недоимки в консолидированный бюджет Приморского края, что указывает на сложности с исполнением налоговых обязательств со стороны налогоплательщиков. </w:t>
      </w:r>
    </w:p>
    <w:p w14:paraId="4FDE0479" w14:textId="77777777" w:rsidR="00B35548" w:rsidRPr="00134DD2" w:rsidRDefault="00B35548" w:rsidP="00B35548">
      <w:pPr>
        <w:spacing w:after="0" w:line="240" w:lineRule="auto"/>
        <w:ind w:firstLine="708"/>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lastRenderedPageBreak/>
        <w:t>Для решения проблемы требуется не только создание благоприятных условий для бизнеса и населения, а также комплекс мер по улучшению налогового администрирования и укреплению налоговой дисциплины.</w:t>
      </w:r>
    </w:p>
    <w:p w14:paraId="135E7173" w14:textId="1ED19EB6"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В 2024 году по сравнению с показателями предыдущ</w:t>
      </w:r>
      <w:r w:rsidR="00092A2F" w:rsidRPr="00134DD2">
        <w:rPr>
          <w:rFonts w:ascii="Times New Roman" w:eastAsia="Calibri" w:hAnsi="Times New Roman" w:cs="Times New Roman"/>
          <w:sz w:val="28"/>
          <w:szCs w:val="28"/>
        </w:rPr>
        <w:t>его</w:t>
      </w:r>
      <w:r w:rsidRPr="00134DD2">
        <w:rPr>
          <w:rFonts w:ascii="Times New Roman" w:eastAsia="Calibri" w:hAnsi="Times New Roman" w:cs="Times New Roman"/>
          <w:sz w:val="28"/>
          <w:szCs w:val="28"/>
        </w:rPr>
        <w:t xml:space="preserve"> год</w:t>
      </w:r>
      <w:r w:rsidR="00092A2F" w:rsidRPr="00134DD2">
        <w:rPr>
          <w:rFonts w:ascii="Times New Roman" w:eastAsia="Calibri" w:hAnsi="Times New Roman" w:cs="Times New Roman"/>
          <w:sz w:val="28"/>
          <w:szCs w:val="28"/>
        </w:rPr>
        <w:t>а</w:t>
      </w:r>
      <w:r w:rsidRPr="00134DD2">
        <w:rPr>
          <w:rFonts w:ascii="Times New Roman" w:eastAsia="Calibri" w:hAnsi="Times New Roman" w:cs="Times New Roman"/>
          <w:sz w:val="28"/>
          <w:szCs w:val="28"/>
        </w:rPr>
        <w:t xml:space="preserve"> указанная недоимка увеличилась на 10,67 % и составила 5528,37 млн рублей.</w:t>
      </w:r>
      <w:r w:rsidRPr="00134DD2">
        <w:t xml:space="preserve"> </w:t>
      </w:r>
    </w:p>
    <w:p w14:paraId="2932F3F0" w14:textId="570E895B"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Значительный рост недоимки приходится на такие виды экономической деятельности, как: добыча полезных ископаемых – в 3,7 раза</w:t>
      </w:r>
      <w:r w:rsidR="001F48A8" w:rsidRPr="00134DD2">
        <w:rPr>
          <w:rFonts w:ascii="Times New Roman" w:eastAsia="Calibri" w:hAnsi="Times New Roman" w:cs="Times New Roman"/>
          <w:sz w:val="28"/>
          <w:szCs w:val="28"/>
        </w:rPr>
        <w:t>,</w:t>
      </w:r>
      <w:r w:rsidRPr="00134DD2">
        <w:rPr>
          <w:rFonts w:ascii="Times New Roman" w:eastAsia="Calibri" w:hAnsi="Times New Roman" w:cs="Times New Roman"/>
          <w:sz w:val="28"/>
          <w:szCs w:val="28"/>
        </w:rPr>
        <w:t xml:space="preserve"> торговля оптовая, кроме оптовой торговли автотранспортными средствами и мотоциклами</w:t>
      </w:r>
      <w:r w:rsidR="001F48A8" w:rsidRPr="00134DD2">
        <w:rPr>
          <w:rFonts w:ascii="Times New Roman" w:eastAsia="Calibri" w:hAnsi="Times New Roman" w:cs="Times New Roman"/>
          <w:sz w:val="28"/>
          <w:szCs w:val="28"/>
        </w:rPr>
        <w:t xml:space="preserve"> – на 25,67 %,</w:t>
      </w:r>
      <w:r w:rsidRPr="00134DD2">
        <w:rPr>
          <w:rFonts w:ascii="Times New Roman" w:eastAsia="Calibri" w:hAnsi="Times New Roman" w:cs="Times New Roman"/>
          <w:sz w:val="28"/>
          <w:szCs w:val="28"/>
        </w:rPr>
        <w:t xml:space="preserve"> строительство – на 15,53 %.</w:t>
      </w:r>
    </w:p>
    <w:p w14:paraId="22C509A4" w14:textId="3A7CC8BE"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Одновременно зафиксировано существенное снижение уровня недоимки по таким видам, как: деятельность в области спорта, отдыха и развлечений – на 81,75 %</w:t>
      </w:r>
      <w:r w:rsidR="001F48A8" w:rsidRPr="00134DD2">
        <w:rPr>
          <w:rFonts w:ascii="Times New Roman" w:eastAsia="Calibri" w:hAnsi="Times New Roman" w:cs="Times New Roman"/>
          <w:sz w:val="28"/>
          <w:szCs w:val="28"/>
        </w:rPr>
        <w:t>,</w:t>
      </w:r>
      <w:r w:rsidRPr="00134DD2">
        <w:rPr>
          <w:rFonts w:ascii="Times New Roman" w:eastAsia="Calibri" w:hAnsi="Times New Roman" w:cs="Times New Roman"/>
          <w:sz w:val="28"/>
          <w:szCs w:val="28"/>
        </w:rPr>
        <w:t xml:space="preserve"> торговля оптовая и розничная автотранспортными средствами и мотоциклами и их ремонт –</w:t>
      </w:r>
      <w:r w:rsidR="00A47C2A" w:rsidRPr="00134DD2">
        <w:rPr>
          <w:rFonts w:ascii="Times New Roman" w:eastAsia="Calibri" w:hAnsi="Times New Roman" w:cs="Times New Roman"/>
          <w:sz w:val="28"/>
          <w:szCs w:val="28"/>
        </w:rPr>
        <w:t xml:space="preserve"> </w:t>
      </w:r>
      <w:r w:rsidRPr="00134DD2">
        <w:rPr>
          <w:rFonts w:ascii="Times New Roman" w:eastAsia="Calibri" w:hAnsi="Times New Roman" w:cs="Times New Roman"/>
          <w:sz w:val="28"/>
          <w:szCs w:val="28"/>
        </w:rPr>
        <w:t>на 33,68 %; складское хозяйство и вспомогательная транспортная деятельность – на 24,51 %.</w:t>
      </w:r>
    </w:p>
    <w:p w14:paraId="7C0FAF0B" w14:textId="77777777" w:rsidR="00B35548" w:rsidRPr="00134DD2" w:rsidRDefault="00B35548" w:rsidP="00B35548">
      <w:pPr>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b/>
          <w:sz w:val="28"/>
          <w:szCs w:val="28"/>
        </w:rPr>
        <w:t>6.</w:t>
      </w:r>
      <w:r w:rsidRPr="00134DD2">
        <w:rPr>
          <w:rFonts w:ascii="Times New Roman" w:hAnsi="Times New Roman" w:cs="Times New Roman"/>
          <w:sz w:val="28"/>
          <w:szCs w:val="28"/>
        </w:rPr>
        <w:t xml:space="preserve"> В течение финансового года корректировки бюджетных ассигнований коснулись всех 14 разделов бюджетной классификации расходов, 20 государственных программ Приморского края, непрограммных расходов, что отражено в ведомственной классификации по 41 из 43 главных администраторов бюджетных средств. </w:t>
      </w:r>
    </w:p>
    <w:p w14:paraId="00BB2A5E" w14:textId="77777777" w:rsidR="00B35548" w:rsidRPr="00134DD2" w:rsidRDefault="00B35548" w:rsidP="00B35548">
      <w:pPr>
        <w:spacing w:after="0" w:line="240" w:lineRule="auto"/>
        <w:ind w:firstLine="708"/>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В 2024 году увеличилось количество разделов бюджетной классификации расходов, по которым произведено максимальное количество разнонаправленных корректировок. Если в предыдущем году таких было 7 разделов, то в 2024 году количество разделов увеличилось до 10.</w:t>
      </w:r>
    </w:p>
    <w:p w14:paraId="275504E2" w14:textId="03B77C6F" w:rsidR="00B35548" w:rsidRPr="00134DD2" w:rsidRDefault="00B35548" w:rsidP="00FF754A">
      <w:pPr>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b/>
          <w:sz w:val="28"/>
          <w:szCs w:val="28"/>
        </w:rPr>
        <w:t>6.1.</w:t>
      </w:r>
      <w:r w:rsidRPr="00134DD2">
        <w:rPr>
          <w:rFonts w:ascii="Times New Roman" w:hAnsi="Times New Roman" w:cs="Times New Roman"/>
          <w:sz w:val="28"/>
          <w:szCs w:val="28"/>
        </w:rPr>
        <w:t> Исполнение расходной части краевого бюджета составило 236994,68 млн рублей, что на уровне 96,46 % относительно уточненных плановых назначений.</w:t>
      </w:r>
      <w:r w:rsidRPr="00134DD2">
        <w:t xml:space="preserve"> </w:t>
      </w:r>
      <w:r w:rsidRPr="00134DD2">
        <w:rPr>
          <w:rFonts w:ascii="Times New Roman" w:hAnsi="Times New Roman" w:cs="Times New Roman"/>
          <w:sz w:val="28"/>
          <w:szCs w:val="28"/>
        </w:rPr>
        <w:t xml:space="preserve">Наблюдаемый рост расходов краевого бюджета в 2024 году – на 8,38 % незначительно ниже, чем в предыдущем году </w:t>
      </w:r>
      <w:r w:rsidR="00FF754A" w:rsidRPr="00134DD2">
        <w:rPr>
          <w:rFonts w:ascii="Times New Roman" w:hAnsi="Times New Roman" w:cs="Times New Roman"/>
          <w:sz w:val="28"/>
          <w:szCs w:val="28"/>
        </w:rPr>
        <w:br/>
      </w:r>
      <w:r w:rsidRPr="00134DD2">
        <w:rPr>
          <w:rFonts w:ascii="Times New Roman" w:hAnsi="Times New Roman" w:cs="Times New Roman"/>
          <w:sz w:val="28"/>
          <w:szCs w:val="28"/>
        </w:rPr>
        <w:t>(</w:t>
      </w:r>
      <w:r w:rsidR="00FF754A" w:rsidRPr="00134DD2">
        <w:rPr>
          <w:rFonts w:ascii="Times New Roman" w:hAnsi="Times New Roman" w:cs="Times New Roman"/>
          <w:sz w:val="28"/>
          <w:szCs w:val="28"/>
        </w:rPr>
        <w:t xml:space="preserve">на </w:t>
      </w:r>
      <w:r w:rsidRPr="00134DD2">
        <w:rPr>
          <w:rFonts w:ascii="Times New Roman" w:hAnsi="Times New Roman" w:cs="Times New Roman"/>
          <w:sz w:val="28"/>
          <w:szCs w:val="28"/>
        </w:rPr>
        <w:t>8,82 %).</w:t>
      </w:r>
    </w:p>
    <w:p w14:paraId="03A91671" w14:textId="77777777" w:rsidR="00B35548" w:rsidRPr="00134DD2" w:rsidRDefault="00B35548" w:rsidP="00B35548">
      <w:pPr>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b/>
          <w:bCs/>
          <w:sz w:val="28"/>
          <w:szCs w:val="28"/>
          <w:lang w:eastAsia="ru-RU"/>
        </w:rPr>
        <w:t>6.1.1.</w:t>
      </w:r>
      <w:r w:rsidRPr="00134DD2">
        <w:rPr>
          <w:rFonts w:ascii="Times New Roman" w:eastAsia="Times New Roman" w:hAnsi="Times New Roman" w:cs="Times New Roman"/>
          <w:sz w:val="28"/>
          <w:szCs w:val="28"/>
          <w:lang w:eastAsia="ru-RU"/>
        </w:rPr>
        <w:t> </w:t>
      </w:r>
      <w:r w:rsidRPr="00134DD2">
        <w:rPr>
          <w:rFonts w:ascii="Times New Roman" w:hAnsi="Times New Roman" w:cs="Times New Roman"/>
          <w:sz w:val="28"/>
          <w:szCs w:val="28"/>
        </w:rPr>
        <w:t>За 2024 год к</w:t>
      </w:r>
      <w:r w:rsidRPr="00134DD2">
        <w:rPr>
          <w:rFonts w:ascii="Times New Roman" w:eastAsia="Times New Roman" w:hAnsi="Times New Roman" w:cs="Times New Roman"/>
          <w:sz w:val="28"/>
          <w:szCs w:val="28"/>
          <w:lang w:eastAsia="ru-RU"/>
        </w:rPr>
        <w:t xml:space="preserve">ассовое исполнение по разделам бюджетной классификации расходов выше среднего уровня (96,46 %) осуществлено по 9 разделам из 14. </w:t>
      </w:r>
    </w:p>
    <w:p w14:paraId="08CE9ED8" w14:textId="77777777" w:rsidR="00B35548" w:rsidRPr="00134DD2" w:rsidRDefault="00B35548" w:rsidP="00B35548">
      <w:pPr>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В отчетном году не достигло среднего уровня исполнение расходов по 5 разделам, из них самое низкое значение по разделу "Охрана окружающей среды" (86,70 %).</w:t>
      </w:r>
    </w:p>
    <w:p w14:paraId="79B07F9F" w14:textId="73F1DCC2" w:rsidR="00B35548" w:rsidRPr="00134DD2" w:rsidRDefault="00B35548" w:rsidP="00B35548">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В 2024 году доля расходов на социально-культурную сферу (образование, здравоохранение, культуру, социальную политику, спорт) в общем объеме исполненных расходов краевого бюджета остается стабильной</w:t>
      </w:r>
      <w:r w:rsidR="00FE6DA6" w:rsidRPr="00134DD2">
        <w:rPr>
          <w:rFonts w:ascii="Times New Roman" w:eastAsia="Times New Roman" w:hAnsi="Times New Roman" w:cs="Times New Roman"/>
          <w:sz w:val="28"/>
          <w:szCs w:val="28"/>
          <w:lang w:eastAsia="ru-RU"/>
        </w:rPr>
        <w:t> </w:t>
      </w:r>
      <w:r w:rsidRPr="00134DD2">
        <w:rPr>
          <w:rFonts w:ascii="Times New Roman" w:eastAsia="Times New Roman" w:hAnsi="Times New Roman" w:cs="Times New Roman"/>
          <w:sz w:val="28"/>
          <w:szCs w:val="28"/>
          <w:lang w:eastAsia="ru-RU"/>
        </w:rPr>
        <w:t xml:space="preserve">– 56,30 %, что отражает приоритетность социальных обязательств. </w:t>
      </w:r>
    </w:p>
    <w:p w14:paraId="031CF356" w14:textId="77777777" w:rsidR="00B35548" w:rsidRPr="00134DD2" w:rsidRDefault="00B35548" w:rsidP="00B35548">
      <w:pPr>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b/>
          <w:bCs/>
          <w:sz w:val="28"/>
          <w:szCs w:val="28"/>
          <w:lang w:eastAsia="ru-RU"/>
        </w:rPr>
        <w:t>6.1.2.</w:t>
      </w:r>
      <w:r w:rsidRPr="00134DD2">
        <w:rPr>
          <w:rFonts w:ascii="Times New Roman" w:eastAsia="Times New Roman" w:hAnsi="Times New Roman" w:cs="Times New Roman"/>
          <w:sz w:val="28"/>
          <w:szCs w:val="28"/>
          <w:lang w:eastAsia="ru-RU"/>
        </w:rPr>
        <w:t> Неисполненный остаток бюджетных ассигнований за 2024 год составил 8689,58 млн рублей, из них в наибольших значениях по разделам:</w:t>
      </w:r>
    </w:p>
    <w:p w14:paraId="08AFC9CA" w14:textId="77777777" w:rsidR="00B35548" w:rsidRPr="00134DD2" w:rsidRDefault="00B35548" w:rsidP="00B35548">
      <w:pPr>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"Национальная экономика" – 3649,18 млн рублей;</w:t>
      </w:r>
    </w:p>
    <w:p w14:paraId="5ADD0FEB" w14:textId="77777777" w:rsidR="00B35548" w:rsidRPr="00134DD2" w:rsidRDefault="00B35548" w:rsidP="00B35548">
      <w:pPr>
        <w:tabs>
          <w:tab w:val="left" w:pos="0"/>
        </w:tabs>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"Жилищно-коммунальное хозяйство" – 1462,01 млн рублей;</w:t>
      </w:r>
    </w:p>
    <w:p w14:paraId="6DB88A6B" w14:textId="77777777" w:rsidR="00B35548" w:rsidRPr="00134DD2" w:rsidRDefault="00B35548" w:rsidP="00B35548">
      <w:pPr>
        <w:tabs>
          <w:tab w:val="left" w:pos="0"/>
        </w:tabs>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"Образование" – 1277,67 млн рублей;</w:t>
      </w:r>
    </w:p>
    <w:p w14:paraId="5BA3168B" w14:textId="77777777" w:rsidR="00B35548" w:rsidRPr="00134DD2" w:rsidRDefault="00B35548" w:rsidP="00B35548">
      <w:pPr>
        <w:tabs>
          <w:tab w:val="left" w:pos="0"/>
        </w:tabs>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"Здравоохранение" – 1017,83 млн рублей.</w:t>
      </w:r>
    </w:p>
    <w:p w14:paraId="1AA4AD16" w14:textId="77777777" w:rsidR="00B35548" w:rsidRPr="00134DD2" w:rsidRDefault="00B35548" w:rsidP="00B35548">
      <w:pPr>
        <w:tabs>
          <w:tab w:val="left" w:pos="0"/>
        </w:tabs>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lastRenderedPageBreak/>
        <w:t>Основные причины отклонений от плановых назначений по расходам связаны с: экономией по взносам по обязательному социальному страхованию, иным выплатам работникам государственных органов, командировочным расходам; заявительным характером</w:t>
      </w:r>
      <w:r w:rsidRPr="00134DD2">
        <w:rPr>
          <w:rFonts w:ascii="Times New Roman" w:hAnsi="Times New Roman" w:cs="Times New Roman"/>
          <w:sz w:val="28"/>
          <w:szCs w:val="28"/>
        </w:rPr>
        <w:t xml:space="preserve"> </w:t>
      </w:r>
      <w:r w:rsidRPr="00134DD2">
        <w:rPr>
          <w:rFonts w:ascii="Times New Roman" w:eastAsia="Times New Roman" w:hAnsi="Times New Roman" w:cs="Times New Roman"/>
          <w:sz w:val="28"/>
          <w:szCs w:val="28"/>
          <w:lang w:eastAsia="ru-RU"/>
        </w:rPr>
        <w:t xml:space="preserve">выплаты пособий и компенсаций, субсидирования организаций, производителей товаров, работ и услуг; уменьшением численности получателей выплат, пособий и компенсаций; экономией, сложившаяся по результатам проведения конкурсных процедур, </w:t>
      </w:r>
      <w:r w:rsidRPr="00134DD2">
        <w:rPr>
          <w:rFonts w:ascii="Times New Roman" w:hAnsi="Times New Roman" w:cs="Times New Roman"/>
          <w:sz w:val="28"/>
          <w:szCs w:val="28"/>
        </w:rPr>
        <w:t xml:space="preserve">или по </w:t>
      </w:r>
      <w:r w:rsidRPr="00134DD2">
        <w:rPr>
          <w:rFonts w:ascii="Times New Roman" w:eastAsia="Times New Roman" w:hAnsi="Times New Roman" w:cs="Times New Roman"/>
          <w:sz w:val="28"/>
          <w:szCs w:val="28"/>
          <w:lang w:eastAsia="ru-RU"/>
        </w:rPr>
        <w:t xml:space="preserve">результатам выполнения работ; отсутствие непредвиденных ситуаций, требующих выделение средств из резервных фондов. </w:t>
      </w:r>
    </w:p>
    <w:p w14:paraId="3A90EF9F" w14:textId="73F75055" w:rsidR="00B35548" w:rsidRPr="00134DD2" w:rsidRDefault="00B35548" w:rsidP="00B35548">
      <w:pPr>
        <w:tabs>
          <w:tab w:val="left" w:pos="0"/>
        </w:tabs>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Помимо указанных факторов существуют дополнительные причины, оказывающие негативное влияние на реализацию проектов и эффективность бюджетных расходов, среди них такие</w:t>
      </w:r>
      <w:r w:rsidR="00FE6DA6"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 xml:space="preserve"> как: нарушение подрядными организациями сроков исполнения и иных условий контрактов; несвоевременность представления исполнителями работ (поставщиками, подрядчиками) документов для расчетов; длительность проведения конкурсных процедур; отсутствие положительного заключения государственного учреждения, уполномоченного на проведение государственной экспертизы проектной документации и результатов инженерных изысканий, и так далее (примеры по тексту заключения).</w:t>
      </w:r>
    </w:p>
    <w:p w14:paraId="65457D4D" w14:textId="77777777" w:rsidR="00B35548" w:rsidRPr="00134DD2" w:rsidRDefault="00B35548" w:rsidP="00B35548">
      <w:pPr>
        <w:tabs>
          <w:tab w:val="left" w:pos="1095"/>
        </w:tabs>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hAnsi="Times New Roman" w:cs="Times New Roman"/>
          <w:b/>
          <w:sz w:val="28"/>
          <w:szCs w:val="28"/>
        </w:rPr>
        <w:t>6.2.</w:t>
      </w:r>
      <w:r w:rsidRPr="00134DD2">
        <w:rPr>
          <w:rFonts w:ascii="Times New Roman" w:hAnsi="Times New Roman" w:cs="Times New Roman"/>
          <w:sz w:val="28"/>
          <w:szCs w:val="28"/>
        </w:rPr>
        <w:t> </w:t>
      </w:r>
      <w:r w:rsidRPr="00134DD2">
        <w:rPr>
          <w:rFonts w:ascii="Times New Roman" w:eastAsia="Times New Roman" w:hAnsi="Times New Roman" w:cs="Times New Roman"/>
          <w:sz w:val="28"/>
          <w:szCs w:val="28"/>
          <w:lang w:eastAsia="ru-RU"/>
        </w:rPr>
        <w:t>В 2024 году ведомственная структура сократилась до 43 главных распорядителей бюджетных средств</w:t>
      </w:r>
      <w:r w:rsidRPr="00134DD2">
        <w:t xml:space="preserve"> </w:t>
      </w:r>
      <w:r w:rsidRPr="00134DD2">
        <w:rPr>
          <w:rFonts w:ascii="Times New Roman" w:eastAsia="Times New Roman" w:hAnsi="Times New Roman" w:cs="Times New Roman"/>
          <w:sz w:val="28"/>
          <w:szCs w:val="28"/>
          <w:lang w:eastAsia="ru-RU"/>
        </w:rPr>
        <w:t xml:space="preserve">с 44 </w:t>
      </w:r>
      <w:r w:rsidRPr="00134DD2">
        <w:t>(</w:t>
      </w:r>
      <w:r w:rsidRPr="00134DD2">
        <w:rPr>
          <w:rFonts w:ascii="Times New Roman" w:eastAsia="Times New Roman" w:hAnsi="Times New Roman" w:cs="Times New Roman"/>
          <w:sz w:val="28"/>
          <w:szCs w:val="28"/>
          <w:lang w:eastAsia="ru-RU"/>
        </w:rPr>
        <w:t xml:space="preserve">реорганизовано министерство государственного финансового контроля Приморского края). </w:t>
      </w:r>
    </w:p>
    <w:p w14:paraId="35E4EB4F" w14:textId="0F2F7A01" w:rsidR="00B35548" w:rsidRPr="00134DD2" w:rsidRDefault="00B35548" w:rsidP="00B35548">
      <w:pPr>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По итогам исполнения краевого бюджета по расходам значительный объем (67,73 %) приходится на 5 ГРБС: министерство образования Приморского края – 16,86 %</w:t>
      </w:r>
      <w:r w:rsidR="00195395"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 xml:space="preserve"> министерство труда и социальной политики Приморского края – 15,95 %</w:t>
      </w:r>
      <w:r w:rsidR="00195395"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 xml:space="preserve"> министерство здравоохранения Приморского края – 14,44 %</w:t>
      </w:r>
      <w:r w:rsidR="00195395"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 xml:space="preserve"> министерство транспорта и дорожного хозяйства Приморского</w:t>
      </w:r>
      <w:r w:rsidR="00195395" w:rsidRPr="00134DD2">
        <w:rPr>
          <w:rFonts w:ascii="Times New Roman" w:eastAsia="Times New Roman" w:hAnsi="Times New Roman" w:cs="Times New Roman"/>
          <w:sz w:val="28"/>
          <w:szCs w:val="28"/>
          <w:lang w:eastAsia="ru-RU"/>
        </w:rPr>
        <w:t xml:space="preserve"> края – 10,58 %,</w:t>
      </w:r>
      <w:r w:rsidRPr="00134DD2">
        <w:rPr>
          <w:rFonts w:ascii="Times New Roman" w:eastAsia="Times New Roman" w:hAnsi="Times New Roman" w:cs="Times New Roman"/>
          <w:sz w:val="28"/>
          <w:szCs w:val="28"/>
          <w:lang w:eastAsia="ru-RU"/>
        </w:rPr>
        <w:t xml:space="preserve"> министерство жилищно-коммунального хозяйства Приморского края – 9,90 %. </w:t>
      </w:r>
    </w:p>
    <w:p w14:paraId="2A24049A" w14:textId="6C43D33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b/>
          <w:sz w:val="28"/>
          <w:szCs w:val="28"/>
        </w:rPr>
        <w:t>6.3.</w:t>
      </w:r>
      <w:r w:rsidRPr="00134DD2">
        <w:rPr>
          <w:rFonts w:ascii="Times New Roman" w:hAnsi="Times New Roman" w:cs="Times New Roman"/>
          <w:sz w:val="28"/>
          <w:szCs w:val="28"/>
        </w:rPr>
        <w:t xml:space="preserve"> В 2024 году имеется тенденция к более равномерному распределению </w:t>
      </w:r>
      <w:r w:rsidR="00AA09D1" w:rsidRPr="00134DD2">
        <w:rPr>
          <w:rFonts w:ascii="Times New Roman" w:hAnsi="Times New Roman" w:cs="Times New Roman"/>
          <w:sz w:val="28"/>
          <w:szCs w:val="28"/>
        </w:rPr>
        <w:t xml:space="preserve">расходов краевого бюджета </w:t>
      </w:r>
      <w:r w:rsidRPr="00134DD2">
        <w:rPr>
          <w:rFonts w:ascii="Times New Roman" w:hAnsi="Times New Roman" w:cs="Times New Roman"/>
          <w:sz w:val="28"/>
          <w:szCs w:val="28"/>
        </w:rPr>
        <w:t>по кварталам по сравне</w:t>
      </w:r>
      <w:r w:rsidR="00AA09D1" w:rsidRPr="00134DD2">
        <w:rPr>
          <w:rFonts w:ascii="Times New Roman" w:hAnsi="Times New Roman" w:cs="Times New Roman"/>
          <w:sz w:val="28"/>
          <w:szCs w:val="28"/>
        </w:rPr>
        <w:t xml:space="preserve">нию с предыдущими годами, когда 4 </w:t>
      </w:r>
      <w:r w:rsidRPr="00134DD2">
        <w:rPr>
          <w:rFonts w:ascii="Times New Roman" w:hAnsi="Times New Roman" w:cs="Times New Roman"/>
          <w:sz w:val="28"/>
          <w:szCs w:val="28"/>
        </w:rPr>
        <w:t>квартал доминировал. Это указывает на улучшение бюджетного планирования и управления расходами главными распорядителями бюджетных средств.</w:t>
      </w:r>
    </w:p>
    <w:p w14:paraId="42D145B0" w14:textId="34F664BC" w:rsidR="00B35548" w:rsidRPr="00134DD2" w:rsidRDefault="00B35548" w:rsidP="00B35548">
      <w:pPr>
        <w:widowControl w:val="0"/>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b/>
          <w:sz w:val="28"/>
          <w:szCs w:val="28"/>
        </w:rPr>
        <w:t>6.4.</w:t>
      </w:r>
      <w:r w:rsidRPr="00134DD2">
        <w:rPr>
          <w:rFonts w:ascii="Times New Roman" w:hAnsi="Times New Roman" w:cs="Times New Roman"/>
          <w:sz w:val="28"/>
          <w:szCs w:val="28"/>
        </w:rPr>
        <w:t xml:space="preserve"> В краевом бюджете основной объем </w:t>
      </w:r>
      <w:r w:rsidR="00195395" w:rsidRPr="00134DD2">
        <w:rPr>
          <w:rFonts w:ascii="Times New Roman" w:hAnsi="Times New Roman" w:cs="Times New Roman"/>
          <w:sz w:val="28"/>
          <w:szCs w:val="28"/>
        </w:rPr>
        <w:t>–</w:t>
      </w:r>
      <w:r w:rsidRPr="00134DD2">
        <w:rPr>
          <w:rFonts w:ascii="Times New Roman" w:hAnsi="Times New Roman" w:cs="Times New Roman"/>
          <w:sz w:val="28"/>
          <w:szCs w:val="28"/>
        </w:rPr>
        <w:t xml:space="preserve"> 94,73 % </w:t>
      </w:r>
      <w:r w:rsidR="00195395" w:rsidRPr="00134DD2">
        <w:rPr>
          <w:rFonts w:ascii="Times New Roman" w:hAnsi="Times New Roman" w:cs="Times New Roman"/>
          <w:sz w:val="28"/>
          <w:szCs w:val="28"/>
        </w:rPr>
        <w:t>–</w:t>
      </w:r>
      <w:r w:rsidRPr="00134DD2">
        <w:rPr>
          <w:rFonts w:ascii="Times New Roman" w:hAnsi="Times New Roman" w:cs="Times New Roman"/>
          <w:sz w:val="28"/>
          <w:szCs w:val="28"/>
        </w:rPr>
        <w:t xml:space="preserve"> расходуется в рамках 20 государственных программ Приморского края, направленных на решение конкретных стратегических задач развития Приморского края.</w:t>
      </w:r>
    </w:p>
    <w:p w14:paraId="716B3E30" w14:textId="2A61F42A" w:rsidR="00B35548" w:rsidRPr="00134DD2" w:rsidRDefault="00B35548" w:rsidP="00B35548">
      <w:pPr>
        <w:widowControl w:val="0"/>
        <w:spacing w:after="0" w:line="240" w:lineRule="auto"/>
        <w:ind w:firstLine="709"/>
        <w:jc w:val="both"/>
        <w:rPr>
          <w:rFonts w:ascii="Times New Roman" w:eastAsia="Times New Roman" w:hAnsi="Times New Roman" w:cs="Times New Roman"/>
          <w:bCs/>
          <w:sz w:val="28"/>
          <w:szCs w:val="28"/>
        </w:rPr>
      </w:pPr>
      <w:r w:rsidRPr="00134DD2">
        <w:rPr>
          <w:rFonts w:ascii="Times New Roman" w:hAnsi="Times New Roman" w:cs="Times New Roman"/>
          <w:sz w:val="28"/>
          <w:szCs w:val="28"/>
        </w:rPr>
        <w:t xml:space="preserve">В 2024 году на программные расходы направлено 224513,60 млн рублей (96,47 % при плане 232736,31 млн рублей). </w:t>
      </w:r>
      <w:r w:rsidRPr="00134DD2">
        <w:rPr>
          <w:rFonts w:ascii="Times New Roman" w:eastAsia="Times New Roman" w:hAnsi="Times New Roman" w:cs="Times New Roman"/>
          <w:sz w:val="28"/>
          <w:szCs w:val="28"/>
          <w:shd w:val="clear" w:color="auto" w:fill="FFFFFF"/>
          <w:lang w:eastAsia="ru-RU" w:bidi="ru-RU"/>
        </w:rPr>
        <w:t xml:space="preserve">В структуре государственных программ Приморского края на </w:t>
      </w:r>
      <w:r w:rsidRPr="00134DD2">
        <w:rPr>
          <w:rFonts w:ascii="Times New Roman" w:eastAsia="Times New Roman" w:hAnsi="Times New Roman" w:cs="Times New Roman"/>
          <w:bCs/>
          <w:sz w:val="28"/>
          <w:szCs w:val="28"/>
        </w:rPr>
        <w:t xml:space="preserve">долю процессных мероприятий приходится 85,33 % общего объема </w:t>
      </w:r>
      <w:r w:rsidRPr="00134DD2">
        <w:rPr>
          <w:rFonts w:ascii="Times New Roman" w:eastAsia="Times New Roman" w:hAnsi="Times New Roman" w:cs="Times New Roman"/>
          <w:sz w:val="28"/>
          <w:szCs w:val="28"/>
          <w:shd w:val="clear" w:color="auto" w:fill="FFFFFF"/>
          <w:lang w:eastAsia="ru-RU" w:bidi="ru-RU"/>
        </w:rPr>
        <w:t>исполненных программных</w:t>
      </w:r>
      <w:r w:rsidRPr="00134DD2">
        <w:rPr>
          <w:rFonts w:ascii="Times New Roman" w:eastAsia="Times New Roman" w:hAnsi="Times New Roman" w:cs="Times New Roman"/>
          <w:bCs/>
          <w:sz w:val="28"/>
          <w:szCs w:val="28"/>
        </w:rPr>
        <w:t xml:space="preserve"> расходов, на д</w:t>
      </w:r>
      <w:r w:rsidRPr="00134DD2">
        <w:rPr>
          <w:rFonts w:ascii="Times New Roman" w:eastAsia="Times New Roman" w:hAnsi="Times New Roman" w:cs="Times New Roman"/>
          <w:sz w:val="28"/>
          <w:szCs w:val="28"/>
          <w:shd w:val="clear" w:color="auto" w:fill="FFFFFF"/>
          <w:lang w:eastAsia="ru-RU" w:bidi="ru-RU"/>
        </w:rPr>
        <w:t xml:space="preserve">олю </w:t>
      </w:r>
      <w:r w:rsidRPr="00134DD2">
        <w:rPr>
          <w:rFonts w:ascii="Times New Roman" w:eastAsia="Times New Roman" w:hAnsi="Times New Roman" w:cs="Times New Roman"/>
          <w:bCs/>
          <w:sz w:val="28"/>
          <w:szCs w:val="28"/>
        </w:rPr>
        <w:t>проектной части</w:t>
      </w:r>
      <w:r w:rsidRPr="00134DD2">
        <w:rPr>
          <w:rFonts w:ascii="Times New Roman" w:eastAsia="Times New Roman" w:hAnsi="Times New Roman" w:cs="Times New Roman"/>
          <w:b/>
          <w:bCs/>
          <w:sz w:val="28"/>
          <w:szCs w:val="28"/>
        </w:rPr>
        <w:t xml:space="preserve"> </w:t>
      </w:r>
      <w:r w:rsidR="00195395" w:rsidRPr="00134DD2">
        <w:rPr>
          <w:rFonts w:ascii="Times New Roman" w:eastAsia="Times New Roman" w:hAnsi="Times New Roman" w:cs="Times New Roman"/>
          <w:bCs/>
          <w:sz w:val="28"/>
          <w:szCs w:val="28"/>
        </w:rPr>
        <w:t>–</w:t>
      </w:r>
      <w:r w:rsidRPr="00134DD2">
        <w:rPr>
          <w:rFonts w:ascii="Times New Roman" w:eastAsia="Times New Roman" w:hAnsi="Times New Roman" w:cs="Times New Roman"/>
          <w:bCs/>
          <w:sz w:val="28"/>
          <w:szCs w:val="28"/>
        </w:rPr>
        <w:t xml:space="preserve"> 14,67 %.</w:t>
      </w:r>
    </w:p>
    <w:p w14:paraId="3A3D9BB1" w14:textId="77777777" w:rsidR="00B35548" w:rsidRPr="00134DD2" w:rsidRDefault="00B35548" w:rsidP="00B35548">
      <w:pPr>
        <w:spacing w:after="0" w:line="240" w:lineRule="auto"/>
        <w:ind w:firstLine="708"/>
        <w:jc w:val="both"/>
        <w:rPr>
          <w:rFonts w:ascii="Times New Roman" w:hAnsi="Times New Roman" w:cs="Times New Roman"/>
          <w:sz w:val="28"/>
          <w:szCs w:val="28"/>
        </w:rPr>
      </w:pPr>
      <w:r w:rsidRPr="00134DD2">
        <w:rPr>
          <w:rFonts w:ascii="Times New Roman" w:hAnsi="Times New Roman" w:cs="Times New Roman"/>
          <w:b/>
          <w:bCs/>
          <w:sz w:val="28"/>
          <w:szCs w:val="28"/>
        </w:rPr>
        <w:lastRenderedPageBreak/>
        <w:t>6.4.1. </w:t>
      </w:r>
      <w:r w:rsidRPr="00134DD2">
        <w:rPr>
          <w:rFonts w:ascii="Times New Roman" w:hAnsi="Times New Roman" w:cs="Times New Roman"/>
          <w:sz w:val="28"/>
          <w:szCs w:val="28"/>
        </w:rPr>
        <w:t>В отчетном году в целях 12 национальных проектов реализованы мероприятия 37 региональных проектов, которые являются структурными элементами 17 государственных программ Приморского края.</w:t>
      </w:r>
    </w:p>
    <w:p w14:paraId="688AB0A3" w14:textId="7777777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 xml:space="preserve">Объем исполненных расходов национальных проектов составил 19054,63 млн рублей, или 92,46 %. </w:t>
      </w:r>
    </w:p>
    <w:p w14:paraId="2BA7472A" w14:textId="109CC68F" w:rsidR="00B35548" w:rsidRPr="00134DD2" w:rsidRDefault="00B35548" w:rsidP="00BA0DBE">
      <w:pPr>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 xml:space="preserve">Превысили указанный уровень исполнения расходы по 8 национальным проектам, из них по 5 проектам на высоком уровне (от 99 % до 100 %). Ниже среднего уровня расходы по </w:t>
      </w:r>
      <w:r w:rsidR="00975AEF" w:rsidRPr="00134DD2">
        <w:rPr>
          <w:rFonts w:ascii="Times New Roman" w:hAnsi="Times New Roman" w:cs="Times New Roman"/>
          <w:sz w:val="28"/>
          <w:szCs w:val="28"/>
        </w:rPr>
        <w:t>4</w:t>
      </w:r>
      <w:r w:rsidRPr="00134DD2">
        <w:rPr>
          <w:rFonts w:ascii="Times New Roman" w:hAnsi="Times New Roman" w:cs="Times New Roman"/>
          <w:sz w:val="28"/>
          <w:szCs w:val="28"/>
        </w:rPr>
        <w:t xml:space="preserve"> проектам:</w:t>
      </w:r>
      <w:r w:rsidR="00FA5C1B" w:rsidRPr="00134DD2">
        <w:rPr>
          <w:rFonts w:ascii="Times New Roman" w:hAnsi="Times New Roman" w:cs="Times New Roman"/>
          <w:sz w:val="28"/>
          <w:szCs w:val="28"/>
        </w:rPr>
        <w:t xml:space="preserve"> </w:t>
      </w:r>
      <w:r w:rsidR="00BA0DBE" w:rsidRPr="00134DD2">
        <w:rPr>
          <w:rFonts w:ascii="Times New Roman" w:hAnsi="Times New Roman" w:cs="Times New Roman"/>
          <w:sz w:val="28"/>
          <w:szCs w:val="28"/>
        </w:rPr>
        <w:t xml:space="preserve">НП "Безопасные качественные дороги" (89,89 %), </w:t>
      </w:r>
      <w:r w:rsidRPr="00134DD2">
        <w:rPr>
          <w:rFonts w:ascii="Times New Roman" w:hAnsi="Times New Roman" w:cs="Times New Roman"/>
          <w:sz w:val="28"/>
          <w:szCs w:val="28"/>
        </w:rPr>
        <w:t>НП "Экология" (89,10 %), НП "Здравоохранение" (81,83 %), НП "Беспилотные авиационные системы" (50,00 %).</w:t>
      </w:r>
    </w:p>
    <w:p w14:paraId="4B61E9F4" w14:textId="33C79954" w:rsidR="00B35548" w:rsidRPr="00134DD2" w:rsidRDefault="00B35548" w:rsidP="00B35548">
      <w:pPr>
        <w:spacing w:after="0" w:line="240" w:lineRule="auto"/>
        <w:ind w:firstLine="708"/>
        <w:jc w:val="both"/>
        <w:rPr>
          <w:rFonts w:ascii="Times New Roman" w:hAnsi="Times New Roman" w:cs="Times New Roman"/>
        </w:rPr>
      </w:pPr>
      <w:r w:rsidRPr="00134DD2">
        <w:rPr>
          <w:rFonts w:ascii="Times New Roman" w:hAnsi="Times New Roman" w:cs="Times New Roman"/>
          <w:b/>
          <w:sz w:val="28"/>
          <w:szCs w:val="28"/>
        </w:rPr>
        <w:t>6.4.2.</w:t>
      </w:r>
      <w:r w:rsidRPr="00134DD2">
        <w:rPr>
          <w:rFonts w:ascii="Times New Roman" w:hAnsi="Times New Roman" w:cs="Times New Roman"/>
          <w:sz w:val="28"/>
          <w:szCs w:val="28"/>
        </w:rPr>
        <w:t> В 2024 году на реализацию мероприятий 12 региональных проектов, не входящих в состав НП, в структуре 7 государственных программ Приморского края, направлено 10866,30 млн рублей, или 91,72 %</w:t>
      </w:r>
      <w:r w:rsidR="00D03D97" w:rsidRPr="00134DD2">
        <w:rPr>
          <w:rFonts w:ascii="Times New Roman" w:hAnsi="Times New Roman" w:cs="Times New Roman"/>
          <w:sz w:val="28"/>
          <w:szCs w:val="28"/>
        </w:rPr>
        <w:t>,</w:t>
      </w:r>
      <w:r w:rsidRPr="00134DD2">
        <w:rPr>
          <w:rFonts w:ascii="Times New Roman" w:hAnsi="Times New Roman" w:cs="Times New Roman"/>
          <w:sz w:val="28"/>
          <w:szCs w:val="28"/>
        </w:rPr>
        <w:t xml:space="preserve"> от уточненных бюджетных назначений.</w:t>
      </w:r>
    </w:p>
    <w:p w14:paraId="06590B5D" w14:textId="77777777" w:rsidR="00B35548" w:rsidRPr="00134DD2" w:rsidRDefault="00B35548" w:rsidP="00B35548">
      <w:pPr>
        <w:widowControl w:val="0"/>
        <w:spacing w:after="0" w:line="240" w:lineRule="auto"/>
        <w:ind w:firstLine="708"/>
        <w:contextualSpacing/>
        <w:jc w:val="both"/>
        <w:rPr>
          <w:rFonts w:ascii="Times New Roman" w:eastAsia="Times New Roman" w:hAnsi="Times New Roman" w:cs="Times New Roman"/>
          <w:sz w:val="28"/>
          <w:szCs w:val="28"/>
          <w:lang w:eastAsia="ru-RU"/>
        </w:rPr>
      </w:pPr>
      <w:r w:rsidRPr="00134DD2">
        <w:rPr>
          <w:rFonts w:ascii="Times New Roman" w:hAnsi="Times New Roman" w:cs="Times New Roman"/>
          <w:b/>
          <w:sz w:val="28"/>
          <w:szCs w:val="28"/>
        </w:rPr>
        <w:t>6.4.3.</w:t>
      </w:r>
      <w:r w:rsidRPr="00134DD2">
        <w:rPr>
          <w:rFonts w:ascii="Times New Roman" w:hAnsi="Times New Roman" w:cs="Times New Roman"/>
          <w:sz w:val="28"/>
          <w:szCs w:val="28"/>
        </w:rPr>
        <w:t> </w:t>
      </w:r>
      <w:r w:rsidRPr="00134DD2">
        <w:rPr>
          <w:rFonts w:ascii="Times New Roman" w:eastAsia="Times New Roman" w:hAnsi="Times New Roman" w:cs="Times New Roman"/>
          <w:sz w:val="28"/>
          <w:szCs w:val="28"/>
          <w:lang w:eastAsia="ru-RU"/>
        </w:rPr>
        <w:t>В расходной части краевого бюджета количество государственных программ Приморского края, исполненных на высоком уровне (более 95,0 %), как и предыдущем году, составляет 15 ГП, а именно в пределах от 99,97 % (</w:t>
      </w:r>
      <w:r w:rsidRPr="00134DD2">
        <w:rPr>
          <w:rFonts w:ascii="Times New Roman" w:eastAsia="Times New Roman" w:hAnsi="Times New Roman" w:cs="Times New Roman"/>
          <w:sz w:val="28"/>
          <w:szCs w:val="28"/>
        </w:rPr>
        <w:t>ГП "Патриотическое воспитание граждан, реализация государственной национальной политики и развитие институтов гражданского общества на территории Приморского края") до 97,22 % (</w:t>
      </w:r>
      <w:r w:rsidRPr="00134DD2">
        <w:rPr>
          <w:rFonts w:ascii="Times New Roman" w:eastAsia="Times New Roman" w:hAnsi="Times New Roman" w:cs="Times New Roman"/>
          <w:sz w:val="28"/>
          <w:szCs w:val="28"/>
          <w:lang w:eastAsia="ru-RU"/>
        </w:rPr>
        <w:t>ГП "Развитие здравоохранения Приморского края").</w:t>
      </w:r>
    </w:p>
    <w:p w14:paraId="21159A78" w14:textId="77777777" w:rsidR="00B35548" w:rsidRPr="00134DD2" w:rsidRDefault="00B35548" w:rsidP="00B35548">
      <w:pPr>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rPr>
        <w:t>Ниже 95,00 % сложилось исполнение по пяти программам: ГП </w:t>
      </w:r>
      <w:r w:rsidRPr="00134DD2">
        <w:rPr>
          <w:rFonts w:ascii="Times New Roman" w:eastAsia="Times New Roman" w:hAnsi="Times New Roman" w:cs="Times New Roman"/>
          <w:sz w:val="28"/>
          <w:szCs w:val="28"/>
          <w:lang w:eastAsia="ru-RU"/>
        </w:rPr>
        <w:t xml:space="preserve">"Развитие физической культуры и спорта Приморского края" – 94,68 %, ГП "Обеспечение доступным жильем и качественными услугами жилищно-коммунального хозяйства населения Приморского края" – 92,53 %, </w:t>
      </w:r>
      <w:r w:rsidRPr="00134DD2">
        <w:rPr>
          <w:rFonts w:ascii="Times New Roman" w:eastAsia="Times New Roman" w:hAnsi="Times New Roman" w:cs="Times New Roman"/>
          <w:sz w:val="28"/>
          <w:szCs w:val="28"/>
          <w:lang w:eastAsia="ru-RU"/>
        </w:rPr>
        <w:br/>
        <w:t xml:space="preserve">ГП "Охрана окружающей среды Приморского края" – 92,10 %, ГП "Развитие транспортного комплекса Приморского края" – 91,79 %, </w:t>
      </w:r>
      <w:r w:rsidRPr="00134DD2">
        <w:rPr>
          <w:rFonts w:ascii="Times New Roman" w:eastAsia="Times New Roman" w:hAnsi="Times New Roman" w:cs="Times New Roman"/>
          <w:sz w:val="28"/>
          <w:szCs w:val="28"/>
          <w:lang w:eastAsia="ru-RU"/>
        </w:rPr>
        <w:br/>
        <w:t>ГП "Энергоэффективность, развитие газоснабжения и энергетики в Приморском крае" – 89,56 %.</w:t>
      </w:r>
    </w:p>
    <w:p w14:paraId="54D3C376" w14:textId="77777777" w:rsidR="00B35548" w:rsidRPr="00134DD2" w:rsidRDefault="00B35548" w:rsidP="00B35548">
      <w:pPr>
        <w:spacing w:after="0" w:line="240" w:lineRule="auto"/>
        <w:ind w:firstLine="708"/>
        <w:jc w:val="both"/>
        <w:rPr>
          <w:rFonts w:ascii="Times New Roman" w:eastAsia="Times New Roman" w:hAnsi="Times New Roman" w:cs="Times New Roman"/>
          <w:sz w:val="28"/>
          <w:szCs w:val="28"/>
        </w:rPr>
      </w:pPr>
      <w:r w:rsidRPr="00134DD2">
        <w:rPr>
          <w:rFonts w:ascii="Times New Roman" w:eastAsia="Times New Roman" w:hAnsi="Times New Roman" w:cs="Times New Roman"/>
          <w:sz w:val="28"/>
          <w:szCs w:val="28"/>
        </w:rPr>
        <w:t>Основной объем (71,31 %) расходов в краевом бюджете приходится на пять программ:</w:t>
      </w:r>
    </w:p>
    <w:p w14:paraId="5AFE65D9" w14:textId="77777777" w:rsidR="00B35548" w:rsidRPr="00134DD2" w:rsidRDefault="00B35548" w:rsidP="00B35548">
      <w:pPr>
        <w:tabs>
          <w:tab w:val="left" w:pos="851"/>
        </w:tabs>
        <w:spacing w:after="0" w:line="240" w:lineRule="auto"/>
        <w:ind w:firstLine="709"/>
        <w:jc w:val="both"/>
        <w:rPr>
          <w:rFonts w:ascii="Times New Roman" w:eastAsia="Times New Roman" w:hAnsi="Times New Roman" w:cs="Times New Roman"/>
          <w:sz w:val="28"/>
          <w:szCs w:val="28"/>
        </w:rPr>
      </w:pPr>
      <w:r w:rsidRPr="00134DD2">
        <w:rPr>
          <w:rFonts w:ascii="Times New Roman" w:eastAsia="Times New Roman" w:hAnsi="Times New Roman" w:cs="Times New Roman"/>
          <w:sz w:val="28"/>
          <w:szCs w:val="28"/>
        </w:rPr>
        <w:t>ГП "Развитие образования Приморского края" – 19,87 %, или 47079,52 млн рублей;</w:t>
      </w:r>
    </w:p>
    <w:p w14:paraId="6C9629D2" w14:textId="77777777" w:rsidR="00B35548" w:rsidRPr="00134DD2" w:rsidRDefault="00B35548" w:rsidP="00B35548">
      <w:pPr>
        <w:tabs>
          <w:tab w:val="left" w:pos="851"/>
        </w:tabs>
        <w:spacing w:after="0" w:line="240" w:lineRule="auto"/>
        <w:ind w:firstLine="709"/>
        <w:jc w:val="both"/>
        <w:rPr>
          <w:rFonts w:ascii="Times New Roman" w:eastAsia="Times New Roman" w:hAnsi="Times New Roman" w:cs="Times New Roman"/>
          <w:sz w:val="28"/>
          <w:szCs w:val="28"/>
        </w:rPr>
      </w:pPr>
      <w:r w:rsidRPr="00134DD2">
        <w:rPr>
          <w:rFonts w:ascii="Times New Roman" w:eastAsia="Times New Roman" w:hAnsi="Times New Roman" w:cs="Times New Roman"/>
          <w:sz w:val="28"/>
          <w:szCs w:val="28"/>
        </w:rPr>
        <w:t xml:space="preserve">ГП "Развитие здравоохранения Приморского края" – 15,22 %, или 36059,01 млн рублей; </w:t>
      </w:r>
    </w:p>
    <w:p w14:paraId="57CF3E05" w14:textId="77777777" w:rsidR="00B35548" w:rsidRPr="00134DD2" w:rsidRDefault="00B35548" w:rsidP="00B35548">
      <w:pPr>
        <w:tabs>
          <w:tab w:val="left" w:pos="851"/>
        </w:tabs>
        <w:spacing w:after="0" w:line="240" w:lineRule="auto"/>
        <w:ind w:firstLine="709"/>
        <w:jc w:val="both"/>
        <w:rPr>
          <w:rFonts w:ascii="Times New Roman" w:eastAsia="Times New Roman" w:hAnsi="Times New Roman" w:cs="Times New Roman"/>
          <w:sz w:val="28"/>
          <w:szCs w:val="28"/>
        </w:rPr>
      </w:pPr>
      <w:r w:rsidRPr="00134DD2">
        <w:rPr>
          <w:rFonts w:ascii="Times New Roman" w:eastAsia="Times New Roman" w:hAnsi="Times New Roman" w:cs="Times New Roman"/>
          <w:sz w:val="28"/>
          <w:szCs w:val="28"/>
        </w:rPr>
        <w:t>ГП "Социальная поддержка населения Приморского края" – 13,40 %, или 31768,94 млн рублей;</w:t>
      </w:r>
    </w:p>
    <w:p w14:paraId="448B32D6" w14:textId="77777777" w:rsidR="00B35548" w:rsidRPr="00134DD2" w:rsidRDefault="00B35548" w:rsidP="00B35548">
      <w:pPr>
        <w:tabs>
          <w:tab w:val="left" w:pos="851"/>
        </w:tabs>
        <w:spacing w:after="0" w:line="240" w:lineRule="auto"/>
        <w:ind w:firstLine="709"/>
        <w:jc w:val="both"/>
        <w:rPr>
          <w:rFonts w:ascii="Times New Roman" w:eastAsia="Times New Roman" w:hAnsi="Times New Roman" w:cs="Times New Roman"/>
          <w:sz w:val="28"/>
          <w:szCs w:val="28"/>
        </w:rPr>
      </w:pPr>
      <w:r w:rsidRPr="00134DD2">
        <w:rPr>
          <w:rFonts w:ascii="Times New Roman" w:eastAsia="Times New Roman" w:hAnsi="Times New Roman" w:cs="Times New Roman"/>
          <w:sz w:val="28"/>
          <w:szCs w:val="28"/>
        </w:rPr>
        <w:t>ГП "Обеспечение доступным жильем и качественными услугами жилищно-коммунального хозяйства населения Приморского края" – 12,51 %, или 29645,98 млн рублей;</w:t>
      </w:r>
    </w:p>
    <w:p w14:paraId="2B2A2099" w14:textId="77777777" w:rsidR="00B35548" w:rsidRPr="00134DD2" w:rsidRDefault="00B35548" w:rsidP="00B35548">
      <w:pPr>
        <w:tabs>
          <w:tab w:val="left" w:pos="851"/>
        </w:tabs>
        <w:spacing w:after="0" w:line="240" w:lineRule="auto"/>
        <w:ind w:firstLine="709"/>
        <w:jc w:val="both"/>
        <w:rPr>
          <w:rFonts w:ascii="Times New Roman" w:eastAsia="Times New Roman" w:hAnsi="Times New Roman" w:cs="Times New Roman"/>
          <w:sz w:val="28"/>
          <w:szCs w:val="28"/>
        </w:rPr>
      </w:pPr>
      <w:r w:rsidRPr="00134DD2">
        <w:rPr>
          <w:rFonts w:ascii="Times New Roman" w:eastAsia="Times New Roman" w:hAnsi="Times New Roman" w:cs="Times New Roman"/>
          <w:sz w:val="28"/>
          <w:szCs w:val="28"/>
        </w:rPr>
        <w:t>ГП "Развитие транспортного комплекса Приморского края" – 10,31 %, или 24431,90 млн рублей.</w:t>
      </w:r>
    </w:p>
    <w:p w14:paraId="0A3153CB" w14:textId="77777777" w:rsidR="00B35548" w:rsidRPr="00134DD2" w:rsidRDefault="00B35548" w:rsidP="00B35548">
      <w:pPr>
        <w:tabs>
          <w:tab w:val="left" w:pos="851"/>
        </w:tabs>
        <w:spacing w:after="0" w:line="240" w:lineRule="auto"/>
        <w:ind w:firstLine="709"/>
        <w:jc w:val="both"/>
        <w:rPr>
          <w:rFonts w:ascii="Times New Roman" w:eastAsia="Times New Roman" w:hAnsi="Times New Roman" w:cs="Times New Roman"/>
          <w:sz w:val="28"/>
          <w:szCs w:val="28"/>
        </w:rPr>
      </w:pPr>
      <w:r w:rsidRPr="00134DD2">
        <w:rPr>
          <w:rFonts w:ascii="Times New Roman" w:eastAsia="Times New Roman" w:hAnsi="Times New Roman" w:cs="Times New Roman"/>
          <w:sz w:val="28"/>
          <w:szCs w:val="28"/>
        </w:rPr>
        <w:t xml:space="preserve">Доли в общем объеме расходов по остальным программам составляют от 6,65 % (ГП "Экономическое развитие и инновационная экономика </w:t>
      </w:r>
      <w:r w:rsidRPr="00134DD2">
        <w:rPr>
          <w:rFonts w:ascii="Times New Roman" w:eastAsia="Times New Roman" w:hAnsi="Times New Roman" w:cs="Times New Roman"/>
          <w:sz w:val="28"/>
          <w:szCs w:val="28"/>
        </w:rPr>
        <w:lastRenderedPageBreak/>
        <w:t xml:space="preserve">Приморского края") до 0,02 % (ГП "Развитие рыбохозяйственного комплекса Приморского края"). </w:t>
      </w:r>
    </w:p>
    <w:p w14:paraId="21684DCB" w14:textId="7777777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b/>
          <w:sz w:val="28"/>
          <w:szCs w:val="28"/>
        </w:rPr>
        <w:t>6.4.3.1.</w:t>
      </w:r>
      <w:r w:rsidRPr="00134DD2">
        <w:rPr>
          <w:rFonts w:ascii="Times New Roman" w:hAnsi="Times New Roman" w:cs="Times New Roman"/>
          <w:sz w:val="28"/>
          <w:szCs w:val="28"/>
        </w:rPr>
        <w:t>  По итогам 2024 года объем неисполненных бюджетных ассигнований по программным расходам составил 8222,71 млн рублей, или 94,63 % в общем объеме (8689,58 млн рублей). Наибольшие суммы сложились по:</w:t>
      </w:r>
    </w:p>
    <w:p w14:paraId="397D1D51" w14:textId="7777777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ГП "Обеспечение доступным жильем и качественными услугами жилищно-коммунального хозяйства населения Приморского края" – 2393,96 млн рублей;</w:t>
      </w:r>
    </w:p>
    <w:p w14:paraId="0FDA8B97" w14:textId="7777777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ГП "Развитие транспортного комплекса Приморского края" в сумме 2184,96 млн рублей;</w:t>
      </w:r>
    </w:p>
    <w:p w14:paraId="4E29C731" w14:textId="7777777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ГП "Развитие образования Приморского края" – 1279,91 млн рублей;</w:t>
      </w:r>
    </w:p>
    <w:p w14:paraId="33CB8A81" w14:textId="77777777" w:rsidR="00B35548" w:rsidRPr="00134DD2" w:rsidRDefault="00B35548" w:rsidP="00B35548">
      <w:pPr>
        <w:tabs>
          <w:tab w:val="left" w:pos="1095"/>
        </w:tabs>
        <w:spacing w:after="0" w:line="240" w:lineRule="auto"/>
        <w:ind w:firstLine="709"/>
        <w:jc w:val="both"/>
        <w:rPr>
          <w:rFonts w:ascii="Times New Roman" w:eastAsia="Times New Roman" w:hAnsi="Times New Roman" w:cs="Times New Roman"/>
          <w:sz w:val="28"/>
          <w:szCs w:val="28"/>
        </w:rPr>
      </w:pPr>
      <w:r w:rsidRPr="00134DD2">
        <w:rPr>
          <w:rFonts w:ascii="Times New Roman" w:eastAsia="Times New Roman" w:hAnsi="Times New Roman" w:cs="Times New Roman"/>
          <w:sz w:val="28"/>
          <w:szCs w:val="28"/>
        </w:rPr>
        <w:t>ГП "Развитие здравоохранения Приморского края" – 1029,41 млн рублей.</w:t>
      </w:r>
    </w:p>
    <w:p w14:paraId="228D3954" w14:textId="77777777" w:rsidR="00B35548" w:rsidRPr="00134DD2" w:rsidRDefault="00B35548" w:rsidP="00B35548">
      <w:pPr>
        <w:tabs>
          <w:tab w:val="left" w:pos="1095"/>
        </w:tabs>
        <w:spacing w:after="0" w:line="240" w:lineRule="auto"/>
        <w:ind w:firstLine="709"/>
        <w:jc w:val="both"/>
        <w:rPr>
          <w:rFonts w:ascii="Times New Roman" w:eastAsia="Times New Roman" w:hAnsi="Times New Roman" w:cs="Times New Roman"/>
          <w:sz w:val="28"/>
          <w:szCs w:val="28"/>
        </w:rPr>
      </w:pPr>
      <w:r w:rsidRPr="00134DD2">
        <w:rPr>
          <w:rFonts w:ascii="Times New Roman" w:hAnsi="Times New Roman" w:cs="Times New Roman"/>
          <w:b/>
          <w:sz w:val="28"/>
          <w:szCs w:val="28"/>
        </w:rPr>
        <w:t>6.4.3.2.</w:t>
      </w:r>
      <w:r w:rsidRPr="00134DD2">
        <w:rPr>
          <w:rFonts w:ascii="Times New Roman" w:hAnsi="Times New Roman" w:cs="Times New Roman"/>
          <w:sz w:val="28"/>
          <w:szCs w:val="28"/>
        </w:rPr>
        <w:t> </w:t>
      </w:r>
      <w:r w:rsidRPr="00134DD2">
        <w:rPr>
          <w:rFonts w:ascii="Times New Roman" w:eastAsia="Times New Roman" w:hAnsi="Times New Roman" w:cs="Times New Roman"/>
          <w:sz w:val="28"/>
          <w:szCs w:val="28"/>
        </w:rPr>
        <w:t xml:space="preserve">В 2024 году бюджетные ассигнования на реализацию мероприятий АИП предусмотрены в рамках 14 государственных программ Приморского края на строительство и реконструкцию 173 объектов в общем объеме 19704,04 млн рублей. Профинансировано 149 объектов на 15689,38 млн рублей, или 79,62 %. </w:t>
      </w:r>
    </w:p>
    <w:p w14:paraId="1EDD036A" w14:textId="63FAAD5C"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eastAsia="Times New Roman" w:hAnsi="Times New Roman" w:cs="Times New Roman"/>
          <w:sz w:val="28"/>
          <w:szCs w:val="28"/>
        </w:rPr>
        <w:t xml:space="preserve">В рамках АИП на территории края планировалось ввести в эксплуатацию 52 объекта. Согласно </w:t>
      </w:r>
      <w:proofErr w:type="gramStart"/>
      <w:r w:rsidRPr="00134DD2">
        <w:rPr>
          <w:rFonts w:ascii="Times New Roman" w:eastAsia="Times New Roman" w:hAnsi="Times New Roman" w:cs="Times New Roman"/>
          <w:sz w:val="28"/>
          <w:szCs w:val="28"/>
        </w:rPr>
        <w:t>отчету</w:t>
      </w:r>
      <w:proofErr w:type="gramEnd"/>
      <w:r w:rsidRPr="00134DD2">
        <w:rPr>
          <w:rFonts w:ascii="Times New Roman" w:eastAsia="Times New Roman" w:hAnsi="Times New Roman" w:cs="Times New Roman"/>
          <w:sz w:val="28"/>
          <w:szCs w:val="28"/>
        </w:rPr>
        <w:t xml:space="preserve"> об исполнении АИП за 2024 год, введен в </w:t>
      </w:r>
      <w:r w:rsidRPr="00134DD2">
        <w:rPr>
          <w:rFonts w:ascii="Times New Roman" w:hAnsi="Times New Roman" w:cs="Times New Roman"/>
          <w:sz w:val="28"/>
          <w:szCs w:val="28"/>
        </w:rPr>
        <w:t>эксплуатацию (приобретен) 31 объект.</w:t>
      </w:r>
    </w:p>
    <w:p w14:paraId="1FD8C051" w14:textId="77777777" w:rsidR="00B35548" w:rsidRPr="00134DD2" w:rsidRDefault="00B35548" w:rsidP="00B35548">
      <w:pPr>
        <w:tabs>
          <w:tab w:val="left" w:pos="851"/>
        </w:tabs>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 xml:space="preserve">В общем объеме неисполненных расходов краевого бюджета значительная доля (46,20 %) приходится на расходы АИП – 4014,66 млн рублей. </w:t>
      </w:r>
    </w:p>
    <w:p w14:paraId="5956AFDA" w14:textId="22D988C7" w:rsidR="00B35548" w:rsidRPr="00134DD2" w:rsidRDefault="00B35548" w:rsidP="00B35548">
      <w:pPr>
        <w:tabs>
          <w:tab w:val="left" w:pos="851"/>
        </w:tabs>
        <w:spacing w:after="0" w:line="240" w:lineRule="auto"/>
        <w:ind w:firstLine="709"/>
        <w:jc w:val="both"/>
        <w:rPr>
          <w:rFonts w:ascii="Times New Roman" w:hAnsi="Times New Roman" w:cs="Times New Roman"/>
          <w:sz w:val="28"/>
          <w:szCs w:val="28"/>
        </w:rPr>
      </w:pPr>
      <w:r w:rsidRPr="00134DD2">
        <w:rPr>
          <w:rFonts w:ascii="Times New Roman" w:eastAsia="Times New Roman" w:hAnsi="Times New Roman" w:cs="Times New Roman"/>
          <w:sz w:val="28"/>
          <w:szCs w:val="28"/>
        </w:rPr>
        <w:t>По информации ответственных исполнителей ГП</w:t>
      </w:r>
      <w:r w:rsidR="00D03D97" w:rsidRPr="00134DD2">
        <w:rPr>
          <w:rFonts w:ascii="Times New Roman" w:eastAsia="Times New Roman" w:hAnsi="Times New Roman" w:cs="Times New Roman"/>
          <w:sz w:val="28"/>
          <w:szCs w:val="28"/>
        </w:rPr>
        <w:t>,</w:t>
      </w:r>
      <w:r w:rsidRPr="00134DD2">
        <w:rPr>
          <w:rFonts w:ascii="Times New Roman" w:eastAsia="Times New Roman" w:hAnsi="Times New Roman" w:cs="Times New Roman"/>
          <w:sz w:val="28"/>
          <w:szCs w:val="28"/>
        </w:rPr>
        <w:t xml:space="preserve"> р</w:t>
      </w:r>
      <w:r w:rsidRPr="00134DD2">
        <w:rPr>
          <w:rFonts w:ascii="Times New Roman" w:hAnsi="Times New Roman" w:cs="Times New Roman"/>
          <w:sz w:val="28"/>
          <w:szCs w:val="28"/>
        </w:rPr>
        <w:t>еализация ряда неисполненных мероприятий перенесена на 2025 год в основном в связи с необходимостью внесения изменений в проектно-сметную документацию, невыполнением подрядчиками условий контрактов на выполнение работ и других. К примеру, по объектам социальной сферы в рамках:</w:t>
      </w:r>
    </w:p>
    <w:p w14:paraId="6DA52286" w14:textId="77777777" w:rsidR="00B35548" w:rsidRPr="00134DD2" w:rsidRDefault="00B35548" w:rsidP="00B35548">
      <w:pPr>
        <w:spacing w:after="0" w:line="240" w:lineRule="auto"/>
        <w:ind w:right="-94" w:firstLine="709"/>
        <w:jc w:val="both"/>
        <w:rPr>
          <w:rFonts w:ascii="Times New Roman" w:hAnsi="Times New Roman" w:cs="Times New Roman"/>
          <w:sz w:val="28"/>
          <w:szCs w:val="28"/>
        </w:rPr>
      </w:pPr>
      <w:r w:rsidRPr="00134DD2">
        <w:rPr>
          <w:rFonts w:ascii="Times New Roman" w:hAnsi="Times New Roman" w:cs="Times New Roman"/>
          <w:sz w:val="28"/>
          <w:szCs w:val="28"/>
        </w:rPr>
        <w:t>ГП "Развитие образования Приморского края":</w:t>
      </w:r>
    </w:p>
    <w:p w14:paraId="732A50D5" w14:textId="3840A839" w:rsidR="00B35548" w:rsidRPr="00134DD2" w:rsidRDefault="00B35548" w:rsidP="00B35548">
      <w:pPr>
        <w:spacing w:after="0" w:line="240" w:lineRule="auto"/>
        <w:ind w:right="-94" w:firstLine="709"/>
        <w:jc w:val="both"/>
        <w:rPr>
          <w:rFonts w:ascii="Times New Roman" w:hAnsi="Times New Roman" w:cs="Times New Roman"/>
          <w:sz w:val="28"/>
          <w:szCs w:val="28"/>
        </w:rPr>
      </w:pPr>
      <w:r w:rsidRPr="00134DD2">
        <w:rPr>
          <w:rFonts w:ascii="Times New Roman" w:hAnsi="Times New Roman" w:cs="Times New Roman"/>
          <w:bCs/>
          <w:sz w:val="28"/>
          <w:szCs w:val="28"/>
        </w:rPr>
        <w:t>с</w:t>
      </w:r>
      <w:r w:rsidRPr="00134DD2">
        <w:rPr>
          <w:rFonts w:ascii="Times New Roman" w:hAnsi="Times New Roman" w:cs="Times New Roman"/>
          <w:sz w:val="28"/>
          <w:szCs w:val="28"/>
        </w:rPr>
        <w:t>троительство детского сада на 120 мест в микрорайоне "Садовый" в г.</w:t>
      </w:r>
      <w:r w:rsidR="00D03D97" w:rsidRPr="00134DD2">
        <w:rPr>
          <w:rFonts w:ascii="Times New Roman" w:hAnsi="Times New Roman" w:cs="Times New Roman"/>
          <w:sz w:val="28"/>
          <w:szCs w:val="28"/>
        </w:rPr>
        <w:t> </w:t>
      </w:r>
      <w:r w:rsidRPr="00134DD2">
        <w:rPr>
          <w:rFonts w:ascii="Times New Roman" w:hAnsi="Times New Roman" w:cs="Times New Roman"/>
          <w:sz w:val="28"/>
          <w:szCs w:val="28"/>
        </w:rPr>
        <w:t>Большой Камень (н</w:t>
      </w:r>
      <w:r w:rsidRPr="00134DD2">
        <w:rPr>
          <w:rFonts w:ascii="Times New Roman" w:hAnsi="Times New Roman" w:cs="Times New Roman"/>
          <w:bCs/>
          <w:sz w:val="28"/>
          <w:szCs w:val="28"/>
        </w:rPr>
        <w:t>е освоено 56,23 млн рублей)</w:t>
      </w:r>
      <w:r w:rsidRPr="00134DD2">
        <w:rPr>
          <w:rFonts w:ascii="Times New Roman" w:hAnsi="Times New Roman" w:cs="Times New Roman"/>
          <w:sz w:val="28"/>
          <w:szCs w:val="28"/>
        </w:rPr>
        <w:t>;</w:t>
      </w:r>
    </w:p>
    <w:p w14:paraId="396BF9C9" w14:textId="0267F88C" w:rsidR="00B35548" w:rsidRPr="00134DD2" w:rsidRDefault="00B35548" w:rsidP="00B35548">
      <w:pPr>
        <w:spacing w:after="0" w:line="240" w:lineRule="auto"/>
        <w:ind w:right="-94" w:firstLine="709"/>
        <w:jc w:val="both"/>
        <w:rPr>
          <w:rFonts w:ascii="Times New Roman" w:hAnsi="Times New Roman" w:cs="Times New Roman"/>
          <w:sz w:val="28"/>
          <w:szCs w:val="28"/>
        </w:rPr>
      </w:pPr>
      <w:r w:rsidRPr="00134DD2">
        <w:rPr>
          <w:rFonts w:ascii="Times New Roman" w:hAnsi="Times New Roman" w:cs="Times New Roman"/>
          <w:snapToGrid w:val="0"/>
          <w:sz w:val="28"/>
          <w:szCs w:val="28"/>
        </w:rPr>
        <w:t>строительство с</w:t>
      </w:r>
      <w:r w:rsidRPr="00134DD2">
        <w:rPr>
          <w:rFonts w:ascii="Times New Roman" w:hAnsi="Times New Roman" w:cs="Times New Roman"/>
          <w:sz w:val="28"/>
          <w:szCs w:val="28"/>
        </w:rPr>
        <w:t xml:space="preserve">редней общеобразовательной школы на 75 учащихся и группой дошкольного образования на 20 мест в с. </w:t>
      </w:r>
      <w:proofErr w:type="spellStart"/>
      <w:r w:rsidRPr="00134DD2">
        <w:rPr>
          <w:rFonts w:ascii="Times New Roman" w:hAnsi="Times New Roman" w:cs="Times New Roman"/>
          <w:sz w:val="28"/>
          <w:szCs w:val="28"/>
        </w:rPr>
        <w:t>Киевка</w:t>
      </w:r>
      <w:proofErr w:type="spellEnd"/>
      <w:r w:rsidRPr="00134DD2">
        <w:rPr>
          <w:rFonts w:ascii="Times New Roman" w:hAnsi="Times New Roman" w:cs="Times New Roman"/>
          <w:sz w:val="28"/>
          <w:szCs w:val="28"/>
        </w:rPr>
        <w:t xml:space="preserve"> </w:t>
      </w:r>
      <w:proofErr w:type="spellStart"/>
      <w:r w:rsidRPr="00134DD2">
        <w:rPr>
          <w:rFonts w:ascii="Times New Roman" w:hAnsi="Times New Roman" w:cs="Times New Roman"/>
          <w:sz w:val="28"/>
          <w:szCs w:val="28"/>
        </w:rPr>
        <w:t>Лазовского</w:t>
      </w:r>
      <w:proofErr w:type="spellEnd"/>
      <w:r w:rsidRPr="00134DD2">
        <w:rPr>
          <w:rFonts w:ascii="Times New Roman" w:hAnsi="Times New Roman" w:cs="Times New Roman"/>
          <w:sz w:val="28"/>
          <w:szCs w:val="28"/>
        </w:rPr>
        <w:t xml:space="preserve"> МО</w:t>
      </w:r>
      <w:r w:rsidR="00BD4421" w:rsidRPr="00134DD2">
        <w:rPr>
          <w:rFonts w:ascii="Times New Roman" w:hAnsi="Times New Roman" w:cs="Times New Roman"/>
          <w:sz w:val="28"/>
          <w:szCs w:val="28"/>
        </w:rPr>
        <w:br/>
      </w:r>
      <w:r w:rsidRPr="00134DD2">
        <w:rPr>
          <w:rFonts w:ascii="Times New Roman" w:hAnsi="Times New Roman" w:cs="Times New Roman"/>
          <w:sz w:val="28"/>
          <w:szCs w:val="28"/>
        </w:rPr>
        <w:t xml:space="preserve"> (14,64 млн рублей). При реализации проектно-изыскательских работ возник вопрос по использованию земель, находящихся в собственности Минобороны России;</w:t>
      </w:r>
    </w:p>
    <w:p w14:paraId="7E5A57FA" w14:textId="69B6C56F" w:rsidR="00B35548" w:rsidRPr="00134DD2" w:rsidRDefault="00B35548" w:rsidP="00B35548">
      <w:pPr>
        <w:spacing w:after="0" w:line="240" w:lineRule="auto"/>
        <w:ind w:right="-94" w:firstLine="709"/>
        <w:jc w:val="both"/>
        <w:rPr>
          <w:rFonts w:ascii="Times New Roman" w:hAnsi="Times New Roman" w:cs="Times New Roman"/>
          <w:sz w:val="28"/>
          <w:szCs w:val="28"/>
        </w:rPr>
      </w:pPr>
      <w:r w:rsidRPr="00134DD2">
        <w:rPr>
          <w:rFonts w:ascii="Times New Roman" w:hAnsi="Times New Roman" w:cs="Times New Roman"/>
          <w:sz w:val="28"/>
          <w:szCs w:val="28"/>
        </w:rPr>
        <w:t>строительство (реконструкция) школы МОБУ СОШ № 7 с. Пожарское, в том числе проектно-изыскательские работы (30,99 млн рублей);</w:t>
      </w:r>
    </w:p>
    <w:p w14:paraId="6AEE085B" w14:textId="055EF496" w:rsidR="00B35548" w:rsidRPr="00134DD2" w:rsidRDefault="00B35548" w:rsidP="00B35548">
      <w:pPr>
        <w:spacing w:after="0" w:line="240" w:lineRule="auto"/>
        <w:ind w:right="-94" w:firstLine="709"/>
        <w:jc w:val="both"/>
        <w:rPr>
          <w:rFonts w:ascii="Times New Roman" w:hAnsi="Times New Roman" w:cs="Times New Roman"/>
          <w:sz w:val="28"/>
          <w:szCs w:val="28"/>
        </w:rPr>
      </w:pPr>
      <w:r w:rsidRPr="00134DD2">
        <w:rPr>
          <w:rFonts w:ascii="Times New Roman" w:hAnsi="Times New Roman" w:cs="Times New Roman"/>
          <w:sz w:val="28"/>
          <w:szCs w:val="28"/>
        </w:rPr>
        <w:t>за счет специальных казначейских кредитов:</w:t>
      </w:r>
      <w:r w:rsidRPr="00134DD2">
        <w:rPr>
          <w:rFonts w:ascii="Times New Roman" w:hAnsi="Times New Roman" w:cs="Times New Roman"/>
          <w:snapToGrid w:val="0"/>
          <w:sz w:val="28"/>
          <w:szCs w:val="28"/>
        </w:rPr>
        <w:t xml:space="preserve"> строительство детского сада на 220 мест в г. Уссурийске, ул. Выгонная, 1а (в неисполненном остатке 520,37</w:t>
      </w:r>
      <w:r w:rsidR="00D03D97" w:rsidRPr="00134DD2">
        <w:rPr>
          <w:rFonts w:ascii="Times New Roman" w:hAnsi="Times New Roman" w:cs="Times New Roman"/>
          <w:snapToGrid w:val="0"/>
          <w:sz w:val="28"/>
          <w:szCs w:val="28"/>
        </w:rPr>
        <w:t> </w:t>
      </w:r>
      <w:r w:rsidRPr="00134DD2">
        <w:rPr>
          <w:rFonts w:ascii="Times New Roman" w:hAnsi="Times New Roman" w:cs="Times New Roman"/>
          <w:snapToGrid w:val="0"/>
          <w:sz w:val="28"/>
          <w:szCs w:val="28"/>
        </w:rPr>
        <w:t xml:space="preserve">млн рублей); </w:t>
      </w:r>
      <w:r w:rsidRPr="00134DD2">
        <w:rPr>
          <w:rFonts w:ascii="Times New Roman" w:eastAsia="Calibri" w:hAnsi="Times New Roman" w:cs="Times New Roman"/>
          <w:sz w:val="28"/>
          <w:szCs w:val="28"/>
        </w:rPr>
        <w:t xml:space="preserve">реконструкция здания детского сада по </w:t>
      </w:r>
      <w:r w:rsidRPr="00134DD2">
        <w:rPr>
          <w:rFonts w:ascii="Times New Roman" w:eastAsia="Calibri" w:hAnsi="Times New Roman" w:cs="Times New Roman"/>
          <w:sz w:val="28"/>
          <w:szCs w:val="28"/>
        </w:rPr>
        <w:br/>
        <w:t xml:space="preserve">ул. Промышленная, 5д </w:t>
      </w:r>
      <w:r w:rsidRPr="00134DD2">
        <w:rPr>
          <w:rFonts w:ascii="Times New Roman" w:hAnsi="Times New Roman" w:cs="Times New Roman"/>
          <w:sz w:val="28"/>
          <w:szCs w:val="28"/>
        </w:rPr>
        <w:t>в г. Уссурийске (</w:t>
      </w:r>
      <w:r w:rsidRPr="00134DD2">
        <w:rPr>
          <w:rFonts w:ascii="Times New Roman" w:eastAsia="Calibri" w:hAnsi="Times New Roman" w:cs="Times New Roman"/>
          <w:sz w:val="28"/>
          <w:szCs w:val="28"/>
        </w:rPr>
        <w:t xml:space="preserve">302,84 млн рублей) – </w:t>
      </w:r>
      <w:r w:rsidRPr="00134DD2">
        <w:rPr>
          <w:rFonts w:ascii="Times New Roman" w:hAnsi="Times New Roman" w:cs="Times New Roman"/>
          <w:sz w:val="28"/>
          <w:szCs w:val="28"/>
        </w:rPr>
        <w:t xml:space="preserve">расторжение </w:t>
      </w:r>
      <w:r w:rsidRPr="00134DD2">
        <w:rPr>
          <w:rFonts w:ascii="Times New Roman" w:hAnsi="Times New Roman" w:cs="Times New Roman"/>
          <w:sz w:val="28"/>
          <w:szCs w:val="28"/>
        </w:rPr>
        <w:lastRenderedPageBreak/>
        <w:t>контракта с АО "УПТС" в связи с выявлением неустранимых дефектов несущих конструкций здания и необходимости осуществления демонтажа</w:t>
      </w:r>
      <w:r w:rsidRPr="00134DD2">
        <w:rPr>
          <w:rFonts w:ascii="Times New Roman" w:eastAsia="Calibri" w:hAnsi="Times New Roman" w:cs="Times New Roman"/>
          <w:sz w:val="28"/>
          <w:szCs w:val="28"/>
        </w:rPr>
        <w:t>. Мероприятие заменено на проведение капитального ремонта в 12 школах и 3 детских садах Уссурийского городского округа</w:t>
      </w:r>
      <w:r w:rsidRPr="00134DD2">
        <w:rPr>
          <w:rFonts w:ascii="Times New Roman" w:hAnsi="Times New Roman" w:cs="Times New Roman"/>
          <w:sz w:val="28"/>
          <w:szCs w:val="28"/>
        </w:rPr>
        <w:t>;</w:t>
      </w:r>
    </w:p>
    <w:p w14:paraId="48C372AF" w14:textId="77777777" w:rsidR="00B35548" w:rsidRPr="00134DD2" w:rsidRDefault="00B35548" w:rsidP="00B35548">
      <w:pPr>
        <w:tabs>
          <w:tab w:val="left" w:pos="1095"/>
        </w:tabs>
        <w:spacing w:after="0" w:line="240" w:lineRule="auto"/>
        <w:ind w:firstLine="709"/>
        <w:jc w:val="both"/>
        <w:rPr>
          <w:rFonts w:ascii="Times New Roman" w:eastAsia="Times New Roman" w:hAnsi="Times New Roman" w:cs="Times New Roman"/>
          <w:sz w:val="28"/>
          <w:szCs w:val="24"/>
          <w:lang w:eastAsia="ru-RU"/>
        </w:rPr>
      </w:pPr>
      <w:r w:rsidRPr="00134DD2">
        <w:rPr>
          <w:rFonts w:ascii="Times New Roman" w:hAnsi="Times New Roman" w:cs="Times New Roman"/>
          <w:sz w:val="28"/>
          <w:szCs w:val="28"/>
        </w:rPr>
        <w:t>ГП "Развитие физической культуры и спорта Приморского края"</w:t>
      </w:r>
      <w:r w:rsidRPr="00134DD2">
        <w:rPr>
          <w:rFonts w:ascii="Times New Roman" w:eastAsia="Times New Roman" w:hAnsi="Times New Roman" w:cs="Times New Roman"/>
          <w:sz w:val="28"/>
          <w:szCs w:val="24"/>
          <w:lang w:eastAsia="ru-RU"/>
        </w:rPr>
        <w:t>:</w:t>
      </w:r>
    </w:p>
    <w:p w14:paraId="0D138582" w14:textId="0E8F5ACD"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eastAsia="Calibri" w:hAnsi="Times New Roman" w:cs="Times New Roman"/>
          <w:sz w:val="28"/>
          <w:szCs w:val="28"/>
        </w:rPr>
        <w:t>строительство физкультурно-оздоровительного комплекса с плавательным бассейном в г. Большой Камень</w:t>
      </w:r>
      <w:r w:rsidRPr="00134DD2">
        <w:rPr>
          <w:rFonts w:ascii="Times New Roman" w:hAnsi="Times New Roman" w:cs="Times New Roman"/>
          <w:sz w:val="28"/>
          <w:szCs w:val="28"/>
        </w:rPr>
        <w:t xml:space="preserve"> (не исполнено </w:t>
      </w:r>
      <w:r w:rsidRPr="00134DD2">
        <w:rPr>
          <w:rFonts w:ascii="Times New Roman" w:eastAsia="Calibri" w:hAnsi="Times New Roman" w:cs="Times New Roman"/>
          <w:sz w:val="28"/>
          <w:szCs w:val="28"/>
        </w:rPr>
        <w:t xml:space="preserve">189,75 млн рублей) </w:t>
      </w:r>
      <w:r w:rsidRPr="00134DD2">
        <w:rPr>
          <w:rFonts w:ascii="Times New Roman" w:hAnsi="Times New Roman" w:cs="Times New Roman"/>
          <w:sz w:val="28"/>
          <w:szCs w:val="28"/>
        </w:rPr>
        <w:t>– расторжение контракта на строительно-монтажные работы с подрядной организацией ООО "</w:t>
      </w:r>
      <w:proofErr w:type="spellStart"/>
      <w:r w:rsidRPr="00134DD2">
        <w:rPr>
          <w:rFonts w:ascii="Times New Roman" w:hAnsi="Times New Roman" w:cs="Times New Roman"/>
          <w:sz w:val="28"/>
          <w:szCs w:val="28"/>
        </w:rPr>
        <w:t>Примтехсервис</w:t>
      </w:r>
      <w:proofErr w:type="spellEnd"/>
      <w:r w:rsidRPr="00134DD2">
        <w:rPr>
          <w:rFonts w:ascii="Times New Roman" w:hAnsi="Times New Roman" w:cs="Times New Roman"/>
          <w:sz w:val="28"/>
          <w:szCs w:val="28"/>
        </w:rPr>
        <w:t>" по причине предоставлени</w:t>
      </w:r>
      <w:r w:rsidR="00D03D97" w:rsidRPr="00134DD2">
        <w:rPr>
          <w:rFonts w:ascii="Times New Roman" w:hAnsi="Times New Roman" w:cs="Times New Roman"/>
          <w:sz w:val="28"/>
          <w:szCs w:val="28"/>
        </w:rPr>
        <w:t>я</w:t>
      </w:r>
      <w:r w:rsidRPr="00134DD2">
        <w:rPr>
          <w:rFonts w:ascii="Times New Roman" w:hAnsi="Times New Roman" w:cs="Times New Roman"/>
          <w:sz w:val="28"/>
          <w:szCs w:val="28"/>
        </w:rPr>
        <w:t xml:space="preserve"> организацией недостоверной информации о соответствии требованиям, установленным извещением об осуществлении закупки и (или) документацией о закупке при определении подрядной организации</w:t>
      </w:r>
      <w:r w:rsidRPr="00134DD2">
        <w:rPr>
          <w:rFonts w:ascii="Times New Roman" w:eastAsia="Calibri" w:hAnsi="Times New Roman"/>
          <w:sz w:val="28"/>
          <w:szCs w:val="28"/>
        </w:rPr>
        <w:t>;</w:t>
      </w:r>
    </w:p>
    <w:p w14:paraId="40F58F36" w14:textId="427E5E05" w:rsidR="00B35548" w:rsidRPr="00134DD2" w:rsidRDefault="00B35548" w:rsidP="00B35548">
      <w:pPr>
        <w:autoSpaceDE w:val="0"/>
        <w:autoSpaceDN w:val="0"/>
        <w:adjustRightInd w:val="0"/>
        <w:spacing w:after="0" w:line="240" w:lineRule="auto"/>
        <w:ind w:firstLine="708"/>
        <w:jc w:val="both"/>
        <w:rPr>
          <w:rFonts w:ascii="Times New Roman" w:hAnsi="Times New Roman" w:cs="Times New Roman"/>
          <w:sz w:val="28"/>
          <w:szCs w:val="28"/>
        </w:rPr>
      </w:pPr>
      <w:r w:rsidRPr="00134DD2">
        <w:rPr>
          <w:rFonts w:ascii="Times New Roman" w:hAnsi="Times New Roman" w:cs="Times New Roman"/>
          <w:sz w:val="28"/>
          <w:szCs w:val="28"/>
        </w:rPr>
        <w:t>строительство физкультурно-оздоровительного комплекса в пгт</w:t>
      </w:r>
      <w:r w:rsidR="00D03D97" w:rsidRPr="00134DD2">
        <w:rPr>
          <w:rFonts w:ascii="Times New Roman" w:hAnsi="Times New Roman" w:cs="Times New Roman"/>
          <w:sz w:val="28"/>
          <w:szCs w:val="28"/>
        </w:rPr>
        <w:t> </w:t>
      </w:r>
      <w:proofErr w:type="spellStart"/>
      <w:r w:rsidRPr="00134DD2">
        <w:rPr>
          <w:rFonts w:ascii="Times New Roman" w:hAnsi="Times New Roman" w:cs="Times New Roman"/>
          <w:sz w:val="28"/>
          <w:szCs w:val="28"/>
        </w:rPr>
        <w:t>Лучегорск</w:t>
      </w:r>
      <w:proofErr w:type="spellEnd"/>
      <w:r w:rsidRPr="00134DD2">
        <w:rPr>
          <w:rFonts w:ascii="Times New Roman" w:hAnsi="Times New Roman" w:cs="Times New Roman"/>
          <w:sz w:val="28"/>
          <w:szCs w:val="28"/>
        </w:rPr>
        <w:t xml:space="preserve"> (37,20 млн рублей) – изменением срока исполнения отдельного этапа работ в рамках действующего контракта;</w:t>
      </w:r>
    </w:p>
    <w:p w14:paraId="2783F34B" w14:textId="77777777" w:rsidR="00B35548" w:rsidRPr="00134DD2" w:rsidRDefault="00B35548" w:rsidP="00B35548">
      <w:pPr>
        <w:autoSpaceDE w:val="0"/>
        <w:autoSpaceDN w:val="0"/>
        <w:adjustRightInd w:val="0"/>
        <w:spacing w:after="0" w:line="240" w:lineRule="auto"/>
        <w:ind w:firstLine="709"/>
        <w:jc w:val="both"/>
        <w:rPr>
          <w:rFonts w:ascii="Times New Roman" w:eastAsia="Times New Roman" w:hAnsi="Times New Roman" w:cs="Times New Roman"/>
          <w:spacing w:val="-4"/>
          <w:sz w:val="28"/>
          <w:szCs w:val="28"/>
          <w:lang w:eastAsia="ru-RU"/>
        </w:rPr>
      </w:pPr>
      <w:r w:rsidRPr="00134DD2">
        <w:rPr>
          <w:rFonts w:ascii="Times New Roman" w:hAnsi="Times New Roman" w:cs="Times New Roman"/>
          <w:sz w:val="28"/>
          <w:szCs w:val="28"/>
        </w:rPr>
        <w:t>строительство крытого тренировочного катка в г. Дальнегорске (6,97 млн рублей)</w:t>
      </w:r>
      <w:r w:rsidRPr="00134DD2">
        <w:rPr>
          <w:rFonts w:ascii="Times New Roman" w:eastAsia="Times New Roman" w:hAnsi="Times New Roman" w:cs="Times New Roman"/>
          <w:spacing w:val="-4"/>
          <w:sz w:val="28"/>
          <w:szCs w:val="28"/>
          <w:lang w:eastAsia="ru-RU"/>
        </w:rPr>
        <w:t>;</w:t>
      </w:r>
    </w:p>
    <w:p w14:paraId="0C195493" w14:textId="77777777" w:rsidR="00B35548" w:rsidRPr="00134DD2" w:rsidRDefault="00B35548" w:rsidP="00B35548">
      <w:pPr>
        <w:autoSpaceDE w:val="0"/>
        <w:autoSpaceDN w:val="0"/>
        <w:adjustRightInd w:val="0"/>
        <w:spacing w:after="0" w:line="240" w:lineRule="auto"/>
        <w:ind w:firstLine="709"/>
        <w:jc w:val="both"/>
        <w:rPr>
          <w:rFonts w:ascii="Times New Roman" w:eastAsia="Times New Roman" w:hAnsi="Times New Roman" w:cs="Times New Roman"/>
          <w:spacing w:val="-4"/>
          <w:sz w:val="28"/>
          <w:szCs w:val="28"/>
          <w:lang w:eastAsia="ru-RU"/>
        </w:rPr>
      </w:pPr>
      <w:r w:rsidRPr="00134DD2">
        <w:rPr>
          <w:rFonts w:ascii="Times New Roman" w:eastAsia="Times New Roman" w:hAnsi="Times New Roman" w:cs="Times New Roman"/>
          <w:spacing w:val="-4"/>
          <w:sz w:val="28"/>
          <w:szCs w:val="28"/>
          <w:lang w:eastAsia="ru-RU"/>
        </w:rPr>
        <w:t>строительство в г. Владивостоке регионального центра по хоккею и Центра бокса (</w:t>
      </w:r>
      <w:r w:rsidRPr="00134DD2">
        <w:rPr>
          <w:rFonts w:ascii="Times New Roman" w:hAnsi="Times New Roman" w:cs="Times New Roman"/>
          <w:sz w:val="28"/>
          <w:szCs w:val="28"/>
        </w:rPr>
        <w:t>19,44 млн рублей).</w:t>
      </w:r>
    </w:p>
    <w:p w14:paraId="42CE3417" w14:textId="3C2CD8EC" w:rsidR="00B35548" w:rsidRPr="00134DD2" w:rsidRDefault="00B35548" w:rsidP="00B35548">
      <w:pPr>
        <w:spacing w:after="0" w:line="240" w:lineRule="auto"/>
        <w:ind w:firstLine="709"/>
        <w:contextualSpacing/>
        <w:jc w:val="both"/>
        <w:rPr>
          <w:rFonts w:ascii="Times New Roman" w:hAnsi="Times New Roman" w:cs="Times New Roman"/>
          <w:sz w:val="28"/>
          <w:szCs w:val="28"/>
        </w:rPr>
      </w:pPr>
      <w:r w:rsidRPr="00134DD2">
        <w:rPr>
          <w:rFonts w:ascii="Times New Roman" w:hAnsi="Times New Roman" w:cs="Times New Roman"/>
          <w:sz w:val="28"/>
          <w:szCs w:val="28"/>
        </w:rPr>
        <w:t xml:space="preserve">Кроме того, завершение строительства и ввод </w:t>
      </w:r>
      <w:r w:rsidR="004B39B0" w:rsidRPr="00134DD2">
        <w:rPr>
          <w:rFonts w:ascii="Times New Roman" w:hAnsi="Times New Roman" w:cs="Times New Roman"/>
          <w:sz w:val="28"/>
          <w:szCs w:val="28"/>
        </w:rPr>
        <w:t>в эксплуатацию перенесены</w:t>
      </w:r>
      <w:r w:rsidRPr="00134DD2">
        <w:rPr>
          <w:rFonts w:ascii="Times New Roman" w:hAnsi="Times New Roman" w:cs="Times New Roman"/>
          <w:sz w:val="28"/>
          <w:szCs w:val="28"/>
        </w:rPr>
        <w:t xml:space="preserve"> на 2025 год </w:t>
      </w:r>
      <w:r w:rsidR="00BD4421" w:rsidRPr="00134DD2">
        <w:rPr>
          <w:rFonts w:ascii="Times New Roman" w:hAnsi="Times New Roman" w:cs="Times New Roman"/>
          <w:sz w:val="28"/>
          <w:szCs w:val="28"/>
        </w:rPr>
        <w:t xml:space="preserve">по </w:t>
      </w:r>
      <w:r w:rsidR="00BD4421" w:rsidRPr="00134DD2">
        <w:rPr>
          <w:rFonts w:ascii="Times New Roman" w:hAnsi="Times New Roman" w:cs="Times New Roman"/>
          <w:sz w:val="28"/>
          <w:szCs w:val="28"/>
        </w:rPr>
        <w:t>объект</w:t>
      </w:r>
      <w:r w:rsidR="00BD4421" w:rsidRPr="00134DD2">
        <w:rPr>
          <w:rFonts w:ascii="Times New Roman" w:hAnsi="Times New Roman" w:cs="Times New Roman"/>
          <w:sz w:val="28"/>
          <w:szCs w:val="28"/>
        </w:rPr>
        <w:t>ам</w:t>
      </w:r>
      <w:r w:rsidRPr="00134DD2">
        <w:rPr>
          <w:rFonts w:ascii="Times New Roman" w:hAnsi="Times New Roman" w:cs="Times New Roman"/>
          <w:sz w:val="28"/>
          <w:szCs w:val="28"/>
        </w:rPr>
        <w:t xml:space="preserve">: </w:t>
      </w:r>
    </w:p>
    <w:p w14:paraId="7BB12208" w14:textId="77777777" w:rsidR="00B35548" w:rsidRPr="00134DD2" w:rsidRDefault="00B35548" w:rsidP="00B35548">
      <w:pPr>
        <w:autoSpaceDE w:val="0"/>
        <w:autoSpaceDN w:val="0"/>
        <w:adjustRightInd w:val="0"/>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строительство крытого футбольного манежа в г. Владивостоке, в том числе проектно-изыскательские работы (расторжение контракта с ООО "</w:t>
      </w:r>
      <w:proofErr w:type="spellStart"/>
      <w:r w:rsidRPr="00134DD2">
        <w:rPr>
          <w:rFonts w:ascii="Times New Roman" w:hAnsi="Times New Roman" w:cs="Times New Roman"/>
          <w:sz w:val="28"/>
          <w:szCs w:val="28"/>
        </w:rPr>
        <w:t>Техпроматлант</w:t>
      </w:r>
      <w:proofErr w:type="spellEnd"/>
      <w:r w:rsidRPr="00134DD2">
        <w:rPr>
          <w:rFonts w:ascii="Times New Roman" w:hAnsi="Times New Roman" w:cs="Times New Roman"/>
          <w:sz w:val="28"/>
          <w:szCs w:val="28"/>
        </w:rPr>
        <w:t>" в результате неполучения положительного заключения государственной экспертизы по разрабатываемой проектно-сметной документации по объекту);</w:t>
      </w:r>
    </w:p>
    <w:p w14:paraId="55737847" w14:textId="66B3C2D5" w:rsidR="00B35548" w:rsidRPr="00134DD2" w:rsidRDefault="00B35548" w:rsidP="00B35548">
      <w:pPr>
        <w:spacing w:after="0" w:line="240" w:lineRule="auto"/>
        <w:ind w:firstLine="709"/>
        <w:contextualSpacing/>
        <w:jc w:val="both"/>
        <w:rPr>
          <w:rFonts w:ascii="Times New Roman" w:hAnsi="Times New Roman" w:cs="Times New Roman"/>
        </w:rPr>
      </w:pPr>
      <w:r w:rsidRPr="00134DD2">
        <w:rPr>
          <w:rFonts w:ascii="Times New Roman" w:eastAsia="Calibri" w:hAnsi="Times New Roman" w:cs="Times New Roman"/>
          <w:sz w:val="28"/>
          <w:szCs w:val="28"/>
        </w:rPr>
        <w:t xml:space="preserve">строительство крытого тренировочного катка в пгт Кавалерово </w:t>
      </w:r>
      <w:r w:rsidR="00082EAB" w:rsidRPr="00134DD2">
        <w:rPr>
          <w:rFonts w:ascii="Times New Roman" w:eastAsia="Calibri" w:hAnsi="Times New Roman" w:cs="Times New Roman"/>
          <w:sz w:val="28"/>
          <w:szCs w:val="28"/>
        </w:rPr>
        <w:t>–</w:t>
      </w:r>
      <w:r w:rsidRPr="00134DD2">
        <w:rPr>
          <w:rFonts w:ascii="Times New Roman" w:hAnsi="Times New Roman" w:cs="Times New Roman"/>
          <w:sz w:val="28"/>
          <w:szCs w:val="28"/>
        </w:rPr>
        <w:t xml:space="preserve"> расторжение контракта с ООО "</w:t>
      </w:r>
      <w:proofErr w:type="spellStart"/>
      <w:r w:rsidRPr="00134DD2">
        <w:rPr>
          <w:rFonts w:ascii="Times New Roman" w:hAnsi="Times New Roman" w:cs="Times New Roman"/>
          <w:sz w:val="28"/>
          <w:szCs w:val="28"/>
        </w:rPr>
        <w:t>Техпроматлант</w:t>
      </w:r>
      <w:proofErr w:type="spellEnd"/>
      <w:r w:rsidRPr="00134DD2">
        <w:rPr>
          <w:rFonts w:ascii="Times New Roman" w:hAnsi="Times New Roman" w:cs="Times New Roman"/>
          <w:sz w:val="28"/>
          <w:szCs w:val="28"/>
        </w:rPr>
        <w:t>" (т</w:t>
      </w:r>
      <w:r w:rsidRPr="00134DD2">
        <w:rPr>
          <w:rFonts w:ascii="Times New Roman" w:eastAsia="Tahoma" w:hAnsi="Times New Roman" w:cs="FreeSans"/>
          <w:kern w:val="2"/>
          <w:sz w:val="28"/>
          <w:szCs w:val="28"/>
          <w:lang w:eastAsia="zh-CN" w:bidi="hi-IN"/>
        </w:rPr>
        <w:t>ехническая готовность объекта</w:t>
      </w:r>
      <w:r w:rsidRPr="00134DD2">
        <w:rPr>
          <w:rFonts w:ascii="Times New Roman" w:hAnsi="Times New Roman" w:cs="Times New Roman"/>
          <w:sz w:val="28"/>
          <w:szCs w:val="28"/>
        </w:rPr>
        <w:t xml:space="preserve"> на 01.01.2025 </w:t>
      </w:r>
      <w:r w:rsidR="00082EAB" w:rsidRPr="00134DD2">
        <w:rPr>
          <w:rFonts w:ascii="Times New Roman" w:hAnsi="Times New Roman" w:cs="Times New Roman"/>
          <w:sz w:val="28"/>
          <w:szCs w:val="28"/>
        </w:rPr>
        <w:t>–</w:t>
      </w:r>
      <w:r w:rsidRPr="00134DD2">
        <w:rPr>
          <w:rFonts w:ascii="Times New Roman" w:hAnsi="Times New Roman" w:cs="Times New Roman"/>
          <w:sz w:val="28"/>
          <w:szCs w:val="28"/>
        </w:rPr>
        <w:t xml:space="preserve"> 75 %);</w:t>
      </w:r>
    </w:p>
    <w:p w14:paraId="49DA20DF" w14:textId="7777777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реконструкция стадиона "Южный" в микрорайоне Южная Лифляндия в г. Большой Камень (техническая готовность объекта – 60 %);</w:t>
      </w:r>
    </w:p>
    <w:p w14:paraId="502BE620" w14:textId="427A1B6E" w:rsidR="00B35548" w:rsidRPr="00134DD2" w:rsidRDefault="00B35548" w:rsidP="00B35548">
      <w:pPr>
        <w:autoSpaceDE w:val="0"/>
        <w:autoSpaceDN w:val="0"/>
        <w:adjustRightInd w:val="0"/>
        <w:spacing w:after="0" w:line="240" w:lineRule="auto"/>
        <w:ind w:firstLine="708"/>
        <w:jc w:val="both"/>
        <w:rPr>
          <w:rFonts w:ascii="Times New Roman" w:eastAsia="Tahoma" w:hAnsi="Times New Roman" w:cs="FreeSans"/>
          <w:kern w:val="2"/>
          <w:sz w:val="28"/>
          <w:szCs w:val="28"/>
          <w:lang w:eastAsia="zh-CN" w:bidi="hi-IN"/>
        </w:rPr>
      </w:pPr>
      <w:r w:rsidRPr="00134DD2">
        <w:rPr>
          <w:rFonts w:ascii="Times New Roman" w:hAnsi="Times New Roman" w:cs="Times New Roman"/>
          <w:sz w:val="28"/>
          <w:szCs w:val="28"/>
        </w:rPr>
        <w:t>строительство физкультурно-оздоровительного комплекса в г. Находке (т</w:t>
      </w:r>
      <w:r w:rsidRPr="00134DD2">
        <w:rPr>
          <w:rFonts w:ascii="Times New Roman" w:eastAsia="Tahoma" w:hAnsi="Times New Roman" w:cs="FreeSans"/>
          <w:kern w:val="2"/>
          <w:sz w:val="28"/>
          <w:szCs w:val="28"/>
          <w:lang w:eastAsia="zh-CN" w:bidi="hi-IN"/>
        </w:rPr>
        <w:t xml:space="preserve">ехническая готовность объекта </w:t>
      </w:r>
      <w:r w:rsidR="00082EAB" w:rsidRPr="00134DD2">
        <w:rPr>
          <w:rFonts w:ascii="Times New Roman" w:eastAsia="Tahoma" w:hAnsi="Times New Roman" w:cs="FreeSans"/>
          <w:kern w:val="2"/>
          <w:sz w:val="28"/>
          <w:szCs w:val="28"/>
          <w:lang w:eastAsia="zh-CN" w:bidi="hi-IN"/>
        </w:rPr>
        <w:t>–</w:t>
      </w:r>
      <w:r w:rsidRPr="00134DD2">
        <w:rPr>
          <w:rFonts w:ascii="Times New Roman" w:eastAsia="Tahoma" w:hAnsi="Times New Roman" w:cs="FreeSans"/>
          <w:kern w:val="2"/>
          <w:sz w:val="28"/>
          <w:szCs w:val="28"/>
          <w:lang w:eastAsia="zh-CN" w:bidi="hi-IN"/>
        </w:rPr>
        <w:t xml:space="preserve"> 98 %);</w:t>
      </w:r>
    </w:p>
    <w:p w14:paraId="3F282EAB" w14:textId="7777777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физкультурно-оздоровительный комплекс Партизанского ГО (техническая готовность объекта – 89,4 %).</w:t>
      </w:r>
    </w:p>
    <w:p w14:paraId="0393362F" w14:textId="42E92011" w:rsidR="00B35548" w:rsidRPr="00134DD2" w:rsidRDefault="00B35548" w:rsidP="00B35548">
      <w:pPr>
        <w:spacing w:after="0" w:line="240" w:lineRule="auto"/>
        <w:ind w:right="-94" w:firstLine="709"/>
        <w:jc w:val="both"/>
        <w:rPr>
          <w:rFonts w:ascii="Times New Roman" w:hAnsi="Times New Roman" w:cs="Times New Roman"/>
          <w:sz w:val="28"/>
          <w:szCs w:val="28"/>
        </w:rPr>
      </w:pPr>
      <w:r w:rsidRPr="00134DD2">
        <w:rPr>
          <w:rFonts w:ascii="Times New Roman" w:eastAsia="Times New Roman" w:hAnsi="Times New Roman" w:cs="Times New Roman"/>
          <w:sz w:val="28"/>
          <w:szCs w:val="28"/>
          <w:lang w:eastAsia="ru-RU"/>
        </w:rPr>
        <w:t xml:space="preserve">По ГП "Обеспечение доступным жильем и качественными услугами жилищно-коммунального хозяйства населения Приморского края" </w:t>
      </w:r>
      <w:r w:rsidRPr="00134DD2">
        <w:rPr>
          <w:rFonts w:ascii="Times New Roman" w:eastAsia="Times New Roman" w:hAnsi="Times New Roman" w:cs="Times New Roman"/>
          <w:sz w:val="28"/>
          <w:szCs w:val="28"/>
        </w:rPr>
        <w:t>в рамках АИП п</w:t>
      </w:r>
      <w:r w:rsidRPr="00134DD2">
        <w:rPr>
          <w:rFonts w:ascii="Times New Roman" w:eastAsia="Times New Roman" w:hAnsi="Times New Roman" w:cs="Times New Roman"/>
          <w:sz w:val="28"/>
          <w:szCs w:val="28"/>
          <w:lang w:eastAsia="ru-RU"/>
        </w:rPr>
        <w:t xml:space="preserve">о объектам жилищно-коммунального хозяйства </w:t>
      </w:r>
      <w:r w:rsidRPr="00134DD2">
        <w:rPr>
          <w:rFonts w:ascii="Times New Roman" w:eastAsia="Times New Roman" w:hAnsi="Times New Roman" w:cs="Times New Roman"/>
          <w:sz w:val="28"/>
          <w:szCs w:val="28"/>
        </w:rPr>
        <w:t>сложился о</w:t>
      </w:r>
      <w:r w:rsidRPr="00134DD2">
        <w:rPr>
          <w:rFonts w:ascii="Times New Roman" w:hAnsi="Times New Roman" w:cs="Times New Roman"/>
          <w:iCs/>
          <w:sz w:val="28"/>
          <w:szCs w:val="28"/>
          <w:shd w:val="clear" w:color="auto" w:fill="FFFFFF"/>
        </w:rPr>
        <w:t xml:space="preserve">статок неисполненных </w:t>
      </w:r>
      <w:r w:rsidRPr="00134DD2">
        <w:rPr>
          <w:rFonts w:ascii="Times New Roman" w:eastAsia="SimSun" w:hAnsi="Times New Roman" w:cs="Times New Roman"/>
          <w:iCs/>
          <w:sz w:val="28"/>
          <w:szCs w:val="28"/>
        </w:rPr>
        <w:t xml:space="preserve">министерством строительства Приморского края </w:t>
      </w:r>
      <w:r w:rsidRPr="00134DD2">
        <w:rPr>
          <w:rFonts w:ascii="Times New Roman" w:hAnsi="Times New Roman" w:cs="Times New Roman"/>
          <w:iCs/>
          <w:sz w:val="28"/>
          <w:szCs w:val="28"/>
          <w:shd w:val="clear" w:color="auto" w:fill="FFFFFF"/>
        </w:rPr>
        <w:t xml:space="preserve">расходов </w:t>
      </w:r>
      <w:r w:rsidRPr="00134DD2">
        <w:rPr>
          <w:rFonts w:ascii="Times New Roman" w:eastAsia="Times New Roman" w:hAnsi="Times New Roman" w:cs="Times New Roman"/>
          <w:sz w:val="28"/>
          <w:szCs w:val="28"/>
          <w:lang w:eastAsia="ru-RU"/>
        </w:rPr>
        <w:t xml:space="preserve">на </w:t>
      </w:r>
      <w:r w:rsidRPr="00134DD2">
        <w:rPr>
          <w:rFonts w:ascii="Times New Roman" w:hAnsi="Times New Roman" w:cs="Times New Roman"/>
          <w:sz w:val="28"/>
          <w:szCs w:val="28"/>
        </w:rPr>
        <w:t>реализацию инфраструктурных проектов за счет бюджетных кредитов из федерального бюджета</w:t>
      </w:r>
      <w:r w:rsidRPr="00134DD2">
        <w:rPr>
          <w:rFonts w:ascii="Times New Roman" w:eastAsia="Times New Roman" w:hAnsi="Times New Roman" w:cs="Times New Roman"/>
          <w:sz w:val="28"/>
          <w:szCs w:val="28"/>
        </w:rPr>
        <w:t xml:space="preserve"> </w:t>
      </w:r>
      <w:r w:rsidR="00082EAB" w:rsidRPr="00134DD2">
        <w:rPr>
          <w:rFonts w:ascii="Times New Roman" w:eastAsia="Times New Roman" w:hAnsi="Times New Roman" w:cs="Times New Roman"/>
          <w:sz w:val="28"/>
          <w:szCs w:val="28"/>
        </w:rPr>
        <w:t>–</w:t>
      </w:r>
      <w:r w:rsidR="00AB3977" w:rsidRPr="00134DD2">
        <w:rPr>
          <w:rFonts w:ascii="Times New Roman" w:hAnsi="Times New Roman" w:cs="Times New Roman"/>
          <w:iCs/>
          <w:sz w:val="28"/>
          <w:szCs w:val="28"/>
          <w:shd w:val="clear" w:color="auto" w:fill="FFFFFF"/>
        </w:rPr>
        <w:t xml:space="preserve"> 230,05 млн рублей</w:t>
      </w:r>
      <w:r w:rsidRPr="00134DD2">
        <w:rPr>
          <w:rFonts w:ascii="Times New Roman" w:hAnsi="Times New Roman" w:cs="Times New Roman"/>
          <w:sz w:val="28"/>
          <w:szCs w:val="28"/>
        </w:rPr>
        <w:t>.</w:t>
      </w:r>
    </w:p>
    <w:p w14:paraId="4192574E" w14:textId="77777777" w:rsidR="00B35548" w:rsidRPr="00134DD2" w:rsidRDefault="00B35548" w:rsidP="00B35548">
      <w:pPr>
        <w:spacing w:after="0" w:line="240" w:lineRule="auto"/>
        <w:ind w:right="-94" w:firstLine="709"/>
        <w:jc w:val="both"/>
        <w:rPr>
          <w:rFonts w:ascii="Times New Roman" w:hAnsi="Times New Roman" w:cs="Times New Roman"/>
          <w:bCs/>
          <w:iCs/>
          <w:sz w:val="28"/>
          <w:szCs w:val="28"/>
        </w:rPr>
      </w:pPr>
      <w:r w:rsidRPr="00134DD2">
        <w:rPr>
          <w:rFonts w:ascii="Times New Roman" w:hAnsi="Times New Roman" w:cs="Times New Roman"/>
          <w:bCs/>
          <w:iCs/>
          <w:sz w:val="28"/>
          <w:szCs w:val="28"/>
        </w:rPr>
        <w:t xml:space="preserve">Стоит отметить, что при направлении из краевого бюджета в полном объеме КГУП "Приморский водоканал" средств на осуществление капитальных вложений в объекты государственной собственности </w:t>
      </w:r>
      <w:r w:rsidRPr="00134DD2">
        <w:rPr>
          <w:rFonts w:ascii="Times New Roman" w:hAnsi="Times New Roman" w:cs="Times New Roman"/>
          <w:bCs/>
          <w:iCs/>
          <w:sz w:val="28"/>
          <w:szCs w:val="28"/>
        </w:rPr>
        <w:lastRenderedPageBreak/>
        <w:t>Приморского края в сфере жилищно-коммунального хозяйства – 384,40 млн рублей, на конец года по министерству жилищно-коммунального хозяйства Приморского края сложилась дебиторская задолженность на 291,92 млн рублей по объектам:</w:t>
      </w:r>
    </w:p>
    <w:p w14:paraId="262C27F3" w14:textId="77777777" w:rsidR="00B35548" w:rsidRPr="00134DD2" w:rsidRDefault="00B35548" w:rsidP="00B35548">
      <w:pPr>
        <w:spacing w:after="0" w:line="240" w:lineRule="auto"/>
        <w:ind w:firstLine="709"/>
        <w:jc w:val="both"/>
        <w:rPr>
          <w:rFonts w:ascii="Times New Roman" w:hAnsi="Times New Roman" w:cs="Times New Roman"/>
          <w:bCs/>
          <w:iCs/>
          <w:sz w:val="28"/>
          <w:szCs w:val="28"/>
        </w:rPr>
      </w:pPr>
      <w:r w:rsidRPr="00134DD2">
        <w:rPr>
          <w:rFonts w:ascii="Times New Roman" w:hAnsi="Times New Roman" w:cs="Times New Roman"/>
          <w:bCs/>
          <w:iCs/>
          <w:sz w:val="28"/>
          <w:szCs w:val="28"/>
        </w:rPr>
        <w:t>строительство станции водоподготовки на территории "Пушкинская депрессия" для обеспечения качественным водоснабжением резидентов ТОР "</w:t>
      </w:r>
      <w:proofErr w:type="spellStart"/>
      <w:r w:rsidRPr="00134DD2">
        <w:rPr>
          <w:rFonts w:ascii="Times New Roman" w:hAnsi="Times New Roman" w:cs="Times New Roman"/>
          <w:bCs/>
          <w:iCs/>
          <w:sz w:val="28"/>
          <w:szCs w:val="28"/>
        </w:rPr>
        <w:t>Надеждинская</w:t>
      </w:r>
      <w:proofErr w:type="spellEnd"/>
      <w:r w:rsidRPr="00134DD2">
        <w:rPr>
          <w:rFonts w:ascii="Times New Roman" w:hAnsi="Times New Roman" w:cs="Times New Roman"/>
          <w:bCs/>
          <w:iCs/>
          <w:sz w:val="28"/>
          <w:szCs w:val="28"/>
        </w:rPr>
        <w:t xml:space="preserve">" и части жителей </w:t>
      </w:r>
      <w:proofErr w:type="spellStart"/>
      <w:r w:rsidRPr="00134DD2">
        <w:rPr>
          <w:rFonts w:ascii="Times New Roman" w:hAnsi="Times New Roman" w:cs="Times New Roman"/>
          <w:bCs/>
          <w:iCs/>
          <w:sz w:val="28"/>
          <w:szCs w:val="28"/>
        </w:rPr>
        <w:t>Надеждинского</w:t>
      </w:r>
      <w:proofErr w:type="spellEnd"/>
      <w:r w:rsidRPr="00134DD2">
        <w:rPr>
          <w:rFonts w:ascii="Times New Roman" w:hAnsi="Times New Roman" w:cs="Times New Roman"/>
          <w:bCs/>
          <w:iCs/>
          <w:sz w:val="28"/>
          <w:szCs w:val="28"/>
        </w:rPr>
        <w:t xml:space="preserve"> МР (221,72 млн рублей);</w:t>
      </w:r>
    </w:p>
    <w:p w14:paraId="07055C3D" w14:textId="617B1849" w:rsidR="00B35548" w:rsidRPr="00134DD2" w:rsidRDefault="00B35548" w:rsidP="00B35548">
      <w:pPr>
        <w:spacing w:after="0" w:line="240" w:lineRule="auto"/>
        <w:ind w:right="-94" w:firstLine="709"/>
        <w:jc w:val="both"/>
        <w:rPr>
          <w:rFonts w:ascii="Times New Roman" w:hAnsi="Times New Roman" w:cs="Times New Roman"/>
          <w:bCs/>
          <w:iCs/>
          <w:sz w:val="28"/>
          <w:szCs w:val="28"/>
        </w:rPr>
      </w:pPr>
      <w:r w:rsidRPr="00134DD2">
        <w:rPr>
          <w:rFonts w:ascii="Times New Roman" w:hAnsi="Times New Roman" w:cs="Times New Roman"/>
          <w:bCs/>
          <w:iCs/>
          <w:sz w:val="28"/>
          <w:szCs w:val="28"/>
        </w:rPr>
        <w:t>реконструкция системы водоотведения б. Новик со строительством глубоководного выпуска в залив Петра Великого, в том числе проектирование (42,81 млн рублей). Согласно АИП срок исполнения контрактов по разработке проектно-изыскательской документации 25.12.2024 (не исполнен контракт с АО "</w:t>
      </w:r>
      <w:proofErr w:type="spellStart"/>
      <w:r w:rsidRPr="00134DD2">
        <w:rPr>
          <w:rFonts w:ascii="Times New Roman" w:hAnsi="Times New Roman" w:cs="Times New Roman"/>
          <w:bCs/>
          <w:iCs/>
          <w:sz w:val="28"/>
          <w:szCs w:val="28"/>
        </w:rPr>
        <w:t>Ленгипроречтранс</w:t>
      </w:r>
      <w:proofErr w:type="spellEnd"/>
      <w:r w:rsidRPr="00134DD2">
        <w:rPr>
          <w:rFonts w:ascii="Times New Roman" w:hAnsi="Times New Roman" w:cs="Times New Roman"/>
          <w:bCs/>
          <w:iCs/>
          <w:sz w:val="28"/>
          <w:szCs w:val="28"/>
        </w:rPr>
        <w:t>" (глубоководный выпуск</w:t>
      </w:r>
      <w:r w:rsidR="006C3065" w:rsidRPr="00134DD2">
        <w:rPr>
          <w:rFonts w:ascii="Times New Roman" w:hAnsi="Times New Roman" w:cs="Times New Roman"/>
          <w:bCs/>
          <w:iCs/>
          <w:sz w:val="28"/>
          <w:szCs w:val="28"/>
        </w:rPr>
        <w:t>)</w:t>
      </w:r>
      <w:r w:rsidRPr="00134DD2">
        <w:rPr>
          <w:rFonts w:ascii="Times New Roman" w:hAnsi="Times New Roman" w:cs="Times New Roman"/>
          <w:bCs/>
          <w:iCs/>
          <w:sz w:val="28"/>
          <w:szCs w:val="28"/>
        </w:rPr>
        <w:t>);</w:t>
      </w:r>
    </w:p>
    <w:p w14:paraId="73B04428" w14:textId="77777777" w:rsidR="00B35548" w:rsidRPr="00134DD2" w:rsidRDefault="00B35548" w:rsidP="00B35548">
      <w:pPr>
        <w:spacing w:after="0" w:line="240" w:lineRule="auto"/>
        <w:ind w:firstLine="709"/>
        <w:jc w:val="both"/>
        <w:rPr>
          <w:rFonts w:ascii="Times New Roman" w:hAnsi="Times New Roman" w:cs="Times New Roman"/>
          <w:bCs/>
          <w:iCs/>
          <w:sz w:val="28"/>
          <w:szCs w:val="28"/>
        </w:rPr>
      </w:pPr>
      <w:r w:rsidRPr="00134DD2">
        <w:rPr>
          <w:rFonts w:ascii="Times New Roman" w:hAnsi="Times New Roman" w:cs="Times New Roman"/>
          <w:bCs/>
          <w:iCs/>
          <w:sz w:val="28"/>
          <w:szCs w:val="28"/>
        </w:rPr>
        <w:t xml:space="preserve">реконструкция централизованной системы водоотведения для обеспечения перевода всех хозяйственно-бытовых стоков на очистные сооружения г. Владивостока, в том числе проектирование (27,39 млн рублей). </w:t>
      </w:r>
    </w:p>
    <w:p w14:paraId="4C33B4FB" w14:textId="3BCD9A54" w:rsidR="00B35548" w:rsidRPr="00134DD2" w:rsidRDefault="00B35548" w:rsidP="00B35548">
      <w:pPr>
        <w:autoSpaceDE w:val="0"/>
        <w:autoSpaceDN w:val="0"/>
        <w:adjustRightInd w:val="0"/>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b/>
          <w:sz w:val="28"/>
          <w:szCs w:val="28"/>
        </w:rPr>
        <w:t>6.5.</w:t>
      </w:r>
      <w:r w:rsidRPr="00134DD2">
        <w:rPr>
          <w:rFonts w:ascii="Times New Roman" w:eastAsia="Calibri" w:hAnsi="Times New Roman" w:cs="Times New Roman"/>
          <w:sz w:val="28"/>
          <w:szCs w:val="28"/>
        </w:rPr>
        <w:t> В 2024 году на реализацию мероприятий ГП "Обеспечение доступным жильем и качественными услугами жилищно-коммунального хозяйства населения Приморского края" по предоставлению детям-сиротам и лицам из их числа жилых помещений, направлено 97,79 %, или 2696,05 млн рублей</w:t>
      </w:r>
      <w:r w:rsidR="00DD0657" w:rsidRPr="00134DD2">
        <w:rPr>
          <w:rFonts w:ascii="Times New Roman" w:eastAsia="Calibri" w:hAnsi="Times New Roman" w:cs="Times New Roman"/>
          <w:sz w:val="28"/>
          <w:szCs w:val="28"/>
        </w:rPr>
        <w:t>,</w:t>
      </w:r>
      <w:r w:rsidRPr="00134DD2">
        <w:rPr>
          <w:rFonts w:ascii="Times New Roman" w:eastAsia="Calibri" w:hAnsi="Times New Roman" w:cs="Times New Roman"/>
          <w:sz w:val="28"/>
          <w:szCs w:val="28"/>
        </w:rPr>
        <w:t xml:space="preserve"> средств федерального и краевого бюджетов. </w:t>
      </w:r>
    </w:p>
    <w:p w14:paraId="76B2E429" w14:textId="59A65D42" w:rsidR="00B35548" w:rsidRPr="00134DD2" w:rsidRDefault="00B35548" w:rsidP="00B35548">
      <w:pPr>
        <w:spacing w:after="0" w:line="240" w:lineRule="auto"/>
        <w:ind w:firstLine="709"/>
        <w:jc w:val="both"/>
        <w:rPr>
          <w:rFonts w:ascii="Times New Roman" w:hAnsi="Times New Roman" w:cs="Times New Roman"/>
          <w:sz w:val="28"/>
          <w:szCs w:val="28"/>
        </w:rPr>
      </w:pPr>
      <w:r w:rsidRPr="00134DD2">
        <w:rPr>
          <w:rFonts w:ascii="Times New Roman" w:eastAsia="Calibri" w:hAnsi="Times New Roman" w:cs="Times New Roman"/>
          <w:sz w:val="28"/>
          <w:szCs w:val="28"/>
        </w:rPr>
        <w:t xml:space="preserve">По оценке Контрольно-счетной палаты, в </w:t>
      </w:r>
      <w:r w:rsidRPr="00134DD2">
        <w:rPr>
          <w:rFonts w:ascii="Times New Roman" w:hAnsi="Times New Roman" w:cs="Times New Roman"/>
          <w:sz w:val="28"/>
          <w:szCs w:val="28"/>
        </w:rPr>
        <w:t xml:space="preserve">Приморском крае наблюдается положительная динамика в снижении количества детей-сирот, стоящих в очереди на жилье (с 5768 до 5395 человек). Однако количество детей-сирот, чье право на жилье возникло, но не реализовано, все еще остается значительным – 3880 человек. При этом наблюдается рост числа детей-сирот старше 23 лет, ожидающих жилье (1600 человек в 2024 году против 1272 в 2023 году). </w:t>
      </w:r>
    </w:p>
    <w:p w14:paraId="47E7F713" w14:textId="478C9963" w:rsidR="00B35548" w:rsidRPr="00134DD2" w:rsidRDefault="00B35548" w:rsidP="00B35548">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134DD2">
        <w:rPr>
          <w:rFonts w:ascii="Times New Roman" w:hAnsi="Times New Roman" w:cs="Times New Roman"/>
          <w:sz w:val="28"/>
          <w:szCs w:val="28"/>
        </w:rPr>
        <w:t xml:space="preserve">По данным министерства труда и социального развития Приморского края, за 2024 год численность детей-сирот и детей, оставшихся без попечения родителей, лиц из их числа, обеспеченных жилыми помещениями, составила 760 человек (в 2023 году </w:t>
      </w:r>
      <w:r w:rsidR="00DD0657" w:rsidRPr="00134DD2">
        <w:rPr>
          <w:rFonts w:ascii="Times New Roman" w:hAnsi="Times New Roman" w:cs="Times New Roman"/>
          <w:sz w:val="28"/>
          <w:szCs w:val="28"/>
        </w:rPr>
        <w:t>–</w:t>
      </w:r>
      <w:r w:rsidRPr="00134DD2">
        <w:rPr>
          <w:rFonts w:ascii="Times New Roman" w:hAnsi="Times New Roman" w:cs="Times New Roman"/>
          <w:sz w:val="28"/>
          <w:szCs w:val="28"/>
        </w:rPr>
        <w:t xml:space="preserve"> 1014), из них 493 </w:t>
      </w:r>
      <w:r w:rsidR="002F1435" w:rsidRPr="00134DD2">
        <w:rPr>
          <w:rFonts w:ascii="Times New Roman" w:hAnsi="Times New Roman" w:cs="Times New Roman"/>
          <w:sz w:val="28"/>
          <w:szCs w:val="28"/>
        </w:rPr>
        <w:t xml:space="preserve">человека </w:t>
      </w:r>
      <w:r w:rsidRPr="00134DD2">
        <w:rPr>
          <w:rFonts w:ascii="Times New Roman" w:hAnsi="Times New Roman" w:cs="Times New Roman"/>
          <w:sz w:val="28"/>
          <w:szCs w:val="28"/>
        </w:rPr>
        <w:t>путем предоставления жилых помещений специализированног</w:t>
      </w:r>
      <w:r w:rsidR="002F1435" w:rsidRPr="00134DD2">
        <w:rPr>
          <w:rFonts w:ascii="Times New Roman" w:hAnsi="Times New Roman" w:cs="Times New Roman"/>
          <w:sz w:val="28"/>
          <w:szCs w:val="28"/>
        </w:rPr>
        <w:t xml:space="preserve">о жилого фонда </w:t>
      </w:r>
      <w:r w:rsidR="002F1435" w:rsidRPr="00134DD2">
        <w:rPr>
          <w:rFonts w:ascii="Times New Roman" w:hAnsi="Times New Roman" w:cs="Times New Roman"/>
          <w:sz w:val="28"/>
          <w:szCs w:val="28"/>
        </w:rPr>
        <w:t xml:space="preserve">(в 2023 году – </w:t>
      </w:r>
      <w:r w:rsidR="002F1435" w:rsidRPr="00134DD2">
        <w:rPr>
          <w:rFonts w:ascii="Times New Roman" w:hAnsi="Times New Roman" w:cs="Times New Roman"/>
          <w:sz w:val="28"/>
          <w:szCs w:val="28"/>
        </w:rPr>
        <w:br/>
      </w:r>
      <w:r w:rsidR="002F1435" w:rsidRPr="00134DD2">
        <w:rPr>
          <w:rFonts w:ascii="Times New Roman" w:hAnsi="Times New Roman" w:cs="Times New Roman"/>
          <w:sz w:val="28"/>
          <w:szCs w:val="28"/>
        </w:rPr>
        <w:t>641)</w:t>
      </w:r>
      <w:r w:rsidR="002F1435" w:rsidRPr="00134DD2">
        <w:rPr>
          <w:rFonts w:ascii="Times New Roman" w:hAnsi="Times New Roman" w:cs="Times New Roman"/>
          <w:sz w:val="28"/>
          <w:szCs w:val="28"/>
        </w:rPr>
        <w:t>,</w:t>
      </w:r>
      <w:r w:rsidRPr="00134DD2">
        <w:rPr>
          <w:rFonts w:ascii="Times New Roman" w:hAnsi="Times New Roman" w:cs="Times New Roman"/>
          <w:sz w:val="28"/>
          <w:szCs w:val="28"/>
        </w:rPr>
        <w:t xml:space="preserve"> 267 человек </w:t>
      </w:r>
      <w:r w:rsidRPr="00134DD2">
        <w:rPr>
          <w:rFonts w:ascii="Times New Roman" w:eastAsia="Times New Roman" w:hAnsi="Times New Roman" w:cs="Times New Roman"/>
          <w:sz w:val="28"/>
          <w:szCs w:val="28"/>
          <w:lang w:eastAsia="zh-CN"/>
        </w:rPr>
        <w:t>путем оплаты сертификатов</w:t>
      </w:r>
      <w:r w:rsidR="002F1435" w:rsidRPr="00134DD2">
        <w:rPr>
          <w:rFonts w:ascii="Times New Roman" w:eastAsia="Times New Roman" w:hAnsi="Times New Roman" w:cs="Times New Roman"/>
          <w:sz w:val="28"/>
          <w:szCs w:val="28"/>
          <w:lang w:eastAsia="zh-CN"/>
        </w:rPr>
        <w:t xml:space="preserve"> </w:t>
      </w:r>
      <w:r w:rsidR="002F1435" w:rsidRPr="00134DD2">
        <w:rPr>
          <w:rFonts w:ascii="Times New Roman" w:hAnsi="Times New Roman" w:cs="Times New Roman"/>
          <w:sz w:val="28"/>
          <w:szCs w:val="28"/>
        </w:rPr>
        <w:t>(в 2023 году – 373)</w:t>
      </w:r>
      <w:r w:rsidRPr="00134DD2">
        <w:rPr>
          <w:rFonts w:ascii="Times New Roman" w:hAnsi="Times New Roman" w:cs="Times New Roman"/>
          <w:sz w:val="28"/>
          <w:szCs w:val="28"/>
        </w:rPr>
        <w:t>.</w:t>
      </w:r>
    </w:p>
    <w:p w14:paraId="28FE693F" w14:textId="77777777" w:rsidR="00B35548" w:rsidRPr="00134DD2" w:rsidRDefault="00B35548" w:rsidP="00B35548">
      <w:pPr>
        <w:widowControl w:val="0"/>
        <w:spacing w:after="0" w:line="240" w:lineRule="auto"/>
        <w:ind w:firstLine="709"/>
        <w:jc w:val="both"/>
        <w:rPr>
          <w:rFonts w:ascii="Times New Roman" w:eastAsia="Times New Roman" w:hAnsi="Times New Roman" w:cs="Times New Roman"/>
          <w:sz w:val="28"/>
          <w:szCs w:val="28"/>
        </w:rPr>
      </w:pPr>
      <w:r w:rsidRPr="00134DD2">
        <w:rPr>
          <w:rFonts w:ascii="Times New Roman" w:eastAsia="Times New Roman" w:hAnsi="Times New Roman" w:cs="Times New Roman"/>
          <w:b/>
          <w:sz w:val="28"/>
          <w:szCs w:val="28"/>
        </w:rPr>
        <w:t>6.6.</w:t>
      </w:r>
      <w:r w:rsidRPr="00134DD2">
        <w:rPr>
          <w:rFonts w:ascii="Times New Roman" w:eastAsia="Times New Roman" w:hAnsi="Times New Roman" w:cs="Times New Roman"/>
          <w:bCs/>
          <w:sz w:val="28"/>
          <w:szCs w:val="28"/>
        </w:rPr>
        <w:t> </w:t>
      </w:r>
      <w:r w:rsidRPr="00134DD2">
        <w:rPr>
          <w:rFonts w:ascii="Times New Roman" w:eastAsia="Times New Roman" w:hAnsi="Times New Roman" w:cs="Times New Roman"/>
          <w:sz w:val="28"/>
          <w:szCs w:val="28"/>
        </w:rPr>
        <w:t>В 2024 году</w:t>
      </w:r>
      <w:r w:rsidRPr="00134DD2">
        <w:rPr>
          <w:rFonts w:ascii="Times New Roman" w:eastAsia="Times New Roman" w:hAnsi="Times New Roman" w:cs="Times New Roman"/>
          <w:sz w:val="28"/>
          <w:szCs w:val="28"/>
          <w:lang w:eastAsia="ru-RU"/>
        </w:rPr>
        <w:t xml:space="preserve"> и</w:t>
      </w:r>
      <w:r w:rsidRPr="00134DD2">
        <w:rPr>
          <w:rFonts w:ascii="Times New Roman" w:eastAsia="Times New Roman" w:hAnsi="Times New Roman" w:cs="Times New Roman"/>
          <w:sz w:val="28"/>
          <w:szCs w:val="28"/>
        </w:rPr>
        <w:t xml:space="preserve">сполнение 30 ГРБС непрограммных расходов составило 12481,08 млн рублей, или 96,39 % (уточненные </w:t>
      </w:r>
      <w:r w:rsidRPr="00134DD2">
        <w:rPr>
          <w:rFonts w:ascii="Times New Roman" w:eastAsia="Times New Roman" w:hAnsi="Times New Roman" w:cs="Times New Roman"/>
          <w:sz w:val="28"/>
          <w:szCs w:val="28"/>
          <w:lang w:eastAsia="ru-RU"/>
        </w:rPr>
        <w:t xml:space="preserve">плановые назначения </w:t>
      </w:r>
      <w:r w:rsidRPr="00134DD2">
        <w:rPr>
          <w:rFonts w:ascii="Times New Roman" w:eastAsia="Times New Roman" w:hAnsi="Times New Roman" w:cs="Times New Roman"/>
          <w:sz w:val="28"/>
          <w:szCs w:val="28"/>
        </w:rPr>
        <w:t>12947,95 млн рублей). Н</w:t>
      </w:r>
      <w:r w:rsidRPr="00134DD2">
        <w:rPr>
          <w:rFonts w:ascii="Times New Roman" w:eastAsia="Times New Roman" w:hAnsi="Times New Roman" w:cs="Times New Roman"/>
          <w:bCs/>
          <w:sz w:val="28"/>
          <w:szCs w:val="28"/>
        </w:rPr>
        <w:t>а непрограммные расходы приходится 5,27 % в общем объеме исполненных расходов</w:t>
      </w:r>
      <w:r w:rsidRPr="00134DD2">
        <w:rPr>
          <w:rFonts w:ascii="Times New Roman" w:eastAsia="Times New Roman" w:hAnsi="Times New Roman" w:cs="Times New Roman"/>
          <w:sz w:val="28"/>
          <w:szCs w:val="28"/>
        </w:rPr>
        <w:t>.</w:t>
      </w:r>
    </w:p>
    <w:p w14:paraId="43186B74" w14:textId="77777777"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Times New Roman" w:hAnsi="Times New Roman" w:cs="Times New Roman"/>
          <w:sz w:val="28"/>
          <w:szCs w:val="28"/>
        </w:rPr>
        <w:t>Неисполненный остаток уточненных бюджетных назначений на конец отчетного года составил 466,87 млн рублей, из них большая часть приходится на</w:t>
      </w:r>
      <w:r w:rsidRPr="00134DD2">
        <w:rPr>
          <w:rFonts w:ascii="Times New Roman" w:eastAsia="Calibri" w:hAnsi="Times New Roman" w:cs="Times New Roman"/>
          <w:sz w:val="28"/>
          <w:szCs w:val="28"/>
        </w:rPr>
        <w:t>:</w:t>
      </w:r>
    </w:p>
    <w:p w14:paraId="1ADF2B9E" w14:textId="30C14DB1"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министерство по делам гражданской обороны, защиты от чрезвычайных ситуаций и ликвидации последствий стихийных бедствий Приморского края –200,33 млн ру</w:t>
      </w:r>
      <w:r w:rsidR="00DD0657" w:rsidRPr="00134DD2">
        <w:rPr>
          <w:rFonts w:ascii="Times New Roman" w:eastAsia="Calibri" w:hAnsi="Times New Roman" w:cs="Times New Roman"/>
          <w:sz w:val="28"/>
          <w:szCs w:val="28"/>
        </w:rPr>
        <w:t xml:space="preserve">блей, из них 196,83 млн рублей </w:t>
      </w:r>
      <w:r w:rsidRPr="00134DD2">
        <w:rPr>
          <w:rFonts w:ascii="Times New Roman" w:eastAsia="Calibri" w:hAnsi="Times New Roman" w:cs="Times New Roman"/>
          <w:sz w:val="28"/>
          <w:szCs w:val="28"/>
        </w:rPr>
        <w:t xml:space="preserve">по </w:t>
      </w:r>
      <w:r w:rsidR="0034679D" w:rsidRPr="00134DD2">
        <w:rPr>
          <w:rFonts w:ascii="Times New Roman" w:eastAsia="Calibri" w:hAnsi="Times New Roman" w:cs="Times New Roman"/>
          <w:sz w:val="28"/>
          <w:szCs w:val="28"/>
        </w:rPr>
        <w:t>р</w:t>
      </w:r>
      <w:r w:rsidRPr="00134DD2">
        <w:rPr>
          <w:rFonts w:ascii="Times New Roman" w:eastAsia="Calibri" w:hAnsi="Times New Roman" w:cs="Times New Roman"/>
          <w:sz w:val="28"/>
          <w:szCs w:val="28"/>
        </w:rPr>
        <w:t xml:space="preserve">езервному фонду </w:t>
      </w:r>
      <w:r w:rsidRPr="00134DD2">
        <w:rPr>
          <w:rFonts w:ascii="Times New Roman" w:eastAsia="Calibri" w:hAnsi="Times New Roman" w:cs="Times New Roman"/>
          <w:sz w:val="28"/>
          <w:szCs w:val="28"/>
        </w:rPr>
        <w:lastRenderedPageBreak/>
        <w:t>Правительства Приморского края по ликвидации чрезвычайных ситуаций природного и техногенного характера в связи с отсутствием непредвиденных ситуаций;</w:t>
      </w:r>
    </w:p>
    <w:p w14:paraId="7E990424" w14:textId="77777777"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министерство финансов Приморского края – 147,56 млн рублей, из них 142,74 млн рублей остаток зарезервированных средств, подлежащих перераспределению в ходе исполнения бюджетов на соответствующие группы, подгруппы и элементы.</w:t>
      </w:r>
    </w:p>
    <w:p w14:paraId="4F40DEAD" w14:textId="3013EDFC" w:rsidR="00B35548" w:rsidRPr="00134DD2" w:rsidRDefault="00B35548" w:rsidP="00B35548">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134DD2">
        <w:rPr>
          <w:rFonts w:ascii="Times New Roman" w:hAnsi="Times New Roman" w:cs="Times New Roman"/>
          <w:b/>
          <w:bCs/>
          <w:sz w:val="28"/>
          <w:szCs w:val="28"/>
        </w:rPr>
        <w:t>6.6.1. </w:t>
      </w:r>
      <w:r w:rsidRPr="00134DD2">
        <w:rPr>
          <w:rFonts w:ascii="Times New Roman" w:hAnsi="Times New Roman" w:cs="Times New Roman"/>
          <w:sz w:val="28"/>
          <w:szCs w:val="28"/>
        </w:rPr>
        <w:t>В составе непрограммных расход</w:t>
      </w:r>
      <w:r w:rsidR="00E80139" w:rsidRPr="00134DD2">
        <w:rPr>
          <w:rFonts w:ascii="Times New Roman" w:hAnsi="Times New Roman" w:cs="Times New Roman"/>
          <w:sz w:val="28"/>
          <w:szCs w:val="28"/>
        </w:rPr>
        <w:t>ов</w:t>
      </w:r>
      <w:r w:rsidRPr="00134DD2">
        <w:rPr>
          <w:rFonts w:ascii="Times New Roman" w:hAnsi="Times New Roman" w:cs="Times New Roman"/>
          <w:sz w:val="28"/>
          <w:szCs w:val="28"/>
        </w:rPr>
        <w:t xml:space="preserve"> исполнение бюджетных ассигнований:</w:t>
      </w:r>
    </w:p>
    <w:p w14:paraId="06AB6798" w14:textId="583D1941" w:rsidR="00B35548" w:rsidRPr="00134DD2" w:rsidRDefault="00B35548" w:rsidP="00B35548">
      <w:pPr>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bCs/>
          <w:iCs/>
          <w:sz w:val="28"/>
          <w:szCs w:val="28"/>
          <w:lang w:eastAsia="ru-RU"/>
        </w:rPr>
        <w:t xml:space="preserve">резервного фонда Правительства Приморского края по ликвидации чрезвычайных ситуаций природного и техногенного характера </w:t>
      </w:r>
      <w:r w:rsidRPr="00134DD2">
        <w:rPr>
          <w:rFonts w:ascii="Times New Roman" w:eastAsia="Times New Roman" w:hAnsi="Times New Roman" w:cs="Times New Roman"/>
          <w:sz w:val="28"/>
          <w:szCs w:val="28"/>
          <w:lang w:eastAsia="ru-RU"/>
        </w:rPr>
        <w:t xml:space="preserve">осуществляли восемь ГРБС на общую сумму 1176,81 млн рублей, или 85,35 % (план </w:t>
      </w:r>
      <w:r w:rsidR="00DD0657"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 xml:space="preserve"> 1378,85 млн рублей). </w:t>
      </w:r>
      <w:r w:rsidRPr="00134DD2">
        <w:rPr>
          <w:rFonts w:ascii="Times New Roman" w:hAnsi="Times New Roman" w:cs="Times New Roman"/>
          <w:sz w:val="28"/>
          <w:szCs w:val="28"/>
        </w:rPr>
        <w:t>Неисполненный остаток составил 202,04 млн рублей в связи с отсутствием непредвиденных ситуаций, требующих выделения бюджетных средств;</w:t>
      </w:r>
    </w:p>
    <w:p w14:paraId="78B1F666" w14:textId="32D24BBF" w:rsidR="00B35548" w:rsidRPr="00134DD2" w:rsidRDefault="00B35548" w:rsidP="00B35548">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134DD2">
        <w:rPr>
          <w:rFonts w:ascii="Times New Roman" w:hAnsi="Times New Roman" w:cs="Times New Roman"/>
          <w:sz w:val="28"/>
          <w:szCs w:val="28"/>
        </w:rPr>
        <w:t xml:space="preserve">резервного фонда Правительства Приморского края – 12 ГРБС на 5915,93 млн рублей, или 99,34 % (план </w:t>
      </w:r>
      <w:r w:rsidR="00DD0657" w:rsidRPr="00134DD2">
        <w:rPr>
          <w:rFonts w:ascii="Times New Roman" w:hAnsi="Times New Roman" w:cs="Times New Roman"/>
          <w:sz w:val="28"/>
          <w:szCs w:val="28"/>
        </w:rPr>
        <w:t>–</w:t>
      </w:r>
      <w:r w:rsidRPr="00134DD2">
        <w:rPr>
          <w:rFonts w:ascii="Times New Roman" w:hAnsi="Times New Roman" w:cs="Times New Roman"/>
          <w:sz w:val="28"/>
          <w:szCs w:val="28"/>
        </w:rPr>
        <w:t xml:space="preserve"> 5955,40 млн рублей). </w:t>
      </w:r>
      <w:r w:rsidRPr="00134DD2">
        <w:rPr>
          <w:rFonts w:ascii="Times New Roman" w:eastAsia="Times New Roman" w:hAnsi="Times New Roman" w:cs="Times New Roman"/>
          <w:sz w:val="28"/>
          <w:szCs w:val="28"/>
          <w:lang w:eastAsia="ru-RU"/>
        </w:rPr>
        <w:t xml:space="preserve">Не исполнено </w:t>
      </w:r>
      <w:r w:rsidRPr="00134DD2">
        <w:rPr>
          <w:rFonts w:ascii="Times New Roman" w:hAnsi="Times New Roman" w:cs="Times New Roman"/>
          <w:sz w:val="28"/>
          <w:szCs w:val="28"/>
        </w:rPr>
        <w:t>39,47 млн рублей.</w:t>
      </w:r>
    </w:p>
    <w:p w14:paraId="5E46B27F" w14:textId="77777777" w:rsidR="00B35548" w:rsidRPr="00134DD2" w:rsidRDefault="00B35548" w:rsidP="00B35548">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134DD2">
        <w:rPr>
          <w:rFonts w:ascii="Times New Roman" w:hAnsi="Times New Roman" w:cs="Times New Roman"/>
          <w:sz w:val="28"/>
          <w:szCs w:val="28"/>
        </w:rPr>
        <w:t xml:space="preserve">Направление бюджетных средств из краевого бюджета осуществляется в соответствии с действующим законодательством. </w:t>
      </w:r>
    </w:p>
    <w:p w14:paraId="593A8D53" w14:textId="77777777" w:rsidR="00B35548" w:rsidRPr="00134DD2" w:rsidRDefault="00B35548" w:rsidP="00B35548">
      <w:pPr>
        <w:spacing w:after="0" w:line="240" w:lineRule="auto"/>
        <w:ind w:firstLine="709"/>
        <w:jc w:val="both"/>
        <w:rPr>
          <w:rFonts w:ascii="Times New Roman" w:eastAsia="Times New Roman" w:hAnsi="Times New Roman" w:cs="Times New Roman"/>
          <w:snapToGrid w:val="0"/>
          <w:sz w:val="28"/>
          <w:szCs w:val="28"/>
          <w:lang w:eastAsia="ru-RU"/>
        </w:rPr>
      </w:pPr>
      <w:r w:rsidRPr="00134DD2">
        <w:rPr>
          <w:rFonts w:ascii="Times New Roman" w:eastAsia="Times New Roman" w:hAnsi="Times New Roman" w:cs="Times New Roman"/>
          <w:b/>
          <w:snapToGrid w:val="0"/>
          <w:sz w:val="28"/>
          <w:szCs w:val="28"/>
          <w:lang w:eastAsia="ru-RU"/>
        </w:rPr>
        <w:t>7.</w:t>
      </w:r>
      <w:r w:rsidRPr="00134DD2">
        <w:rPr>
          <w:rFonts w:ascii="Times New Roman" w:eastAsia="Times New Roman" w:hAnsi="Times New Roman" w:cs="Times New Roman"/>
          <w:snapToGrid w:val="0"/>
          <w:sz w:val="28"/>
          <w:szCs w:val="28"/>
          <w:lang w:eastAsia="ru-RU"/>
        </w:rPr>
        <w:t xml:space="preserve"> Объем дорожного фонда Приморского края утвержден законом о краевом бюджете на 2024 год с соблюдением условий статьи 179.4 Бюджетного кодекса Российской Федерации в размере, не менее прогнозируемого объема доходов, установленных </w:t>
      </w:r>
      <w:r w:rsidRPr="00134DD2">
        <w:rPr>
          <w:rFonts w:ascii="Times New Roman" w:eastAsia="Calibri" w:hAnsi="Times New Roman" w:cs="Times New Roman"/>
          <w:sz w:val="28"/>
          <w:szCs w:val="28"/>
        </w:rPr>
        <w:t>Законом Приморского края от 06.10.2011 № 819-КЗ</w:t>
      </w:r>
      <w:r w:rsidRPr="00134DD2">
        <w:rPr>
          <w:rFonts w:ascii="Times New Roman" w:eastAsia="Times New Roman" w:hAnsi="Times New Roman" w:cs="Times New Roman"/>
          <w:snapToGrid w:val="0"/>
          <w:sz w:val="28"/>
          <w:szCs w:val="28"/>
          <w:lang w:eastAsia="ru-RU"/>
        </w:rPr>
        <w:t>.</w:t>
      </w:r>
    </w:p>
    <w:p w14:paraId="364C852A" w14:textId="3602E3FC" w:rsidR="00B35548" w:rsidRPr="00134DD2" w:rsidRDefault="00B35548" w:rsidP="00B35548">
      <w:pPr>
        <w:autoSpaceDE w:val="0"/>
        <w:autoSpaceDN w:val="0"/>
        <w:adjustRightInd w:val="0"/>
        <w:spacing w:after="0" w:line="240" w:lineRule="auto"/>
        <w:ind w:firstLine="709"/>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В 2024 году фактический объем поступивших доходов дорожного фонда составил 19351,76 млн рублей, или 100,72 % (план – 19212,76 млн рублей). В формировании дорожного фонда Приморского края основную долю – 82,13</w:t>
      </w:r>
      <w:r w:rsidR="00DD0657" w:rsidRPr="00134DD2">
        <w:rPr>
          <w:rFonts w:ascii="Times New Roman" w:eastAsia="Calibri" w:hAnsi="Times New Roman" w:cs="Times New Roman"/>
          <w:sz w:val="28"/>
          <w:szCs w:val="28"/>
        </w:rPr>
        <w:t> </w:t>
      </w:r>
      <w:r w:rsidRPr="00134DD2">
        <w:rPr>
          <w:rFonts w:ascii="Times New Roman" w:eastAsia="Calibri" w:hAnsi="Times New Roman" w:cs="Times New Roman"/>
          <w:sz w:val="28"/>
          <w:szCs w:val="28"/>
        </w:rPr>
        <w:t>%</w:t>
      </w:r>
      <w:r w:rsidR="00DD0657" w:rsidRPr="00134DD2">
        <w:rPr>
          <w:rFonts w:ascii="Times New Roman" w:eastAsia="Calibri" w:hAnsi="Times New Roman" w:cs="Times New Roman"/>
          <w:sz w:val="28"/>
          <w:szCs w:val="28"/>
        </w:rPr>
        <w:t> –</w:t>
      </w:r>
      <w:r w:rsidRPr="00134DD2">
        <w:rPr>
          <w:rFonts w:ascii="Times New Roman" w:eastAsia="Calibri" w:hAnsi="Times New Roman" w:cs="Times New Roman"/>
          <w:sz w:val="28"/>
          <w:szCs w:val="28"/>
        </w:rPr>
        <w:t xml:space="preserve"> занимают налоговые и неналоговые доходы, которые поступили в сумме 15894,52 млн рублей. На долю поступивших межбюджетных трансфертов из федерального бюджета приходится 17,87 %, или 3457,24 млн рублей.</w:t>
      </w:r>
    </w:p>
    <w:p w14:paraId="309D7832" w14:textId="63D94BF7" w:rsidR="00B35548" w:rsidRPr="00134DD2" w:rsidRDefault="00B35548" w:rsidP="00B35548">
      <w:pPr>
        <w:spacing w:after="0" w:line="240" w:lineRule="auto"/>
        <w:ind w:firstLine="680"/>
        <w:jc w:val="both"/>
        <w:rPr>
          <w:rFonts w:ascii="Times New Roman" w:hAnsi="Times New Roman" w:cs="Times New Roman"/>
          <w:sz w:val="28"/>
          <w:szCs w:val="28"/>
        </w:rPr>
      </w:pPr>
      <w:r w:rsidRPr="00134DD2">
        <w:rPr>
          <w:rFonts w:ascii="Times New Roman" w:eastAsia="Times New Roman" w:hAnsi="Times New Roman" w:cs="Times New Roman"/>
          <w:b/>
          <w:snapToGrid w:val="0"/>
          <w:sz w:val="28"/>
          <w:szCs w:val="28"/>
          <w:lang w:eastAsia="ru-RU"/>
        </w:rPr>
        <w:t>7.1.</w:t>
      </w:r>
      <w:r w:rsidRPr="00134DD2">
        <w:rPr>
          <w:rFonts w:ascii="Times New Roman" w:eastAsia="Times New Roman" w:hAnsi="Times New Roman" w:cs="Times New Roman"/>
          <w:snapToGrid w:val="0"/>
          <w:sz w:val="28"/>
          <w:szCs w:val="28"/>
          <w:lang w:eastAsia="ru-RU"/>
        </w:rPr>
        <w:t> </w:t>
      </w:r>
      <w:r w:rsidRPr="00134DD2">
        <w:rPr>
          <w:rFonts w:ascii="Times New Roman" w:eastAsia="Calibri" w:hAnsi="Times New Roman" w:cs="Times New Roman"/>
          <w:bCs/>
          <w:sz w:val="28"/>
          <w:szCs w:val="28"/>
        </w:rPr>
        <w:t xml:space="preserve">Исполнение </w:t>
      </w:r>
      <w:r w:rsidRPr="00134DD2">
        <w:rPr>
          <w:rFonts w:ascii="Times New Roman" w:eastAsia="Calibri" w:hAnsi="Times New Roman" w:cs="Times New Roman"/>
          <w:sz w:val="28"/>
          <w:szCs w:val="28"/>
        </w:rPr>
        <w:t xml:space="preserve">бюджетных ассигнований дорожного фонда в 2024 году составило 22086,74 млн рублей, или 88,19 %, (план </w:t>
      </w:r>
      <w:r w:rsidR="00DD0657" w:rsidRPr="00134DD2">
        <w:rPr>
          <w:rFonts w:ascii="Times New Roman" w:eastAsia="Calibri" w:hAnsi="Times New Roman" w:cs="Times New Roman"/>
          <w:sz w:val="28"/>
          <w:szCs w:val="28"/>
        </w:rPr>
        <w:t xml:space="preserve">– </w:t>
      </w:r>
      <w:r w:rsidRPr="00134DD2">
        <w:rPr>
          <w:rFonts w:ascii="Times New Roman" w:eastAsia="Calibri" w:hAnsi="Times New Roman" w:cs="Times New Roman"/>
          <w:sz w:val="28"/>
          <w:szCs w:val="28"/>
        </w:rPr>
        <w:t xml:space="preserve">25045,59 млн рублей). </w:t>
      </w:r>
      <w:r w:rsidRPr="00134DD2">
        <w:rPr>
          <w:rFonts w:ascii="Times New Roman" w:hAnsi="Times New Roman" w:cs="Times New Roman"/>
          <w:sz w:val="28"/>
          <w:szCs w:val="28"/>
        </w:rPr>
        <w:t xml:space="preserve">Расходы осуществлялись: </w:t>
      </w:r>
    </w:p>
    <w:p w14:paraId="2418EB23" w14:textId="3C17C891" w:rsidR="00B35548" w:rsidRPr="00134DD2" w:rsidRDefault="00B35548" w:rsidP="00B35548">
      <w:pPr>
        <w:spacing w:after="0" w:line="240" w:lineRule="auto"/>
        <w:ind w:firstLine="680"/>
        <w:jc w:val="both"/>
        <w:rPr>
          <w:rFonts w:ascii="Times New Roman" w:hAnsi="Times New Roman" w:cs="Times New Roman"/>
          <w:sz w:val="28"/>
          <w:szCs w:val="28"/>
        </w:rPr>
      </w:pPr>
      <w:r w:rsidRPr="00134DD2">
        <w:rPr>
          <w:rFonts w:ascii="Times New Roman" w:eastAsia="Times New Roman" w:hAnsi="Times New Roman" w:cs="Times New Roman"/>
          <w:sz w:val="28"/>
          <w:szCs w:val="28"/>
          <w:lang w:eastAsia="ru-RU"/>
        </w:rPr>
        <w:t xml:space="preserve">министерством строительства Приморского края по </w:t>
      </w:r>
      <w:r w:rsidR="0034679D" w:rsidRPr="00134DD2">
        <w:rPr>
          <w:rFonts w:ascii="Times New Roman" w:eastAsia="Times New Roman" w:hAnsi="Times New Roman" w:cs="Times New Roman"/>
          <w:sz w:val="28"/>
          <w:szCs w:val="28"/>
          <w:lang w:eastAsia="ru-RU"/>
        </w:rPr>
        <w:t xml:space="preserve">ГП </w:t>
      </w:r>
      <w:r w:rsidRPr="00134DD2">
        <w:rPr>
          <w:rFonts w:ascii="Times New Roman" w:hAnsi="Times New Roman" w:cs="Times New Roman"/>
          <w:sz w:val="28"/>
          <w:szCs w:val="28"/>
        </w:rPr>
        <w:t xml:space="preserve">"Обеспечение доступным жильем и качественными услугами жилищно-коммунального хозяйства населения Приморского края" – 441,23 млн рублей, или 35,36 % </w:t>
      </w:r>
      <w:r w:rsidRPr="00134DD2">
        <w:rPr>
          <w:rFonts w:ascii="Times New Roman" w:eastAsia="Times New Roman" w:hAnsi="Times New Roman" w:cs="Times New Roman"/>
          <w:snapToGrid w:val="0"/>
          <w:sz w:val="28"/>
          <w:szCs w:val="28"/>
          <w:lang w:eastAsia="ru-RU"/>
        </w:rPr>
        <w:t>планируемого объема</w:t>
      </w:r>
      <w:r w:rsidRPr="00134DD2">
        <w:rPr>
          <w:rFonts w:ascii="Times New Roman" w:hAnsi="Times New Roman" w:cs="Times New Roman"/>
          <w:sz w:val="28"/>
          <w:szCs w:val="28"/>
        </w:rPr>
        <w:t xml:space="preserve"> (1247,70 млн рублей);</w:t>
      </w:r>
    </w:p>
    <w:p w14:paraId="6B015070" w14:textId="77777777" w:rsidR="00B35548" w:rsidRPr="00134DD2" w:rsidRDefault="00B35548" w:rsidP="00B35548">
      <w:pPr>
        <w:spacing w:after="0" w:line="240" w:lineRule="auto"/>
        <w:ind w:firstLine="709"/>
        <w:jc w:val="both"/>
        <w:rPr>
          <w:rFonts w:ascii="Times New Roman" w:eastAsia="Times New Roman" w:hAnsi="Times New Roman" w:cs="Times New Roman"/>
          <w:snapToGrid w:val="0"/>
          <w:sz w:val="28"/>
          <w:szCs w:val="28"/>
          <w:lang w:eastAsia="ru-RU"/>
        </w:rPr>
      </w:pPr>
      <w:r w:rsidRPr="00134DD2">
        <w:rPr>
          <w:rFonts w:ascii="Times New Roman" w:hAnsi="Times New Roman" w:cs="Times New Roman"/>
          <w:sz w:val="28"/>
          <w:szCs w:val="28"/>
        </w:rPr>
        <w:t xml:space="preserve">министерством транспорта и дорожного хозяйства Приморского края </w:t>
      </w:r>
      <w:r w:rsidRPr="00134DD2">
        <w:rPr>
          <w:rFonts w:ascii="Times New Roman" w:eastAsia="Times New Roman" w:hAnsi="Times New Roman" w:cs="Times New Roman"/>
          <w:snapToGrid w:val="0"/>
          <w:sz w:val="28"/>
          <w:szCs w:val="28"/>
          <w:lang w:eastAsia="ru-RU"/>
        </w:rPr>
        <w:t xml:space="preserve">в рамках двух программ: </w:t>
      </w:r>
    </w:p>
    <w:p w14:paraId="2C77D7C4" w14:textId="2EE2A6D8" w:rsidR="00B35548" w:rsidRPr="00134DD2" w:rsidRDefault="00B35548" w:rsidP="00B35548">
      <w:pPr>
        <w:spacing w:after="0" w:line="240" w:lineRule="auto"/>
        <w:ind w:firstLine="709"/>
        <w:jc w:val="both"/>
        <w:rPr>
          <w:rFonts w:ascii="Times New Roman" w:hAnsi="Times New Roman" w:cs="Times New Roman"/>
          <w:sz w:val="28"/>
          <w:szCs w:val="28"/>
        </w:rPr>
      </w:pPr>
      <w:r w:rsidRPr="00134DD2">
        <w:rPr>
          <w:rFonts w:ascii="Times New Roman" w:eastAsia="Times New Roman" w:hAnsi="Times New Roman" w:cs="Times New Roman"/>
          <w:snapToGrid w:val="0"/>
          <w:sz w:val="28"/>
          <w:szCs w:val="28"/>
          <w:lang w:eastAsia="ru-RU"/>
        </w:rPr>
        <w:t xml:space="preserve">ГП "Развитие транспортного комплекса в Приморском крае" – 21520,06 млн рублей, или 90,91 % (план </w:t>
      </w:r>
      <w:r w:rsidR="00DD0657" w:rsidRPr="00134DD2">
        <w:rPr>
          <w:rFonts w:ascii="Times New Roman" w:eastAsia="Times New Roman" w:hAnsi="Times New Roman" w:cs="Times New Roman"/>
          <w:snapToGrid w:val="0"/>
          <w:sz w:val="28"/>
          <w:szCs w:val="28"/>
          <w:lang w:eastAsia="ru-RU"/>
        </w:rPr>
        <w:t>–</w:t>
      </w:r>
      <w:r w:rsidRPr="00134DD2">
        <w:rPr>
          <w:rFonts w:ascii="Times New Roman" w:eastAsia="Times New Roman" w:hAnsi="Times New Roman" w:cs="Times New Roman"/>
          <w:snapToGrid w:val="0"/>
          <w:sz w:val="28"/>
          <w:szCs w:val="28"/>
          <w:lang w:eastAsia="ru-RU"/>
        </w:rPr>
        <w:t xml:space="preserve"> 23672,44 млн рублей);</w:t>
      </w:r>
      <w:r w:rsidRPr="00134DD2">
        <w:rPr>
          <w:rFonts w:ascii="Times New Roman" w:hAnsi="Times New Roman" w:cs="Times New Roman"/>
          <w:sz w:val="28"/>
          <w:szCs w:val="28"/>
        </w:rPr>
        <w:t xml:space="preserve"> </w:t>
      </w:r>
    </w:p>
    <w:p w14:paraId="0C9D5671" w14:textId="77777777" w:rsidR="00B35548" w:rsidRPr="00134DD2" w:rsidRDefault="00B35548" w:rsidP="00B35548">
      <w:pPr>
        <w:spacing w:after="0" w:line="240" w:lineRule="auto"/>
        <w:ind w:firstLine="709"/>
        <w:jc w:val="both"/>
        <w:rPr>
          <w:rFonts w:ascii="Times New Roman" w:eastAsia="Times New Roman" w:hAnsi="Times New Roman" w:cs="Times New Roman"/>
          <w:snapToGrid w:val="0"/>
          <w:sz w:val="28"/>
          <w:szCs w:val="28"/>
          <w:lang w:eastAsia="ru-RU"/>
        </w:rPr>
      </w:pPr>
      <w:r w:rsidRPr="00134DD2">
        <w:rPr>
          <w:rFonts w:ascii="Times New Roman" w:eastAsia="Times New Roman" w:hAnsi="Times New Roman" w:cs="Times New Roman"/>
          <w:snapToGrid w:val="0"/>
          <w:sz w:val="28"/>
          <w:szCs w:val="28"/>
          <w:lang w:eastAsia="ru-RU"/>
        </w:rPr>
        <w:lastRenderedPageBreak/>
        <w:t xml:space="preserve">ГП </w:t>
      </w:r>
      <w:r w:rsidRPr="00134DD2">
        <w:rPr>
          <w:rFonts w:ascii="Times New Roman" w:hAnsi="Times New Roman" w:cs="Times New Roman"/>
          <w:sz w:val="28"/>
          <w:szCs w:val="28"/>
        </w:rPr>
        <w:t>"Обеспечение доступным жильем и качественными услугами жилищно-коммунального хозяйства населения Приморского края"</w:t>
      </w:r>
      <w:r w:rsidRPr="00134DD2">
        <w:rPr>
          <w:rFonts w:ascii="Times New Roman" w:eastAsia="Times New Roman" w:hAnsi="Times New Roman" w:cs="Times New Roman"/>
          <w:snapToGrid w:val="0"/>
          <w:sz w:val="28"/>
          <w:szCs w:val="28"/>
          <w:lang w:eastAsia="ru-RU"/>
        </w:rPr>
        <w:t xml:space="preserve"> – 125,45 млн рублей в полном объеме. </w:t>
      </w:r>
    </w:p>
    <w:p w14:paraId="0B09F788" w14:textId="77777777" w:rsidR="00B35548" w:rsidRPr="00134DD2" w:rsidRDefault="00B35548" w:rsidP="00B35548">
      <w:pPr>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b/>
          <w:sz w:val="28"/>
          <w:szCs w:val="28"/>
        </w:rPr>
        <w:t>7.2.</w:t>
      </w:r>
      <w:r w:rsidRPr="00134DD2">
        <w:rPr>
          <w:rFonts w:ascii="Times New Roman" w:hAnsi="Times New Roman" w:cs="Times New Roman"/>
          <w:sz w:val="28"/>
          <w:szCs w:val="28"/>
        </w:rPr>
        <w:t xml:space="preserve"> По итогам отчетного финансового года неисполненный остаток бюджетных ассигнований дорожного фонда Приморского края составил 2958,84 млн рублей (доля в общем объеме неисполненных расходов – 34,05 %). </w:t>
      </w:r>
    </w:p>
    <w:p w14:paraId="1869E504" w14:textId="77777777" w:rsidR="00B35548" w:rsidRPr="00134DD2" w:rsidRDefault="00B35548" w:rsidP="00B35548">
      <w:pPr>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Контрольно-счетной палатой по результатам внешней проверки ГАБС установлены причины, оказавшие влияние на неполное освоение бюджетных средств, такие как:</w:t>
      </w:r>
    </w:p>
    <w:p w14:paraId="31837E4E" w14:textId="77777777" w:rsidR="00B35548" w:rsidRPr="00134DD2" w:rsidRDefault="00B35548" w:rsidP="00B35548">
      <w:pPr>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 xml:space="preserve">экономия бюджетных средств по результатам проведения ГРБС конкурсных процедур (66,66 млн рублей); </w:t>
      </w:r>
    </w:p>
    <w:p w14:paraId="1C91447D" w14:textId="77777777" w:rsidR="00B35548" w:rsidRPr="00134DD2" w:rsidRDefault="00B35548" w:rsidP="00B35548">
      <w:pPr>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в связи с отсутствием (поздним сроком получения) в 2024 году положительных заключений государственной экспертизы на проектную документацию и результаты инженерных изысканий по реконструируемым объектам (374,88 млн рублей);</w:t>
      </w:r>
    </w:p>
    <w:p w14:paraId="0BFD3433" w14:textId="77777777" w:rsidR="00B35548" w:rsidRPr="00134DD2" w:rsidRDefault="00B35548" w:rsidP="00B35548">
      <w:pPr>
        <w:autoSpaceDE w:val="0"/>
        <w:autoSpaceDN w:val="0"/>
        <w:adjustRightInd w:val="0"/>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неисполнение подрядными организациями договорных обязательств по государственным контрактам, а также несвоевременность представления исполнителями работ (услуг) (поставщиками, подрядчиками) документов для расчетов (1354,73 млн рублей);</w:t>
      </w:r>
    </w:p>
    <w:p w14:paraId="0BC83244" w14:textId="312D56B6" w:rsidR="00B35548" w:rsidRPr="00134DD2" w:rsidRDefault="00B35548" w:rsidP="00B35548">
      <w:pPr>
        <w:autoSpaceDE w:val="0"/>
        <w:autoSpaceDN w:val="0"/>
        <w:adjustRightInd w:val="0"/>
        <w:spacing w:after="0" w:line="240" w:lineRule="auto"/>
        <w:ind w:firstLine="709"/>
        <w:jc w:val="both"/>
        <w:rPr>
          <w:rFonts w:ascii="Times New Roman" w:hAnsi="Times New Roman" w:cs="Times New Roman"/>
        </w:rPr>
      </w:pPr>
      <w:r w:rsidRPr="00134DD2">
        <w:rPr>
          <w:rFonts w:ascii="Times New Roman" w:hAnsi="Times New Roman" w:cs="Times New Roman"/>
          <w:sz w:val="28"/>
          <w:szCs w:val="28"/>
        </w:rPr>
        <w:t xml:space="preserve">неподтвержденные документально работы (663,78 млн рублей) </w:t>
      </w:r>
      <w:r w:rsidRPr="00134DD2">
        <w:rPr>
          <w:rFonts w:ascii="Times New Roman" w:eastAsia="Times New Roman" w:hAnsi="Times New Roman" w:cs="Times New Roman"/>
          <w:sz w:val="28"/>
          <w:szCs w:val="28"/>
          <w:lang w:eastAsia="ru-RU"/>
        </w:rPr>
        <w:t>на</w:t>
      </w:r>
      <w:r w:rsidRPr="00134DD2">
        <w:rPr>
          <w:rFonts w:ascii="Times New Roman" w:hAnsi="Times New Roman" w:cs="Times New Roman"/>
          <w:sz w:val="28"/>
          <w:szCs w:val="28"/>
        </w:rPr>
        <w:t xml:space="preserve"> </w:t>
      </w:r>
      <w:r w:rsidRPr="00134DD2">
        <w:rPr>
          <w:rFonts w:ascii="Times New Roman" w:eastAsia="Times New Roman" w:hAnsi="Times New Roman" w:cs="Times New Roman"/>
          <w:sz w:val="28"/>
          <w:szCs w:val="28"/>
          <w:lang w:eastAsia="ru-RU"/>
        </w:rPr>
        <w:t>строительство, реконструкцию</w:t>
      </w:r>
      <w:r w:rsidR="00B85F55" w:rsidRPr="00134DD2">
        <w:rPr>
          <w:rFonts w:ascii="Times New Roman" w:eastAsia="Times New Roman" w:hAnsi="Times New Roman" w:cs="Times New Roman"/>
          <w:sz w:val="28"/>
          <w:szCs w:val="28"/>
          <w:lang w:eastAsia="ru-RU"/>
        </w:rPr>
        <w:t xml:space="preserve"> (модернизацию</w:t>
      </w:r>
      <w:r w:rsidRPr="00134DD2">
        <w:rPr>
          <w:rFonts w:ascii="Times New Roman" w:eastAsia="Times New Roman" w:hAnsi="Times New Roman" w:cs="Times New Roman"/>
          <w:sz w:val="28"/>
          <w:szCs w:val="28"/>
          <w:lang w:eastAsia="ru-RU"/>
        </w:rPr>
        <w:t>), капитальный ремонт объектов коммунальной, транспортной инфраструктур, приобретение подвижного состава городского транспорта общего пользования, технологическое присоединение к сетям инженерно-технического обеспечения, выполнение работ по благоустройству территорий;</w:t>
      </w:r>
    </w:p>
    <w:p w14:paraId="09E4548C" w14:textId="7C74E712" w:rsidR="00B35548" w:rsidRPr="00134DD2" w:rsidRDefault="00B35548" w:rsidP="00B35548">
      <w:pPr>
        <w:autoSpaceDE w:val="0"/>
        <w:autoSpaceDN w:val="0"/>
        <w:adjustRightInd w:val="0"/>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по иным причинам (497,01 млн рублей), из них:</w:t>
      </w:r>
      <w:r w:rsidR="00A17A21" w:rsidRPr="00134DD2">
        <w:rPr>
          <w:rFonts w:ascii="Times New Roman" w:hAnsi="Times New Roman" w:cs="Times New Roman"/>
          <w:sz w:val="28"/>
          <w:szCs w:val="28"/>
        </w:rPr>
        <w:t xml:space="preserve"> </w:t>
      </w:r>
      <w:r w:rsidRPr="00134DD2">
        <w:rPr>
          <w:rFonts w:ascii="Times New Roman" w:hAnsi="Times New Roman" w:cs="Times New Roman"/>
          <w:sz w:val="28"/>
          <w:szCs w:val="28"/>
          <w:lang w:eastAsia="zh-CN"/>
        </w:rPr>
        <w:t xml:space="preserve">321,18 </w:t>
      </w:r>
      <w:r w:rsidRPr="00134DD2">
        <w:rPr>
          <w:rFonts w:ascii="Times New Roman" w:hAnsi="Times New Roman" w:cs="Times New Roman"/>
          <w:sz w:val="28"/>
          <w:szCs w:val="28"/>
          <w:shd w:val="clear" w:color="auto" w:fill="FFFFFF"/>
          <w:lang w:eastAsia="zh-CN"/>
        </w:rPr>
        <w:t>млн рублей</w:t>
      </w:r>
      <w:r w:rsidRPr="00134DD2">
        <w:rPr>
          <w:rFonts w:ascii="Times New Roman" w:hAnsi="Times New Roman" w:cs="Times New Roman"/>
          <w:sz w:val="28"/>
          <w:szCs w:val="28"/>
        </w:rPr>
        <w:t xml:space="preserve"> в результате зачета в счет выполненных работ ранее выплаченных авансовых платежей; 34,50 млн рублей в связи с длительностью проведения конкурсных процедур.</w:t>
      </w:r>
    </w:p>
    <w:p w14:paraId="178C4419" w14:textId="3EFA746C" w:rsidR="00B35548" w:rsidRPr="00134DD2" w:rsidRDefault="00B35548" w:rsidP="00B35548">
      <w:pPr>
        <w:widowControl w:val="0"/>
        <w:spacing w:after="0" w:line="240" w:lineRule="auto"/>
        <w:ind w:firstLine="709"/>
        <w:jc w:val="both"/>
        <w:rPr>
          <w:rFonts w:ascii="Times New Roman" w:eastAsia="Calibri" w:hAnsi="Times New Roman" w:cs="Times New Roman"/>
          <w:bCs/>
          <w:sz w:val="28"/>
          <w:szCs w:val="28"/>
        </w:rPr>
      </w:pPr>
      <w:r w:rsidRPr="00134DD2">
        <w:rPr>
          <w:rFonts w:ascii="Times New Roman" w:hAnsi="Times New Roman" w:cs="Times New Roman"/>
          <w:b/>
          <w:bCs/>
          <w:sz w:val="28"/>
          <w:szCs w:val="28"/>
        </w:rPr>
        <w:t>8.</w:t>
      </w:r>
      <w:r w:rsidRPr="00134DD2">
        <w:rPr>
          <w:rFonts w:ascii="Times New Roman" w:hAnsi="Times New Roman" w:cs="Times New Roman"/>
          <w:sz w:val="28"/>
          <w:szCs w:val="28"/>
        </w:rPr>
        <w:t> Органами исполнительной власти Приморского края в 2024 году в рамках региональных проектов и государственных программ Приморского края достигнуто большинство целевых показателей</w:t>
      </w:r>
      <w:r w:rsidR="00602FF2" w:rsidRPr="00134DD2">
        <w:rPr>
          <w:rFonts w:ascii="Times New Roman" w:hAnsi="Times New Roman" w:cs="Times New Roman"/>
          <w:sz w:val="28"/>
          <w:szCs w:val="28"/>
        </w:rPr>
        <w:t>. И</w:t>
      </w:r>
      <w:r w:rsidRPr="00134DD2">
        <w:rPr>
          <w:rFonts w:ascii="Times New Roman" w:hAnsi="Times New Roman" w:cs="Times New Roman"/>
          <w:sz w:val="28"/>
          <w:szCs w:val="28"/>
        </w:rPr>
        <w:t xml:space="preserve">з запланированных к реализации </w:t>
      </w:r>
      <w:r w:rsidRPr="00134DD2">
        <w:rPr>
          <w:rFonts w:ascii="Times New Roman" w:eastAsia="Calibri" w:hAnsi="Times New Roman" w:cs="Times New Roman"/>
          <w:sz w:val="28"/>
          <w:szCs w:val="28"/>
        </w:rPr>
        <w:t>990 мероприяти</w:t>
      </w:r>
      <w:r w:rsidR="00902C25" w:rsidRPr="00134DD2">
        <w:rPr>
          <w:rFonts w:ascii="Times New Roman" w:eastAsia="Calibri" w:hAnsi="Times New Roman" w:cs="Times New Roman"/>
          <w:sz w:val="28"/>
          <w:szCs w:val="28"/>
        </w:rPr>
        <w:t>й</w:t>
      </w:r>
      <w:r w:rsidRPr="00134DD2">
        <w:rPr>
          <w:rFonts w:ascii="Times New Roman" w:eastAsia="Calibri" w:hAnsi="Times New Roman" w:cs="Times New Roman"/>
          <w:sz w:val="28"/>
          <w:szCs w:val="28"/>
        </w:rPr>
        <w:t xml:space="preserve"> выполнено </w:t>
      </w:r>
      <w:r w:rsidR="0035274E" w:rsidRPr="00134DD2">
        <w:rPr>
          <w:rFonts w:ascii="Times New Roman" w:eastAsia="Calibri" w:hAnsi="Times New Roman" w:cs="Times New Roman"/>
          <w:sz w:val="28"/>
          <w:szCs w:val="28"/>
        </w:rPr>
        <w:t xml:space="preserve">в полном объеме </w:t>
      </w:r>
      <w:r w:rsidRPr="00134DD2">
        <w:rPr>
          <w:rFonts w:ascii="Times New Roman" w:eastAsia="Calibri" w:hAnsi="Times New Roman" w:cs="Times New Roman"/>
          <w:sz w:val="28"/>
          <w:szCs w:val="28"/>
        </w:rPr>
        <w:t>747 мероприятий, не в полном объеме</w:t>
      </w:r>
      <w:r w:rsidR="0035274E" w:rsidRPr="00134DD2">
        <w:rPr>
          <w:rFonts w:ascii="Times New Roman" w:eastAsia="Calibri" w:hAnsi="Times New Roman" w:cs="Times New Roman"/>
          <w:sz w:val="28"/>
          <w:szCs w:val="28"/>
        </w:rPr>
        <w:t xml:space="preserve"> </w:t>
      </w:r>
      <w:r w:rsidRPr="00134DD2">
        <w:rPr>
          <w:rFonts w:ascii="Times New Roman" w:eastAsia="Calibri" w:hAnsi="Times New Roman" w:cs="Times New Roman"/>
          <w:bCs/>
          <w:sz w:val="28"/>
          <w:szCs w:val="28"/>
        </w:rPr>
        <w:t>157</w:t>
      </w:r>
      <w:r w:rsidRPr="00134DD2">
        <w:rPr>
          <w:rFonts w:ascii="Times New Roman" w:eastAsia="Calibri" w:hAnsi="Times New Roman" w:cs="Times New Roman"/>
          <w:sz w:val="28"/>
          <w:szCs w:val="28"/>
        </w:rPr>
        <w:t xml:space="preserve"> мероприятий, не реализованы 55 мероприятий, исключен</w:t>
      </w:r>
      <w:r w:rsidR="008B3905" w:rsidRPr="00134DD2">
        <w:rPr>
          <w:rFonts w:ascii="Times New Roman" w:eastAsia="Calibri" w:hAnsi="Times New Roman" w:cs="Times New Roman"/>
          <w:sz w:val="28"/>
          <w:szCs w:val="28"/>
        </w:rPr>
        <w:t>о</w:t>
      </w:r>
      <w:r w:rsidRPr="00134DD2">
        <w:rPr>
          <w:rFonts w:ascii="Times New Roman" w:eastAsia="Calibri" w:hAnsi="Times New Roman" w:cs="Times New Roman"/>
          <w:sz w:val="28"/>
          <w:szCs w:val="28"/>
        </w:rPr>
        <w:t xml:space="preserve"> из плана реализации 31 мероприятие. </w:t>
      </w:r>
    </w:p>
    <w:p w14:paraId="7B1D2043" w14:textId="77777777" w:rsidR="00B35548" w:rsidRPr="00134DD2" w:rsidRDefault="00B35548" w:rsidP="00B35548">
      <w:pPr>
        <w:tabs>
          <w:tab w:val="left" w:pos="1080"/>
        </w:tabs>
        <w:spacing w:after="0" w:line="240" w:lineRule="auto"/>
        <w:ind w:firstLine="709"/>
        <w:jc w:val="both"/>
        <w:rPr>
          <w:rFonts w:ascii="Times New Roman" w:eastAsia="Calibri" w:hAnsi="Times New Roman" w:cs="Times New Roman"/>
          <w:sz w:val="28"/>
          <w:szCs w:val="28"/>
        </w:rPr>
      </w:pPr>
      <w:r w:rsidRPr="00134DD2">
        <w:rPr>
          <w:rFonts w:ascii="Times New Roman" w:hAnsi="Times New Roman" w:cs="Times New Roman"/>
          <w:b/>
          <w:bCs/>
          <w:sz w:val="28"/>
          <w:szCs w:val="28"/>
        </w:rPr>
        <w:t>8.1.</w:t>
      </w:r>
      <w:r w:rsidRPr="00134DD2">
        <w:rPr>
          <w:rFonts w:ascii="Times New Roman" w:hAnsi="Times New Roman" w:cs="Times New Roman"/>
          <w:sz w:val="28"/>
          <w:szCs w:val="28"/>
        </w:rPr>
        <w:t xml:space="preserve"> В рамках </w:t>
      </w:r>
      <w:r w:rsidRPr="00134DD2">
        <w:rPr>
          <w:rFonts w:ascii="Times New Roman" w:eastAsia="Times New Roman" w:hAnsi="Times New Roman" w:cs="Times New Roman"/>
          <w:bCs/>
          <w:sz w:val="28"/>
          <w:szCs w:val="28"/>
          <w:lang w:eastAsia="ru-RU"/>
        </w:rPr>
        <w:t>ГП "Обеспечение доступным жильем и качественными услугами жилищно-коммунального хозяйства населения Приморского края"</w:t>
      </w:r>
      <w:r w:rsidRPr="00134DD2">
        <w:rPr>
          <w:rFonts w:ascii="Times New Roman" w:eastAsia="Calibri" w:hAnsi="Times New Roman" w:cs="Times New Roman"/>
          <w:sz w:val="28"/>
          <w:szCs w:val="28"/>
        </w:rPr>
        <w:t xml:space="preserve"> из 72 мероприятий государственной программы, в 2024 году, выполнены в полном объеме </w:t>
      </w:r>
      <w:r w:rsidRPr="00134DD2">
        <w:rPr>
          <w:rFonts w:ascii="Times New Roman" w:eastAsia="Calibri" w:hAnsi="Times New Roman" w:cs="Times New Roman"/>
          <w:bCs/>
          <w:sz w:val="28"/>
          <w:szCs w:val="28"/>
        </w:rPr>
        <w:t>54</w:t>
      </w:r>
      <w:r w:rsidRPr="00134DD2">
        <w:rPr>
          <w:rFonts w:ascii="Times New Roman" w:eastAsia="Calibri" w:hAnsi="Times New Roman" w:cs="Times New Roman"/>
          <w:sz w:val="28"/>
          <w:szCs w:val="28"/>
        </w:rPr>
        <w:t xml:space="preserve"> мероприятия, 8 мероприятий выполнено не в полном объеме</w:t>
      </w:r>
      <w:r w:rsidRPr="00134DD2">
        <w:rPr>
          <w:rFonts w:ascii="Times New Roman" w:eastAsia="Times New Roman" w:hAnsi="Times New Roman" w:cs="Times New Roman"/>
          <w:sz w:val="28"/>
          <w:szCs w:val="28"/>
          <w:lang w:eastAsia="ru-RU"/>
        </w:rPr>
        <w:t>,</w:t>
      </w:r>
      <w:r w:rsidRPr="00134DD2">
        <w:rPr>
          <w:rFonts w:ascii="Times New Roman" w:eastAsia="Calibri" w:hAnsi="Times New Roman" w:cs="Times New Roman"/>
          <w:sz w:val="28"/>
          <w:szCs w:val="28"/>
        </w:rPr>
        <w:t xml:space="preserve"> </w:t>
      </w:r>
      <w:r w:rsidRPr="00134DD2">
        <w:rPr>
          <w:rFonts w:ascii="Times New Roman" w:eastAsia="Calibri" w:hAnsi="Times New Roman" w:cs="Times New Roman"/>
          <w:bCs/>
          <w:sz w:val="28"/>
          <w:szCs w:val="28"/>
        </w:rPr>
        <w:t xml:space="preserve">10 </w:t>
      </w:r>
      <w:r w:rsidRPr="00134DD2">
        <w:rPr>
          <w:rFonts w:ascii="Times New Roman" w:eastAsia="Calibri" w:hAnsi="Times New Roman" w:cs="Times New Roman"/>
          <w:sz w:val="28"/>
          <w:szCs w:val="28"/>
        </w:rPr>
        <w:t>мероприятий не выполнено.</w:t>
      </w:r>
    </w:p>
    <w:p w14:paraId="276B987C" w14:textId="1F959336" w:rsidR="00B35548" w:rsidRPr="00134DD2" w:rsidRDefault="00B35548" w:rsidP="00B35548">
      <w:pPr>
        <w:tabs>
          <w:tab w:val="left" w:pos="1080"/>
        </w:tabs>
        <w:spacing w:after="0" w:line="240" w:lineRule="auto"/>
        <w:ind w:firstLine="709"/>
        <w:jc w:val="both"/>
        <w:rPr>
          <w:rFonts w:ascii="Times New Roman" w:eastAsia="Calibri" w:hAnsi="Times New Roman" w:cs="Times New Roman"/>
          <w:sz w:val="28"/>
          <w:szCs w:val="28"/>
          <w:lang w:eastAsia="ru-RU"/>
        </w:rPr>
      </w:pPr>
      <w:r w:rsidRPr="00134DD2">
        <w:rPr>
          <w:rFonts w:ascii="Times New Roman" w:eastAsia="Times New Roman" w:hAnsi="Times New Roman" w:cs="Times New Roman"/>
          <w:b/>
          <w:bCs/>
          <w:sz w:val="28"/>
          <w:szCs w:val="28"/>
          <w:lang w:eastAsia="ru-RU"/>
        </w:rPr>
        <w:t>8.1.1. </w:t>
      </w:r>
      <w:r w:rsidRPr="00134DD2">
        <w:rPr>
          <w:rFonts w:ascii="Times New Roman" w:eastAsia="Times New Roman" w:hAnsi="Times New Roman" w:cs="Times New Roman"/>
          <w:sz w:val="28"/>
          <w:szCs w:val="28"/>
          <w:lang w:eastAsia="ru-RU"/>
        </w:rPr>
        <w:t>Стоит отметить, что достигнуты целевые показатели</w:t>
      </w:r>
      <w:r w:rsidRPr="00134DD2">
        <w:rPr>
          <w:rFonts w:ascii="Times New Roman" w:hAnsi="Times New Roman" w:cs="Times New Roman"/>
          <w:sz w:val="28"/>
          <w:szCs w:val="28"/>
          <w:lang w:eastAsia="zh-CN"/>
        </w:rPr>
        <w:t xml:space="preserve"> по </w:t>
      </w:r>
      <w:r w:rsidRPr="00134DD2">
        <w:rPr>
          <w:rFonts w:ascii="Times New Roman" w:hAnsi="Times New Roman" w:cs="Times New Roman"/>
          <w:sz w:val="28"/>
          <w:szCs w:val="28"/>
        </w:rPr>
        <w:t xml:space="preserve">обеспечению жильем молодых семей Приморского края, которые </w:t>
      </w:r>
      <w:r w:rsidRPr="00134DD2">
        <w:rPr>
          <w:rFonts w:ascii="Times New Roman" w:hAnsi="Times New Roman" w:cs="Times New Roman"/>
          <w:sz w:val="28"/>
          <w:szCs w:val="28"/>
          <w:lang w:eastAsia="zh-CN"/>
        </w:rPr>
        <w:t xml:space="preserve">установлены </w:t>
      </w:r>
      <w:r w:rsidRPr="00134DD2">
        <w:rPr>
          <w:rFonts w:ascii="Times New Roman" w:eastAsia="Calibri" w:hAnsi="Times New Roman" w:cs="Times New Roman"/>
          <w:sz w:val="28"/>
          <w:szCs w:val="28"/>
          <w:lang w:eastAsia="ru-RU"/>
        </w:rPr>
        <w:t xml:space="preserve">сроком до 2025 года, а именно: в 2024 году </w:t>
      </w:r>
      <w:r w:rsidRPr="00134DD2">
        <w:rPr>
          <w:rFonts w:ascii="Times New Roman" w:eastAsia="Calibri" w:hAnsi="Times New Roman" w:cs="Times New Roman"/>
          <w:bCs/>
          <w:sz w:val="28"/>
          <w:szCs w:val="28"/>
        </w:rPr>
        <w:t>164 молоды</w:t>
      </w:r>
      <w:r w:rsidR="00C813CF" w:rsidRPr="00134DD2">
        <w:rPr>
          <w:rFonts w:ascii="Times New Roman" w:eastAsia="Calibri" w:hAnsi="Times New Roman" w:cs="Times New Roman"/>
          <w:bCs/>
          <w:sz w:val="28"/>
          <w:szCs w:val="28"/>
        </w:rPr>
        <w:t>е</w:t>
      </w:r>
      <w:r w:rsidRPr="00134DD2">
        <w:rPr>
          <w:rFonts w:ascii="Times New Roman" w:eastAsia="Calibri" w:hAnsi="Times New Roman" w:cs="Times New Roman"/>
          <w:bCs/>
          <w:sz w:val="28"/>
          <w:szCs w:val="28"/>
        </w:rPr>
        <w:t xml:space="preserve"> семьи </w:t>
      </w:r>
      <w:r w:rsidRPr="00134DD2">
        <w:rPr>
          <w:rFonts w:ascii="Times New Roman" w:eastAsia="Calibri" w:hAnsi="Times New Roman" w:cs="Times New Roman"/>
          <w:bCs/>
          <w:sz w:val="28"/>
          <w:szCs w:val="28"/>
        </w:rPr>
        <w:lastRenderedPageBreak/>
        <w:t>(план – 161) получили свидетельство о праве на получение социальной выплаты на приобретение (строительство) жилого помещения.</w:t>
      </w:r>
    </w:p>
    <w:p w14:paraId="65C5A77C" w14:textId="01CD2002" w:rsidR="00B35548" w:rsidRPr="00134DD2" w:rsidRDefault="00B35548" w:rsidP="00B35548">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134DD2">
        <w:rPr>
          <w:rFonts w:ascii="Times New Roman" w:eastAsia="Times New Roman" w:hAnsi="Times New Roman" w:cs="Times New Roman"/>
          <w:sz w:val="28"/>
          <w:szCs w:val="28"/>
        </w:rPr>
        <w:t>Контрольно-счетная палата в заключениях неоднократно отмечала, что существующие проблемы в оценке показателей результативности указанных мероприятий не дают полной и объективной оценки результатов государственной поддержки. Так, по результатам анализа реализации мероприятия за пять лет (с 2020 по 2024) в пределах выделенного финансирования (1305,67 млн рублей) реализовали право на получение социальной выплаты на приобретение жилого помещения или создание объекта индивидуального жилищного строительства только 16,18 %, или 967</w:t>
      </w:r>
      <w:r w:rsidR="00902C25" w:rsidRPr="00134DD2">
        <w:rPr>
          <w:rFonts w:ascii="Times New Roman" w:eastAsia="Times New Roman" w:hAnsi="Times New Roman" w:cs="Times New Roman"/>
          <w:sz w:val="28"/>
          <w:szCs w:val="28"/>
        </w:rPr>
        <w:t> </w:t>
      </w:r>
      <w:r w:rsidRPr="00134DD2">
        <w:rPr>
          <w:rFonts w:ascii="Times New Roman" w:eastAsia="Times New Roman" w:hAnsi="Times New Roman" w:cs="Times New Roman"/>
          <w:sz w:val="28"/>
          <w:szCs w:val="28"/>
        </w:rPr>
        <w:t>семей</w:t>
      </w:r>
      <w:r w:rsidR="00902C25" w:rsidRPr="00134DD2">
        <w:rPr>
          <w:rFonts w:ascii="Times New Roman" w:eastAsia="Times New Roman" w:hAnsi="Times New Roman" w:cs="Times New Roman"/>
          <w:sz w:val="28"/>
          <w:szCs w:val="28"/>
        </w:rPr>
        <w:t>,</w:t>
      </w:r>
      <w:r w:rsidRPr="00134DD2">
        <w:rPr>
          <w:rFonts w:ascii="Times New Roman" w:eastAsia="Times New Roman" w:hAnsi="Times New Roman" w:cs="Times New Roman"/>
          <w:sz w:val="28"/>
          <w:szCs w:val="28"/>
        </w:rPr>
        <w:t xml:space="preserve"> из 5977 семей, изъявивших желание получить социальную выплату, из них 633 многодетные семьи. </w:t>
      </w:r>
    </w:p>
    <w:p w14:paraId="6AB7231A" w14:textId="63E930FB" w:rsidR="00B35548" w:rsidRPr="00134DD2" w:rsidRDefault="008B3905" w:rsidP="00B35548">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134DD2">
        <w:rPr>
          <w:rFonts w:ascii="Times New Roman" w:eastAsia="Times New Roman" w:hAnsi="Times New Roman" w:cs="Times New Roman"/>
          <w:sz w:val="28"/>
          <w:szCs w:val="28"/>
        </w:rPr>
        <w:t>Пр</w:t>
      </w:r>
      <w:r w:rsidR="00B35548" w:rsidRPr="00134DD2">
        <w:rPr>
          <w:rFonts w:ascii="Times New Roman" w:eastAsia="Times New Roman" w:hAnsi="Times New Roman" w:cs="Times New Roman"/>
          <w:sz w:val="28"/>
          <w:szCs w:val="28"/>
        </w:rPr>
        <w:t>облема усугубляется ежегодным ростом потребности, что приводит к длительному ожиданию и даже исключению семей из программы. В 2024 году в список участников вошли 1767 семей (из них 232 многодетные).</w:t>
      </w:r>
    </w:p>
    <w:p w14:paraId="0ECA7B3C" w14:textId="34D90775" w:rsidR="00B35548" w:rsidRPr="00134DD2" w:rsidRDefault="00B35548" w:rsidP="00B35548">
      <w:pPr>
        <w:spacing w:after="0" w:line="240" w:lineRule="auto"/>
        <w:ind w:right="-94" w:firstLine="709"/>
        <w:jc w:val="both"/>
        <w:rPr>
          <w:rFonts w:ascii="Times New Roman" w:hAnsi="Times New Roman" w:cs="Times New Roman"/>
          <w:sz w:val="28"/>
          <w:szCs w:val="28"/>
        </w:rPr>
      </w:pPr>
      <w:r w:rsidRPr="00134DD2">
        <w:rPr>
          <w:rFonts w:ascii="Times New Roman" w:eastAsia="Times New Roman" w:hAnsi="Times New Roman" w:cs="Times New Roman"/>
          <w:b/>
          <w:bCs/>
          <w:sz w:val="28"/>
          <w:szCs w:val="28"/>
          <w:lang w:eastAsia="ru-RU"/>
        </w:rPr>
        <w:t>8.1.2.</w:t>
      </w:r>
      <w:r w:rsidR="008B3905" w:rsidRPr="00134DD2">
        <w:rPr>
          <w:rFonts w:ascii="Times New Roman" w:eastAsia="Times New Roman" w:hAnsi="Times New Roman" w:cs="Times New Roman"/>
          <w:b/>
          <w:bCs/>
          <w:sz w:val="28"/>
          <w:szCs w:val="28"/>
          <w:lang w:eastAsia="ru-RU"/>
        </w:rPr>
        <w:t> </w:t>
      </w:r>
      <w:r w:rsidRPr="00134DD2">
        <w:rPr>
          <w:rFonts w:ascii="Times New Roman" w:eastAsia="Times New Roman" w:hAnsi="Times New Roman" w:cs="Times New Roman"/>
          <w:sz w:val="28"/>
          <w:szCs w:val="28"/>
          <w:lang w:eastAsia="ru-RU"/>
        </w:rPr>
        <w:t xml:space="preserve">В рамках ГП министерством строительства </w:t>
      </w:r>
      <w:r w:rsidR="000F5285" w:rsidRPr="00134DD2">
        <w:rPr>
          <w:rFonts w:ascii="Times New Roman" w:eastAsia="Times New Roman" w:hAnsi="Times New Roman" w:cs="Times New Roman"/>
          <w:sz w:val="28"/>
          <w:szCs w:val="28"/>
          <w:lang w:eastAsia="ru-RU"/>
        </w:rPr>
        <w:t xml:space="preserve">Приморского края </w:t>
      </w:r>
      <w:r w:rsidRPr="00134DD2">
        <w:rPr>
          <w:rFonts w:ascii="Times New Roman" w:eastAsia="Times New Roman" w:hAnsi="Times New Roman" w:cs="Times New Roman"/>
          <w:sz w:val="28"/>
          <w:szCs w:val="28"/>
          <w:lang w:eastAsia="ru-RU"/>
        </w:rPr>
        <w:t>не исполнялись 4 мероприятия</w:t>
      </w:r>
      <w:r w:rsidRPr="00134DD2">
        <w:rPr>
          <w:rFonts w:ascii="Times New Roman" w:hAnsi="Times New Roman" w:cs="Times New Roman"/>
          <w:sz w:val="28"/>
          <w:szCs w:val="28"/>
        </w:rPr>
        <w:t xml:space="preserve"> по реализации инфраструктурных проектов за счет бюджетных кредитов из федерального бюджета</w:t>
      </w:r>
      <w:r w:rsidRPr="00134DD2">
        <w:rPr>
          <w:rFonts w:ascii="Times New Roman" w:eastAsia="Times New Roman" w:hAnsi="Times New Roman" w:cs="Times New Roman"/>
          <w:sz w:val="28"/>
          <w:szCs w:val="28"/>
        </w:rPr>
        <w:t xml:space="preserve"> </w:t>
      </w:r>
      <w:r w:rsidRPr="00134DD2">
        <w:rPr>
          <w:rFonts w:ascii="Times New Roman" w:eastAsia="Times New Roman" w:hAnsi="Times New Roman" w:cs="Times New Roman"/>
          <w:sz w:val="28"/>
          <w:szCs w:val="28"/>
          <w:lang w:eastAsia="ru-RU"/>
        </w:rPr>
        <w:t xml:space="preserve">из установленных </w:t>
      </w:r>
      <w:r w:rsidRPr="00134DD2">
        <w:rPr>
          <w:rFonts w:ascii="Times New Roman" w:eastAsia="Times New Roman" w:hAnsi="Times New Roman" w:cs="Times New Roman"/>
          <w:sz w:val="28"/>
          <w:szCs w:val="28"/>
        </w:rPr>
        <w:t>в паспорте действующей программы</w:t>
      </w:r>
      <w:r w:rsidRPr="00134DD2">
        <w:rPr>
          <w:rFonts w:ascii="Times New Roman" w:eastAsia="Times New Roman" w:hAnsi="Times New Roman" w:cs="Times New Roman"/>
          <w:sz w:val="28"/>
          <w:szCs w:val="28"/>
          <w:lang w:eastAsia="ru-RU"/>
        </w:rPr>
        <w:t xml:space="preserve">. Кроме того, на </w:t>
      </w:r>
      <w:r w:rsidR="008B3905" w:rsidRPr="00134DD2">
        <w:rPr>
          <w:rFonts w:ascii="Times New Roman" w:eastAsia="Times New Roman" w:hAnsi="Times New Roman" w:cs="Times New Roman"/>
          <w:sz w:val="28"/>
          <w:szCs w:val="28"/>
          <w:lang w:eastAsia="ru-RU"/>
        </w:rPr>
        <w:t xml:space="preserve">низком </w:t>
      </w:r>
      <w:r w:rsidRPr="00134DD2">
        <w:rPr>
          <w:rFonts w:ascii="Times New Roman" w:hAnsi="Times New Roman" w:cs="Times New Roman"/>
          <w:sz w:val="28"/>
          <w:szCs w:val="28"/>
        </w:rPr>
        <w:t>уровне от 53,22 % до 77,27 % направлены бюджетные средства по 4 мероприятиям. Недостатки в реализации исполнения расходов министерством на реализацию ИБК связаны</w:t>
      </w:r>
      <w:r w:rsidR="00D131F2" w:rsidRPr="00134DD2">
        <w:rPr>
          <w:rFonts w:ascii="Times New Roman" w:hAnsi="Times New Roman" w:cs="Times New Roman"/>
          <w:sz w:val="28"/>
          <w:szCs w:val="28"/>
        </w:rPr>
        <w:t xml:space="preserve"> с неэффективным планированием </w:t>
      </w:r>
      <w:r w:rsidRPr="00134DD2">
        <w:rPr>
          <w:rFonts w:ascii="Times New Roman" w:hAnsi="Times New Roman" w:cs="Times New Roman"/>
          <w:sz w:val="28"/>
          <w:szCs w:val="28"/>
        </w:rPr>
        <w:t xml:space="preserve">и контролем за расходованием бюджетных средств. </w:t>
      </w:r>
    </w:p>
    <w:p w14:paraId="10624069" w14:textId="70F10E6F" w:rsidR="00B35548" w:rsidRPr="00134DD2" w:rsidRDefault="00B35548" w:rsidP="00B35548">
      <w:pPr>
        <w:autoSpaceDE w:val="0"/>
        <w:autoSpaceDN w:val="0"/>
        <w:adjustRightInd w:val="0"/>
        <w:spacing w:after="0" w:line="240" w:lineRule="auto"/>
        <w:ind w:firstLine="709"/>
        <w:jc w:val="both"/>
        <w:rPr>
          <w:rFonts w:ascii="Times New Roman" w:eastAsia="Calibri" w:hAnsi="Times New Roman" w:cs="Times New Roman"/>
          <w:sz w:val="28"/>
          <w:szCs w:val="28"/>
        </w:rPr>
      </w:pPr>
      <w:r w:rsidRPr="00134DD2">
        <w:rPr>
          <w:rFonts w:ascii="Times New Roman" w:eastAsia="Times New Roman" w:hAnsi="Times New Roman" w:cs="Times New Roman"/>
          <w:b/>
          <w:sz w:val="28"/>
          <w:szCs w:val="28"/>
          <w:lang w:eastAsia="ru-RU"/>
        </w:rPr>
        <w:t>8.2.</w:t>
      </w:r>
      <w:r w:rsidRPr="00134DD2">
        <w:rPr>
          <w:rFonts w:ascii="Times New Roman" w:eastAsia="Times New Roman" w:hAnsi="Times New Roman" w:cs="Times New Roman"/>
          <w:bCs/>
          <w:sz w:val="28"/>
          <w:szCs w:val="28"/>
          <w:lang w:eastAsia="ru-RU"/>
        </w:rPr>
        <w:t xml:space="preserve"> По ГП "Развитие образования Приморского края" из 97</w:t>
      </w:r>
      <w:r w:rsidR="00E92A7B" w:rsidRPr="00134DD2">
        <w:rPr>
          <w:rFonts w:ascii="Times New Roman" w:eastAsia="Times New Roman" w:hAnsi="Times New Roman" w:cs="Times New Roman"/>
          <w:bCs/>
          <w:sz w:val="28"/>
          <w:szCs w:val="28"/>
          <w:lang w:eastAsia="ru-RU"/>
        </w:rPr>
        <w:t> </w:t>
      </w:r>
      <w:r w:rsidRPr="00134DD2">
        <w:rPr>
          <w:rFonts w:ascii="Times New Roman" w:eastAsia="Times New Roman" w:hAnsi="Times New Roman" w:cs="Times New Roman"/>
          <w:bCs/>
          <w:sz w:val="28"/>
          <w:szCs w:val="28"/>
          <w:lang w:eastAsia="ru-RU"/>
        </w:rPr>
        <w:t>мероприятий, запланированных к выполнению в 2024 году, выполнены в полном объеме 73 мероприятия, 12 мероприятий выполнены не в полном объеме, 10 мероприятий не выполнены, 2 мероприятия исключены из плана реализации. Так,</w:t>
      </w:r>
      <w:r w:rsidRPr="00134DD2">
        <w:rPr>
          <w:rFonts w:ascii="Times New Roman" w:eastAsia="Calibri" w:hAnsi="Times New Roman" w:cs="Times New Roman"/>
          <w:sz w:val="28"/>
          <w:szCs w:val="28"/>
        </w:rPr>
        <w:t xml:space="preserve"> в 2024 году</w:t>
      </w:r>
      <w:r w:rsidRPr="00134DD2">
        <w:rPr>
          <w:rFonts w:ascii="Times New Roman" w:eastAsia="Times New Roman" w:hAnsi="Times New Roman" w:cs="Times New Roman"/>
          <w:bCs/>
          <w:sz w:val="28"/>
          <w:szCs w:val="28"/>
          <w:lang w:eastAsia="ru-RU"/>
        </w:rPr>
        <w:t xml:space="preserve"> </w:t>
      </w:r>
      <w:r w:rsidRPr="00134DD2">
        <w:rPr>
          <w:rFonts w:ascii="Times New Roman" w:eastAsia="Calibri" w:hAnsi="Times New Roman" w:cs="Times New Roman"/>
          <w:sz w:val="28"/>
          <w:szCs w:val="28"/>
        </w:rPr>
        <w:t>не выполнены 6 мероприятий, направленных на строительство образовательных организаций, из них не завершено строительство:</w:t>
      </w:r>
    </w:p>
    <w:p w14:paraId="244DC5A7" w14:textId="452C8E02" w:rsidR="00B35548" w:rsidRPr="00134DD2" w:rsidRDefault="00B35548" w:rsidP="00B35548">
      <w:pPr>
        <w:widowControl w:val="0"/>
        <w:tabs>
          <w:tab w:val="left" w:pos="284"/>
          <w:tab w:val="left" w:pos="1080"/>
        </w:tabs>
        <w:spacing w:after="0" w:line="240" w:lineRule="auto"/>
        <w:ind w:firstLine="709"/>
        <w:contextualSpacing/>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детских садов: на 120 мест в микрорайоне "Садовый" в г. Большой Камень</w:t>
      </w:r>
      <w:r w:rsidR="005C7814" w:rsidRPr="00134DD2">
        <w:rPr>
          <w:rFonts w:ascii="Times New Roman" w:eastAsia="Calibri" w:hAnsi="Times New Roman" w:cs="Times New Roman"/>
          <w:sz w:val="28"/>
          <w:szCs w:val="28"/>
        </w:rPr>
        <w:t>;</w:t>
      </w:r>
      <w:r w:rsidRPr="00134DD2">
        <w:rPr>
          <w:rFonts w:ascii="Times New Roman" w:hAnsi="Times New Roman" w:cs="Times New Roman"/>
          <w:sz w:val="28"/>
          <w:szCs w:val="28"/>
        </w:rPr>
        <w:t xml:space="preserve"> </w:t>
      </w:r>
      <w:r w:rsidRPr="00134DD2">
        <w:rPr>
          <w:rFonts w:ascii="Times New Roman" w:hAnsi="Times New Roman" w:cs="Times New Roman"/>
          <w:snapToGrid w:val="0"/>
          <w:sz w:val="28"/>
          <w:szCs w:val="28"/>
        </w:rPr>
        <w:t>на 220 мест в г. Уссурийске, ул. Выгонная, 1а;</w:t>
      </w:r>
      <w:r w:rsidRPr="00134DD2">
        <w:rPr>
          <w:rFonts w:ascii="Times New Roman" w:eastAsia="Calibri" w:hAnsi="Times New Roman" w:cs="Times New Roman"/>
          <w:sz w:val="28"/>
          <w:szCs w:val="28"/>
        </w:rPr>
        <w:t xml:space="preserve"> </w:t>
      </w:r>
    </w:p>
    <w:p w14:paraId="56A45269" w14:textId="025390E2" w:rsidR="00B35548" w:rsidRPr="00134DD2" w:rsidRDefault="00B35548" w:rsidP="00B35548">
      <w:pPr>
        <w:widowControl w:val="0"/>
        <w:tabs>
          <w:tab w:val="left" w:pos="284"/>
          <w:tab w:val="left" w:pos="1080"/>
        </w:tabs>
        <w:spacing w:after="0" w:line="240" w:lineRule="auto"/>
        <w:ind w:firstLine="709"/>
        <w:contextualSpacing/>
        <w:jc w:val="both"/>
        <w:rPr>
          <w:rFonts w:ascii="Times New Roman" w:hAnsi="Times New Roman" w:cs="Times New Roman"/>
          <w:sz w:val="28"/>
          <w:szCs w:val="28"/>
          <w:lang w:eastAsia="x-none"/>
        </w:rPr>
      </w:pPr>
      <w:r w:rsidRPr="00134DD2">
        <w:rPr>
          <w:rFonts w:ascii="Times New Roman" w:eastAsia="Calibri" w:hAnsi="Times New Roman" w:cs="Times New Roman"/>
          <w:sz w:val="28"/>
          <w:szCs w:val="28"/>
        </w:rPr>
        <w:t xml:space="preserve">школ: </w:t>
      </w:r>
      <w:r w:rsidR="00F62D77" w:rsidRPr="00134DD2">
        <w:rPr>
          <w:rFonts w:ascii="Times New Roman" w:eastAsia="Calibri" w:hAnsi="Times New Roman" w:cs="Times New Roman"/>
          <w:sz w:val="28"/>
          <w:szCs w:val="28"/>
        </w:rPr>
        <w:t xml:space="preserve">средней общеобразовательной школы № 1 имени А.А. </w:t>
      </w:r>
      <w:proofErr w:type="spellStart"/>
      <w:r w:rsidR="00F62D77" w:rsidRPr="00134DD2">
        <w:rPr>
          <w:rFonts w:ascii="Times New Roman" w:eastAsia="Calibri" w:hAnsi="Times New Roman" w:cs="Times New Roman"/>
          <w:sz w:val="28"/>
          <w:szCs w:val="28"/>
        </w:rPr>
        <w:t>Курбаева</w:t>
      </w:r>
      <w:proofErr w:type="spellEnd"/>
      <w:r w:rsidR="00F62D77" w:rsidRPr="00134DD2">
        <w:rPr>
          <w:rFonts w:ascii="Times New Roman" w:eastAsia="Calibri" w:hAnsi="Times New Roman" w:cs="Times New Roman"/>
          <w:sz w:val="28"/>
          <w:szCs w:val="28"/>
        </w:rPr>
        <w:t xml:space="preserve"> в с. Вольно-</w:t>
      </w:r>
      <w:proofErr w:type="spellStart"/>
      <w:r w:rsidR="00F62D77" w:rsidRPr="00134DD2">
        <w:rPr>
          <w:rFonts w:ascii="Times New Roman" w:eastAsia="Calibri" w:hAnsi="Times New Roman" w:cs="Times New Roman"/>
          <w:sz w:val="28"/>
          <w:szCs w:val="28"/>
        </w:rPr>
        <w:t>Надеждинское</w:t>
      </w:r>
      <w:proofErr w:type="spellEnd"/>
      <w:r w:rsidR="00F62D77" w:rsidRPr="00134DD2">
        <w:rPr>
          <w:rFonts w:ascii="Times New Roman" w:eastAsia="Calibri" w:hAnsi="Times New Roman" w:cs="Times New Roman"/>
          <w:sz w:val="28"/>
          <w:szCs w:val="28"/>
        </w:rPr>
        <w:t xml:space="preserve"> </w:t>
      </w:r>
      <w:proofErr w:type="spellStart"/>
      <w:r w:rsidR="00F62D77" w:rsidRPr="00134DD2">
        <w:rPr>
          <w:rFonts w:ascii="Times New Roman" w:eastAsia="Calibri" w:hAnsi="Times New Roman" w:cs="Times New Roman"/>
          <w:sz w:val="28"/>
          <w:szCs w:val="28"/>
        </w:rPr>
        <w:t>Надеждинского</w:t>
      </w:r>
      <w:proofErr w:type="spellEnd"/>
      <w:r w:rsidR="00F62D77" w:rsidRPr="00134DD2">
        <w:rPr>
          <w:rFonts w:ascii="Times New Roman" w:eastAsia="Calibri" w:hAnsi="Times New Roman" w:cs="Times New Roman"/>
          <w:sz w:val="28"/>
          <w:szCs w:val="28"/>
        </w:rPr>
        <w:t xml:space="preserve"> район</w:t>
      </w:r>
      <w:r w:rsidR="0088055F" w:rsidRPr="00134DD2">
        <w:rPr>
          <w:rFonts w:ascii="Times New Roman" w:eastAsia="Calibri" w:hAnsi="Times New Roman" w:cs="Times New Roman"/>
          <w:sz w:val="28"/>
          <w:szCs w:val="28"/>
        </w:rPr>
        <w:t xml:space="preserve">а; </w:t>
      </w:r>
      <w:r w:rsidR="00B97E70" w:rsidRPr="00134DD2">
        <w:rPr>
          <w:rFonts w:ascii="Times New Roman" w:eastAsia="Calibri" w:hAnsi="Times New Roman" w:cs="Times New Roman"/>
          <w:sz w:val="28"/>
          <w:szCs w:val="28"/>
        </w:rPr>
        <w:t xml:space="preserve">школы </w:t>
      </w:r>
      <w:r w:rsidRPr="00134DD2">
        <w:rPr>
          <w:rFonts w:ascii="Times New Roman" w:eastAsia="Calibri" w:hAnsi="Times New Roman" w:cs="Times New Roman"/>
          <w:sz w:val="28"/>
          <w:szCs w:val="28"/>
        </w:rPr>
        <w:t>на 1275 мест в жилом районе "</w:t>
      </w:r>
      <w:proofErr w:type="spellStart"/>
      <w:r w:rsidRPr="00134DD2">
        <w:rPr>
          <w:rFonts w:ascii="Times New Roman" w:eastAsia="Calibri" w:hAnsi="Times New Roman" w:cs="Times New Roman"/>
          <w:sz w:val="28"/>
          <w:szCs w:val="28"/>
        </w:rPr>
        <w:t>Патрокл</w:t>
      </w:r>
      <w:proofErr w:type="spellEnd"/>
      <w:r w:rsidRPr="00134DD2">
        <w:rPr>
          <w:rFonts w:ascii="Times New Roman" w:eastAsia="Calibri" w:hAnsi="Times New Roman" w:cs="Times New Roman"/>
          <w:sz w:val="28"/>
          <w:szCs w:val="28"/>
        </w:rPr>
        <w:t xml:space="preserve">" г. Владивосток; </w:t>
      </w:r>
      <w:r w:rsidR="00B97E70" w:rsidRPr="00134DD2">
        <w:rPr>
          <w:rFonts w:ascii="Times New Roman" w:eastAsia="Calibri" w:hAnsi="Times New Roman" w:cs="Times New Roman"/>
          <w:sz w:val="28"/>
          <w:szCs w:val="28"/>
        </w:rPr>
        <w:t xml:space="preserve">школы </w:t>
      </w:r>
      <w:r w:rsidRPr="00134DD2">
        <w:rPr>
          <w:rFonts w:ascii="Times New Roman" w:hAnsi="Times New Roman" w:cs="Times New Roman"/>
          <w:sz w:val="28"/>
          <w:szCs w:val="28"/>
        </w:rPr>
        <w:t>на 1100 мест в г. Уссурийск</w:t>
      </w:r>
      <w:r w:rsidR="00556191" w:rsidRPr="00134DD2">
        <w:rPr>
          <w:rFonts w:ascii="Times New Roman" w:hAnsi="Times New Roman" w:cs="Times New Roman"/>
          <w:sz w:val="28"/>
          <w:szCs w:val="28"/>
        </w:rPr>
        <w:t>,</w:t>
      </w:r>
      <w:r w:rsidRPr="00134DD2">
        <w:rPr>
          <w:rFonts w:ascii="Times New Roman" w:hAnsi="Times New Roman" w:cs="Times New Roman"/>
          <w:sz w:val="28"/>
          <w:szCs w:val="28"/>
        </w:rPr>
        <w:t xml:space="preserve"> </w:t>
      </w:r>
      <w:r w:rsidR="00B97E70" w:rsidRPr="00134DD2">
        <w:rPr>
          <w:rFonts w:ascii="Times New Roman" w:hAnsi="Times New Roman" w:cs="Times New Roman"/>
          <w:sz w:val="28"/>
          <w:szCs w:val="28"/>
        </w:rPr>
        <w:br/>
      </w:r>
      <w:r w:rsidRPr="00134DD2">
        <w:rPr>
          <w:rFonts w:ascii="Times New Roman" w:hAnsi="Times New Roman" w:cs="Times New Roman"/>
          <w:sz w:val="28"/>
          <w:szCs w:val="28"/>
        </w:rPr>
        <w:t xml:space="preserve">ул. Чичерина; </w:t>
      </w:r>
      <w:r w:rsidR="00B97E70" w:rsidRPr="00134DD2">
        <w:rPr>
          <w:rFonts w:ascii="Times New Roman" w:hAnsi="Times New Roman" w:cs="Times New Roman"/>
          <w:sz w:val="28"/>
          <w:szCs w:val="28"/>
        </w:rPr>
        <w:t xml:space="preserve">средней общеобразовательной школы </w:t>
      </w:r>
      <w:r w:rsidRPr="00134DD2">
        <w:rPr>
          <w:rFonts w:ascii="Times New Roman" w:hAnsi="Times New Roman" w:cs="Times New Roman"/>
          <w:sz w:val="28"/>
          <w:szCs w:val="28"/>
          <w:lang w:eastAsia="x-none"/>
        </w:rPr>
        <w:t>на 80</w:t>
      </w:r>
      <w:r w:rsidR="0088055F" w:rsidRPr="00134DD2">
        <w:rPr>
          <w:rFonts w:ascii="Times New Roman" w:hAnsi="Times New Roman" w:cs="Times New Roman"/>
          <w:sz w:val="28"/>
          <w:szCs w:val="28"/>
          <w:lang w:eastAsia="x-none"/>
        </w:rPr>
        <w:t> </w:t>
      </w:r>
      <w:r w:rsidRPr="00134DD2">
        <w:rPr>
          <w:rFonts w:ascii="Times New Roman" w:hAnsi="Times New Roman" w:cs="Times New Roman"/>
          <w:sz w:val="28"/>
          <w:szCs w:val="28"/>
          <w:lang w:eastAsia="x-none"/>
        </w:rPr>
        <w:t xml:space="preserve">мест в пгт Светлая. </w:t>
      </w:r>
    </w:p>
    <w:p w14:paraId="78FA6F91" w14:textId="32EF9825" w:rsidR="00B35548" w:rsidRPr="00134DD2" w:rsidRDefault="00487695" w:rsidP="00097A58">
      <w:pPr>
        <w:spacing w:after="0" w:line="240" w:lineRule="auto"/>
        <w:ind w:firstLine="709"/>
        <w:jc w:val="both"/>
        <w:rPr>
          <w:rFonts w:ascii="Times New Roman" w:hAnsi="Times New Roman" w:cs="Times New Roman"/>
          <w:sz w:val="28"/>
          <w:szCs w:val="28"/>
          <w:lang w:eastAsia="x-none"/>
        </w:rPr>
      </w:pPr>
      <w:r w:rsidRPr="00134DD2">
        <w:rPr>
          <w:rFonts w:ascii="Times New Roman" w:hAnsi="Times New Roman" w:cs="Times New Roman"/>
          <w:b/>
          <w:bCs/>
          <w:sz w:val="28"/>
          <w:szCs w:val="28"/>
          <w:lang w:eastAsia="x-none"/>
        </w:rPr>
        <w:t>8.3. </w:t>
      </w:r>
      <w:r w:rsidRPr="00134DD2">
        <w:rPr>
          <w:rFonts w:ascii="Times New Roman" w:hAnsi="Times New Roman" w:cs="Times New Roman"/>
          <w:bCs/>
          <w:sz w:val="28"/>
          <w:szCs w:val="28"/>
          <w:lang w:eastAsia="x-none"/>
        </w:rPr>
        <w:t>В</w:t>
      </w:r>
      <w:r w:rsidRPr="00134DD2">
        <w:rPr>
          <w:rFonts w:ascii="Times New Roman" w:hAnsi="Times New Roman" w:cs="Times New Roman"/>
          <w:sz w:val="28"/>
          <w:szCs w:val="28"/>
          <w:lang w:eastAsia="x-none"/>
        </w:rPr>
        <w:t xml:space="preserve"> </w:t>
      </w:r>
      <w:r w:rsidRPr="00134DD2">
        <w:rPr>
          <w:rFonts w:ascii="Times New Roman" w:hAnsi="Times New Roman" w:cs="Times New Roman"/>
          <w:sz w:val="28"/>
          <w:szCs w:val="28"/>
        </w:rPr>
        <w:t xml:space="preserve">целях оценки эффективности реализации </w:t>
      </w:r>
      <w:r w:rsidRPr="00134DD2">
        <w:rPr>
          <w:rFonts w:ascii="Times New Roman" w:hAnsi="Times New Roman" w:cs="Times New Roman"/>
          <w:sz w:val="28"/>
          <w:szCs w:val="28"/>
          <w:lang w:eastAsia="x-none"/>
        </w:rPr>
        <w:t>государственных программ</w:t>
      </w:r>
      <w:r w:rsidRPr="00134DD2">
        <w:rPr>
          <w:rFonts w:ascii="Times New Roman" w:hAnsi="Times New Roman" w:cs="Times New Roman"/>
          <w:sz w:val="28"/>
          <w:szCs w:val="28"/>
          <w:lang w:eastAsia="x-none"/>
        </w:rPr>
        <w:t xml:space="preserve"> </w:t>
      </w:r>
      <w:r w:rsidR="00B35548" w:rsidRPr="00134DD2">
        <w:rPr>
          <w:rFonts w:ascii="Times New Roman" w:hAnsi="Times New Roman" w:cs="Times New Roman"/>
          <w:sz w:val="28"/>
          <w:szCs w:val="28"/>
          <w:lang w:eastAsia="x-none"/>
        </w:rPr>
        <w:t xml:space="preserve">Контрольно-счетная палата рекомендует министерству </w:t>
      </w:r>
      <w:r w:rsidR="00B35548" w:rsidRPr="00134DD2">
        <w:rPr>
          <w:rFonts w:ascii="Times New Roman" w:eastAsia="Times New Roman" w:hAnsi="Times New Roman" w:cs="Times New Roman"/>
          <w:sz w:val="28"/>
          <w:szCs w:val="28"/>
          <w:lang w:eastAsia="ru-RU"/>
        </w:rPr>
        <w:t>жилищно-коммунального хозяйства Приморского края</w:t>
      </w:r>
      <w:r w:rsidR="00B35548" w:rsidRPr="00134DD2">
        <w:rPr>
          <w:rFonts w:ascii="Times New Roman" w:hAnsi="Times New Roman" w:cs="Times New Roman"/>
          <w:sz w:val="28"/>
          <w:szCs w:val="28"/>
          <w:lang w:eastAsia="x-none"/>
        </w:rPr>
        <w:t xml:space="preserve"> </w:t>
      </w:r>
      <w:r w:rsidR="00E7475B" w:rsidRPr="00134DD2">
        <w:rPr>
          <w:rFonts w:ascii="Times New Roman" w:hAnsi="Times New Roman" w:cs="Times New Roman"/>
          <w:sz w:val="28"/>
          <w:szCs w:val="28"/>
        </w:rPr>
        <w:t xml:space="preserve">рассмотреть </w:t>
      </w:r>
      <w:r w:rsidRPr="00134DD2">
        <w:rPr>
          <w:rFonts w:ascii="Times New Roman" w:hAnsi="Times New Roman" w:cs="Times New Roman"/>
          <w:sz w:val="28"/>
          <w:szCs w:val="28"/>
          <w:lang w:eastAsia="x-none"/>
        </w:rPr>
        <w:t xml:space="preserve">вопросы </w:t>
      </w:r>
      <w:r w:rsidR="00097A58" w:rsidRPr="00134DD2">
        <w:rPr>
          <w:rFonts w:ascii="Times New Roman" w:hAnsi="Times New Roman" w:cs="Times New Roman"/>
          <w:sz w:val="28"/>
          <w:szCs w:val="28"/>
          <w:lang w:eastAsia="x-none"/>
        </w:rPr>
        <w:t>по следующим</w:t>
      </w:r>
      <w:r w:rsidRPr="00134DD2">
        <w:rPr>
          <w:rFonts w:ascii="Times New Roman" w:hAnsi="Times New Roman" w:cs="Times New Roman"/>
          <w:sz w:val="28"/>
          <w:szCs w:val="28"/>
          <w:lang w:eastAsia="x-none"/>
        </w:rPr>
        <w:t xml:space="preserve"> ГП:</w:t>
      </w:r>
    </w:p>
    <w:p w14:paraId="3A96FD52" w14:textId="74AD69BD" w:rsidR="00B35548" w:rsidRPr="00134DD2" w:rsidRDefault="00B35548" w:rsidP="00B35548">
      <w:pPr>
        <w:spacing w:after="0" w:line="240" w:lineRule="auto"/>
        <w:ind w:firstLine="709"/>
        <w:jc w:val="both"/>
        <w:rPr>
          <w:rFonts w:ascii="Times New Roman" w:hAnsi="Times New Roman" w:cs="Times New Roman"/>
          <w:sz w:val="28"/>
          <w:szCs w:val="28"/>
        </w:rPr>
      </w:pPr>
      <w:r w:rsidRPr="00134DD2">
        <w:rPr>
          <w:rFonts w:ascii="Times New Roman" w:eastAsia="Times New Roman" w:hAnsi="Times New Roman" w:cs="Times New Roman"/>
          <w:sz w:val="28"/>
          <w:szCs w:val="28"/>
          <w:lang w:eastAsia="ru-RU"/>
        </w:rPr>
        <w:t xml:space="preserve">"Энергоэффективность, развитие газоснабжения и энергетики в Приморском крае" </w:t>
      </w:r>
      <w:r w:rsidR="00097A58"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 xml:space="preserve"> </w:t>
      </w:r>
      <w:r w:rsidRPr="00134DD2">
        <w:rPr>
          <w:rFonts w:ascii="Times New Roman" w:hAnsi="Times New Roman" w:cs="Times New Roman"/>
          <w:sz w:val="28"/>
          <w:szCs w:val="28"/>
        </w:rPr>
        <w:t xml:space="preserve">о синхронизации (уточнении) результатов использования субсидий и ожидаемых результатов от реализации мероприятий структурных элементов ГП в разделе 3 </w:t>
      </w:r>
      <w:r w:rsidR="00424C66" w:rsidRPr="00134DD2">
        <w:rPr>
          <w:rFonts w:ascii="Times New Roman" w:hAnsi="Times New Roman" w:cs="Times New Roman"/>
          <w:sz w:val="28"/>
          <w:szCs w:val="28"/>
        </w:rPr>
        <w:t>п</w:t>
      </w:r>
      <w:r w:rsidRPr="00134DD2">
        <w:rPr>
          <w:rFonts w:ascii="Times New Roman" w:hAnsi="Times New Roman" w:cs="Times New Roman"/>
          <w:sz w:val="28"/>
          <w:szCs w:val="28"/>
        </w:rPr>
        <w:t>а</w:t>
      </w:r>
      <w:r w:rsidR="00E7475B" w:rsidRPr="00134DD2">
        <w:rPr>
          <w:rFonts w:ascii="Times New Roman" w:hAnsi="Times New Roman" w:cs="Times New Roman"/>
          <w:sz w:val="28"/>
          <w:szCs w:val="28"/>
        </w:rPr>
        <w:t>спорта ГП (Приложение № 1 к ГП);</w:t>
      </w:r>
      <w:r w:rsidRPr="00134DD2">
        <w:rPr>
          <w:rFonts w:ascii="Times New Roman" w:hAnsi="Times New Roman" w:cs="Times New Roman"/>
          <w:sz w:val="28"/>
          <w:szCs w:val="28"/>
        </w:rPr>
        <w:t xml:space="preserve"> </w:t>
      </w:r>
    </w:p>
    <w:p w14:paraId="4D80FF24" w14:textId="61A112D1" w:rsidR="00B35548" w:rsidRPr="00134DD2" w:rsidRDefault="00B35548" w:rsidP="00B35548">
      <w:pPr>
        <w:autoSpaceDE w:val="0"/>
        <w:autoSpaceDN w:val="0"/>
        <w:adjustRightInd w:val="0"/>
        <w:spacing w:after="0" w:line="240" w:lineRule="auto"/>
        <w:ind w:firstLine="709"/>
        <w:jc w:val="both"/>
        <w:rPr>
          <w:rFonts w:ascii="Times New Roman" w:hAnsi="Times New Roman" w:cs="Times New Roman"/>
          <w:sz w:val="26"/>
          <w:szCs w:val="26"/>
        </w:rPr>
      </w:pPr>
      <w:r w:rsidRPr="00134DD2">
        <w:rPr>
          <w:rFonts w:ascii="Times New Roman" w:eastAsia="Times New Roman" w:hAnsi="Times New Roman" w:cs="Times New Roman"/>
          <w:sz w:val="28"/>
          <w:szCs w:val="28"/>
          <w:lang w:eastAsia="ru-RU"/>
        </w:rPr>
        <w:lastRenderedPageBreak/>
        <w:t xml:space="preserve">"Формирование современной городской среды муниципальных образований Приморского края" </w:t>
      </w:r>
      <w:r w:rsidR="00E92A7B" w:rsidRPr="00134DD2">
        <w:rPr>
          <w:rFonts w:ascii="Times New Roman" w:eastAsia="Times New Roman" w:hAnsi="Times New Roman" w:cs="Times New Roman"/>
          <w:sz w:val="28"/>
          <w:szCs w:val="28"/>
          <w:lang w:eastAsia="ru-RU"/>
        </w:rPr>
        <w:t>по</w:t>
      </w:r>
      <w:r w:rsidRPr="00134DD2">
        <w:rPr>
          <w:rFonts w:ascii="Times New Roman" w:eastAsia="Times New Roman" w:hAnsi="Times New Roman" w:cs="Times New Roman"/>
          <w:sz w:val="28"/>
          <w:szCs w:val="28"/>
          <w:lang w:eastAsia="ru-RU"/>
        </w:rPr>
        <w:t xml:space="preserve"> подпрограмм</w:t>
      </w:r>
      <w:r w:rsidR="00E92A7B" w:rsidRPr="00134DD2">
        <w:rPr>
          <w:rFonts w:ascii="Times New Roman" w:eastAsia="Times New Roman" w:hAnsi="Times New Roman" w:cs="Times New Roman"/>
          <w:sz w:val="28"/>
          <w:szCs w:val="28"/>
          <w:lang w:eastAsia="ru-RU"/>
        </w:rPr>
        <w:t>е</w:t>
      </w:r>
      <w:r w:rsidRPr="00134DD2">
        <w:rPr>
          <w:rFonts w:ascii="Times New Roman" w:eastAsia="Times New Roman" w:hAnsi="Times New Roman" w:cs="Times New Roman"/>
          <w:sz w:val="28"/>
          <w:szCs w:val="28"/>
          <w:lang w:eastAsia="ru-RU"/>
        </w:rPr>
        <w:t xml:space="preserve"> "Обеспечение качества ритуальных услуг на территории Приморского края" </w:t>
      </w:r>
      <w:r w:rsidR="005C7814" w:rsidRPr="00134DD2">
        <w:rPr>
          <w:rFonts w:ascii="Times New Roman" w:eastAsia="Times New Roman" w:hAnsi="Times New Roman" w:cs="Times New Roman"/>
          <w:sz w:val="28"/>
          <w:szCs w:val="28"/>
          <w:lang w:eastAsia="ru-RU"/>
        </w:rPr>
        <w:t>–</w:t>
      </w:r>
      <w:r w:rsidR="00E92A7B" w:rsidRPr="00134DD2">
        <w:rPr>
          <w:rFonts w:ascii="Times New Roman" w:eastAsia="Times New Roman" w:hAnsi="Times New Roman" w:cs="Times New Roman"/>
          <w:sz w:val="28"/>
          <w:szCs w:val="28"/>
          <w:lang w:eastAsia="ru-RU"/>
        </w:rPr>
        <w:t xml:space="preserve"> </w:t>
      </w:r>
      <w:r w:rsidR="00424C66" w:rsidRPr="00134DD2">
        <w:rPr>
          <w:rFonts w:ascii="Times New Roman" w:eastAsia="Times New Roman" w:hAnsi="Times New Roman" w:cs="Times New Roman"/>
          <w:sz w:val="28"/>
          <w:szCs w:val="28"/>
          <w:lang w:eastAsia="ru-RU"/>
        </w:rPr>
        <w:t>о выделении показателей подпрограммы в о</w:t>
      </w:r>
      <w:r w:rsidRPr="00134DD2">
        <w:rPr>
          <w:rFonts w:ascii="Times New Roman" w:eastAsia="Times New Roman" w:hAnsi="Times New Roman" w:cs="Times New Roman"/>
          <w:sz w:val="28"/>
          <w:szCs w:val="28"/>
          <w:lang w:eastAsia="ru-RU"/>
        </w:rPr>
        <w:t>тдельны</w:t>
      </w:r>
      <w:r w:rsidR="00424C66" w:rsidRPr="00134DD2">
        <w:rPr>
          <w:rFonts w:ascii="Times New Roman" w:eastAsia="Times New Roman" w:hAnsi="Times New Roman" w:cs="Times New Roman"/>
          <w:sz w:val="28"/>
          <w:szCs w:val="28"/>
          <w:lang w:eastAsia="ru-RU"/>
        </w:rPr>
        <w:t>е</w:t>
      </w:r>
      <w:r w:rsidRPr="00134DD2">
        <w:rPr>
          <w:rFonts w:ascii="Times New Roman" w:eastAsia="Times New Roman" w:hAnsi="Times New Roman" w:cs="Times New Roman"/>
          <w:sz w:val="28"/>
          <w:szCs w:val="28"/>
          <w:lang w:eastAsia="ru-RU"/>
        </w:rPr>
        <w:t xml:space="preserve"> показател</w:t>
      </w:r>
      <w:r w:rsidR="00424C66" w:rsidRPr="00134DD2">
        <w:rPr>
          <w:rFonts w:ascii="Times New Roman" w:eastAsia="Times New Roman" w:hAnsi="Times New Roman" w:cs="Times New Roman"/>
          <w:sz w:val="28"/>
          <w:szCs w:val="28"/>
          <w:lang w:eastAsia="ru-RU"/>
        </w:rPr>
        <w:t>и</w:t>
      </w:r>
      <w:r w:rsidRPr="00134DD2">
        <w:rPr>
          <w:rFonts w:ascii="Times New Roman" w:eastAsia="Times New Roman" w:hAnsi="Times New Roman" w:cs="Times New Roman"/>
          <w:sz w:val="28"/>
          <w:szCs w:val="28"/>
          <w:lang w:eastAsia="ru-RU"/>
        </w:rPr>
        <w:t xml:space="preserve"> ГП, синхронизировав их с задачами и результатами осуществления мероприятий для повышения доступности услуг по погребению и информации о гарантированном перечне услуг по погребению, в том числе через электронные сервисы, установленными </w:t>
      </w:r>
      <w:r w:rsidRPr="00134DD2">
        <w:rPr>
          <w:rFonts w:ascii="Times New Roman" w:hAnsi="Times New Roman" w:cs="Times New Roman"/>
          <w:sz w:val="28"/>
          <w:szCs w:val="28"/>
        </w:rPr>
        <w:t>Стратегией развития строительной отрасли и жилищно-коммунального хозяйства и Национальным планом.</w:t>
      </w:r>
    </w:p>
    <w:p w14:paraId="68C8E570" w14:textId="6FDBB830" w:rsidR="00B35548" w:rsidRPr="00134DD2" w:rsidRDefault="00B35548" w:rsidP="00B35548">
      <w:pPr>
        <w:spacing w:after="0" w:line="240" w:lineRule="auto"/>
        <w:ind w:firstLine="708"/>
        <w:jc w:val="both"/>
        <w:rPr>
          <w:rFonts w:ascii="Times New Roman" w:hAnsi="Times New Roman" w:cs="Times New Roman"/>
          <w:sz w:val="28"/>
          <w:szCs w:val="28"/>
        </w:rPr>
      </w:pPr>
      <w:r w:rsidRPr="00134DD2">
        <w:rPr>
          <w:rFonts w:ascii="Times New Roman" w:eastAsia="Times New Roman" w:hAnsi="Times New Roman" w:cs="Times New Roman"/>
          <w:b/>
          <w:sz w:val="28"/>
          <w:szCs w:val="28"/>
          <w:lang w:eastAsia="ru-RU"/>
        </w:rPr>
        <w:t>8.4.</w:t>
      </w:r>
      <w:r w:rsidR="00E92A7B" w:rsidRPr="00134DD2">
        <w:rPr>
          <w:rFonts w:ascii="Times New Roman" w:eastAsia="Times New Roman" w:hAnsi="Times New Roman" w:cs="Times New Roman"/>
          <w:b/>
          <w:sz w:val="28"/>
          <w:szCs w:val="28"/>
          <w:lang w:eastAsia="ru-RU"/>
        </w:rPr>
        <w:t> </w:t>
      </w:r>
      <w:r w:rsidRPr="00134DD2">
        <w:rPr>
          <w:rFonts w:ascii="Times New Roman" w:eastAsia="Times New Roman" w:hAnsi="Times New Roman" w:cs="Times New Roman"/>
          <w:sz w:val="28"/>
          <w:szCs w:val="28"/>
          <w:lang w:eastAsia="ru-RU"/>
        </w:rPr>
        <w:t> Контрольно-счетная палата отмечает, что в</w:t>
      </w:r>
      <w:r w:rsidRPr="00134DD2">
        <w:rPr>
          <w:rFonts w:ascii="Times New Roman" w:hAnsi="Times New Roman" w:cs="Times New Roman"/>
          <w:sz w:val="28"/>
          <w:szCs w:val="28"/>
        </w:rPr>
        <w:t xml:space="preserve"> 2024 году в соответствии с майскими Указами Президента Российской Федерации достигнут планируемый уровень средней заработной платы:</w:t>
      </w:r>
    </w:p>
    <w:p w14:paraId="7E16DFF6" w14:textId="77777777" w:rsidR="00B35548" w:rsidRPr="00134DD2" w:rsidRDefault="00B35548" w:rsidP="00B35548">
      <w:pPr>
        <w:spacing w:after="0" w:line="240" w:lineRule="auto"/>
        <w:ind w:firstLine="708"/>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педагогических работников:</w:t>
      </w:r>
    </w:p>
    <w:p w14:paraId="4E9ADE3F" w14:textId="77777777" w:rsidR="00B35548" w:rsidRPr="00134DD2" w:rsidRDefault="00B35548" w:rsidP="00B35548">
      <w:pPr>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учреждений дошкольного образования –</w:t>
      </w:r>
      <w:r w:rsidRPr="00134DD2">
        <w:rPr>
          <w:rFonts w:ascii="Times New Roman" w:eastAsia="Calibri" w:hAnsi="Times New Roman" w:cs="Times New Roman"/>
          <w:sz w:val="28"/>
          <w:szCs w:val="28"/>
        </w:rPr>
        <w:t xml:space="preserve"> фактический показатель составил 70000 рублей, или 106,15 %, </w:t>
      </w:r>
      <w:r w:rsidRPr="00134DD2">
        <w:rPr>
          <w:rFonts w:ascii="Times New Roman" w:eastAsia="Times New Roman" w:hAnsi="Times New Roman" w:cs="Times New Roman"/>
          <w:sz w:val="28"/>
          <w:szCs w:val="28"/>
          <w:lang w:eastAsia="ru-RU"/>
        </w:rPr>
        <w:t xml:space="preserve">уровня прогнозного значения </w:t>
      </w:r>
      <w:r w:rsidRPr="00134DD2">
        <w:rPr>
          <w:rFonts w:ascii="Times New Roman" w:eastAsia="Times New Roman" w:hAnsi="Times New Roman" w:cs="Times New Roman"/>
          <w:bCs/>
          <w:kern w:val="36"/>
          <w:sz w:val="28"/>
          <w:szCs w:val="28"/>
          <w:lang w:eastAsia="ru-RU"/>
        </w:rPr>
        <w:t>средней заработной платы в сфере общего образования Приморского края;</w:t>
      </w:r>
    </w:p>
    <w:p w14:paraId="264CF6B9" w14:textId="7B5BD0BC" w:rsidR="00B35548" w:rsidRPr="00134DD2" w:rsidRDefault="00B35548" w:rsidP="00B35548">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учреждений общего образования – 75184,10 рублей, или 111,40 %</w:t>
      </w:r>
      <w:r w:rsidR="005C7814"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 xml:space="preserve"> уровня </w:t>
      </w:r>
      <w:r w:rsidRPr="00134DD2">
        <w:rPr>
          <w:rFonts w:ascii="Times New Roman" w:eastAsia="Times New Roman" w:hAnsi="Times New Roman" w:cs="Times New Roman"/>
          <w:bCs/>
          <w:kern w:val="36"/>
          <w:sz w:val="28"/>
          <w:szCs w:val="28"/>
          <w:lang w:eastAsia="ru-RU"/>
        </w:rPr>
        <w:t>среднемесячного дохода от трудовой деятельности</w:t>
      </w:r>
      <w:r w:rsidRPr="00134DD2">
        <w:rPr>
          <w:rFonts w:ascii="Times New Roman" w:eastAsia="Times New Roman" w:hAnsi="Times New Roman" w:cs="Times New Roman"/>
          <w:sz w:val="28"/>
          <w:szCs w:val="28"/>
          <w:lang w:eastAsia="ru-RU"/>
        </w:rPr>
        <w:t>;</w:t>
      </w:r>
    </w:p>
    <w:p w14:paraId="71A1D6E5" w14:textId="6A48E08D" w:rsidR="00B35548" w:rsidRPr="00134DD2" w:rsidRDefault="00B35548" w:rsidP="00B35548">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учреждений для детей</w:t>
      </w:r>
      <w:r w:rsidR="009E776E"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сирот и детей, оставшихся без попечения родителей,</w:t>
      </w:r>
      <w:r w:rsidRPr="00134DD2">
        <w:rPr>
          <w:rFonts w:ascii="Times New Roman" w:eastAsia="Times New Roman" w:hAnsi="Times New Roman" w:cs="Times New Roman"/>
          <w:sz w:val="28"/>
          <w:szCs w:val="24"/>
          <w:lang w:eastAsia="ru-RU"/>
        </w:rPr>
        <w:t xml:space="preserve"> </w:t>
      </w:r>
      <w:r w:rsidRPr="00134DD2">
        <w:rPr>
          <w:rFonts w:ascii="Times New Roman" w:eastAsia="Calibri" w:hAnsi="Times New Roman" w:cs="Times New Roman"/>
          <w:sz w:val="28"/>
          <w:szCs w:val="28"/>
        </w:rPr>
        <w:t>– 77122,80 рублей, или 114,</w:t>
      </w:r>
      <w:r w:rsidR="009A0DC9" w:rsidRPr="00134DD2">
        <w:rPr>
          <w:rFonts w:ascii="Times New Roman" w:eastAsia="Calibri" w:hAnsi="Times New Roman" w:cs="Times New Roman"/>
          <w:sz w:val="28"/>
          <w:szCs w:val="28"/>
        </w:rPr>
        <w:t>27</w:t>
      </w:r>
      <w:r w:rsidRPr="00134DD2">
        <w:rPr>
          <w:rFonts w:ascii="Times New Roman" w:eastAsia="Calibri" w:hAnsi="Times New Roman" w:cs="Times New Roman"/>
          <w:sz w:val="28"/>
          <w:szCs w:val="28"/>
        </w:rPr>
        <w:t xml:space="preserve"> %, размера среднемесячного дохода от трудовой деятельности</w:t>
      </w:r>
      <w:r w:rsidR="005C7814" w:rsidRPr="00134DD2">
        <w:rPr>
          <w:rFonts w:ascii="Times New Roman" w:eastAsia="Calibri" w:hAnsi="Times New Roman" w:cs="Times New Roman"/>
          <w:sz w:val="28"/>
          <w:szCs w:val="28"/>
        </w:rPr>
        <w:t>;</w:t>
      </w:r>
    </w:p>
    <w:p w14:paraId="68BDF82A" w14:textId="77777777" w:rsidR="00B35548" w:rsidRPr="00134DD2" w:rsidRDefault="00B35548" w:rsidP="00B35548">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образовательных организаций среднего профессионального образования – 90782,20 рублей, или 134,5</w:t>
      </w:r>
      <w:r w:rsidRPr="00134DD2">
        <w:rPr>
          <w:rFonts w:ascii="Times New Roman" w:eastAsia="Times New Roman" w:hAnsi="Times New Roman" w:cs="Times New Roman"/>
          <w:sz w:val="28"/>
          <w:szCs w:val="28"/>
          <w:lang w:val="en-US" w:eastAsia="ru-RU"/>
        </w:rPr>
        <w:t> </w:t>
      </w:r>
      <w:r w:rsidRPr="00134DD2">
        <w:rPr>
          <w:rFonts w:ascii="Times New Roman" w:eastAsia="Times New Roman" w:hAnsi="Times New Roman" w:cs="Times New Roman"/>
          <w:sz w:val="28"/>
          <w:szCs w:val="28"/>
          <w:lang w:eastAsia="ru-RU"/>
        </w:rPr>
        <w:t>%, уровня</w:t>
      </w:r>
      <w:r w:rsidRPr="00134DD2">
        <w:rPr>
          <w:rFonts w:ascii="Times New Roman" w:eastAsia="Times New Roman" w:hAnsi="Times New Roman" w:cs="Times New Roman"/>
          <w:bCs/>
          <w:kern w:val="36"/>
          <w:sz w:val="28"/>
          <w:szCs w:val="28"/>
          <w:lang w:eastAsia="ru-RU"/>
        </w:rPr>
        <w:t xml:space="preserve"> среднемесячного дохода от трудовой деятельности; </w:t>
      </w:r>
    </w:p>
    <w:p w14:paraId="5AE64F87" w14:textId="65914055" w:rsidR="00B35548" w:rsidRPr="00134DD2" w:rsidRDefault="00B35548" w:rsidP="00B35548">
      <w:pPr>
        <w:spacing w:after="0" w:line="240" w:lineRule="auto"/>
        <w:ind w:firstLine="708"/>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учреждений дополнительного образования – 71924,1 рублей, или 106,60 %</w:t>
      </w:r>
      <w:r w:rsidR="005C7814"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 xml:space="preserve"> уровня среднемесячной заработной платы учителей по региону;</w:t>
      </w:r>
    </w:p>
    <w:p w14:paraId="5085D9F0" w14:textId="7CBAEEBA" w:rsidR="00B35548" w:rsidRPr="00134DD2" w:rsidRDefault="00B35548" w:rsidP="00B35548">
      <w:pPr>
        <w:spacing w:after="0" w:line="240" w:lineRule="auto"/>
        <w:ind w:firstLine="709"/>
        <w:jc w:val="both"/>
        <w:rPr>
          <w:rFonts w:ascii="Times New Roman" w:eastAsia="Calibri" w:hAnsi="Times New Roman" w:cs="Times New Roman"/>
          <w:sz w:val="28"/>
          <w:szCs w:val="28"/>
        </w:rPr>
      </w:pPr>
      <w:r w:rsidRPr="00134DD2">
        <w:rPr>
          <w:rFonts w:ascii="Times New Roman" w:eastAsia="Times New Roman" w:hAnsi="Times New Roman" w:cs="Times New Roman"/>
          <w:sz w:val="28"/>
          <w:szCs w:val="28"/>
          <w:lang w:eastAsia="ru-RU"/>
        </w:rPr>
        <w:t xml:space="preserve">учреждений культуры – </w:t>
      </w:r>
      <w:r w:rsidRPr="00134DD2">
        <w:rPr>
          <w:rFonts w:ascii="Times New Roman" w:hAnsi="Times New Roman" w:cs="Times New Roman"/>
          <w:sz w:val="28"/>
          <w:szCs w:val="28"/>
        </w:rPr>
        <w:t xml:space="preserve">для краевых учреждений </w:t>
      </w:r>
      <w:r w:rsidR="005C7814" w:rsidRPr="00134DD2">
        <w:rPr>
          <w:rFonts w:ascii="Times New Roman" w:hAnsi="Times New Roman" w:cs="Times New Roman"/>
          <w:sz w:val="28"/>
          <w:szCs w:val="28"/>
        </w:rPr>
        <w:t>–</w:t>
      </w:r>
      <w:r w:rsidRPr="00134DD2">
        <w:rPr>
          <w:rFonts w:ascii="Times New Roman" w:hAnsi="Times New Roman" w:cs="Times New Roman"/>
          <w:sz w:val="28"/>
          <w:szCs w:val="28"/>
        </w:rPr>
        <w:t xml:space="preserve"> 78566,90 рублей, или 116,41 %, </w:t>
      </w:r>
      <w:r w:rsidRPr="00134DD2">
        <w:rPr>
          <w:rFonts w:ascii="Times New Roman" w:eastAsia="Times New Roman" w:hAnsi="Times New Roman" w:cs="Times New Roman"/>
          <w:sz w:val="28"/>
          <w:szCs w:val="28"/>
          <w:lang w:eastAsia="ru-RU"/>
        </w:rPr>
        <w:t xml:space="preserve">уровня </w:t>
      </w:r>
      <w:r w:rsidRPr="00134DD2">
        <w:rPr>
          <w:rFonts w:ascii="Times New Roman" w:eastAsia="Times New Roman" w:hAnsi="Times New Roman" w:cs="Times New Roman"/>
          <w:bCs/>
          <w:kern w:val="36"/>
          <w:sz w:val="28"/>
          <w:szCs w:val="28"/>
          <w:lang w:eastAsia="ru-RU"/>
        </w:rPr>
        <w:t xml:space="preserve">среднемесячного дохода от трудовой деятельности, </w:t>
      </w:r>
      <w:r w:rsidRPr="00134DD2">
        <w:rPr>
          <w:rFonts w:ascii="Times New Roman" w:hAnsi="Times New Roman" w:cs="Times New Roman"/>
          <w:sz w:val="28"/>
          <w:szCs w:val="28"/>
        </w:rPr>
        <w:t>для муниципальных – 68714,80 рублей, или 104,20 %;</w:t>
      </w:r>
    </w:p>
    <w:p w14:paraId="3A06BB9B" w14:textId="2A65449E" w:rsidR="00B35548" w:rsidRPr="00134DD2" w:rsidRDefault="00B35548" w:rsidP="00B35548">
      <w:pPr>
        <w:spacing w:after="0" w:line="240" w:lineRule="auto"/>
        <w:ind w:firstLine="708"/>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врачей и работников медицинских организаций, имеющих высшее образование, предоставляющих медицинские услуги</w:t>
      </w:r>
      <w:r w:rsidR="005C7814"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 xml:space="preserve"> – 144280,00 рублей, или 213,8 %, к прогнозу среднемесячного дохода от трудовой деятельности;</w:t>
      </w:r>
    </w:p>
    <w:p w14:paraId="2F5806F8" w14:textId="77777777" w:rsidR="00B35548" w:rsidRPr="00134DD2" w:rsidRDefault="00B35548" w:rsidP="00B35548">
      <w:pPr>
        <w:spacing w:after="0" w:line="240" w:lineRule="auto"/>
        <w:ind w:firstLine="708"/>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среднего медицинского персонала, факт – 78046,4 рубля, или 115,6 %, к прогнозу среднемесячного дохода от трудовой деятельности.</w:t>
      </w:r>
    </w:p>
    <w:p w14:paraId="5F1033E1" w14:textId="277B1A1E" w:rsidR="00B35548" w:rsidRPr="00134DD2" w:rsidRDefault="00B35548" w:rsidP="00B35548">
      <w:pPr>
        <w:spacing w:after="0" w:line="240" w:lineRule="auto"/>
        <w:ind w:firstLine="708"/>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При этом по младшему медицинскому персоналу складывается тенденция, при которой целевой показатель второй год подряд не достигнут. За 2024 год факт составил 66500,4 рублей, или 98,5 %</w:t>
      </w:r>
      <w:r w:rsidR="005C7814" w:rsidRPr="00134DD2">
        <w:rPr>
          <w:rFonts w:ascii="Times New Roman" w:eastAsia="Times New Roman" w:hAnsi="Times New Roman" w:cs="Times New Roman"/>
          <w:sz w:val="28"/>
          <w:szCs w:val="28"/>
          <w:lang w:eastAsia="ru-RU"/>
        </w:rPr>
        <w:t>,</w:t>
      </w:r>
      <w:r w:rsidRPr="00134DD2">
        <w:rPr>
          <w:rFonts w:ascii="Times New Roman" w:eastAsia="Times New Roman" w:hAnsi="Times New Roman" w:cs="Times New Roman"/>
          <w:sz w:val="28"/>
          <w:szCs w:val="28"/>
          <w:lang w:eastAsia="ru-RU"/>
        </w:rPr>
        <w:t xml:space="preserve"> от целевого показателя по данной категории в размере 67492,8 рублей (в 2023 году – факт 54747,9</w:t>
      </w:r>
      <w:r w:rsidR="004845F7" w:rsidRPr="00134DD2">
        <w:rPr>
          <w:rFonts w:ascii="Times New Roman" w:eastAsia="Times New Roman" w:hAnsi="Times New Roman" w:cs="Times New Roman"/>
          <w:sz w:val="28"/>
          <w:szCs w:val="28"/>
          <w:lang w:eastAsia="ru-RU"/>
        </w:rPr>
        <w:t> </w:t>
      </w:r>
      <w:r w:rsidRPr="00134DD2">
        <w:rPr>
          <w:rFonts w:ascii="Times New Roman" w:eastAsia="Times New Roman" w:hAnsi="Times New Roman" w:cs="Times New Roman"/>
          <w:sz w:val="28"/>
          <w:szCs w:val="28"/>
          <w:lang w:eastAsia="ru-RU"/>
        </w:rPr>
        <w:t>рублей, или 97,7 %</w:t>
      </w:r>
      <w:r w:rsidR="005C7814" w:rsidRPr="00134DD2">
        <w:rPr>
          <w:rFonts w:ascii="Times New Roman" w:eastAsia="Times New Roman" w:hAnsi="Times New Roman" w:cs="Times New Roman"/>
          <w:sz w:val="28"/>
          <w:szCs w:val="28"/>
          <w:lang w:eastAsia="ru-RU"/>
        </w:rPr>
        <w:t>,</w:t>
      </w:r>
      <w:r w:rsidR="004845F7" w:rsidRPr="00134DD2">
        <w:rPr>
          <w:rFonts w:ascii="Times New Roman" w:eastAsia="Times New Roman" w:hAnsi="Times New Roman" w:cs="Times New Roman"/>
          <w:sz w:val="28"/>
          <w:szCs w:val="28"/>
          <w:lang w:eastAsia="ru-RU"/>
        </w:rPr>
        <w:t xml:space="preserve"> от плана</w:t>
      </w:r>
      <w:r w:rsidRPr="00134DD2">
        <w:rPr>
          <w:rFonts w:ascii="Times New Roman" w:eastAsia="Times New Roman" w:hAnsi="Times New Roman" w:cs="Times New Roman"/>
          <w:sz w:val="28"/>
          <w:szCs w:val="28"/>
          <w:lang w:eastAsia="ru-RU"/>
        </w:rPr>
        <w:t>).</w:t>
      </w:r>
    </w:p>
    <w:p w14:paraId="0BA32C23" w14:textId="12AF512F" w:rsidR="00B35548" w:rsidRPr="00134DD2" w:rsidRDefault="00B35548" w:rsidP="00B35548">
      <w:pPr>
        <w:widowControl w:val="0"/>
        <w:tabs>
          <w:tab w:val="left" w:pos="284"/>
          <w:tab w:val="left" w:pos="1080"/>
        </w:tabs>
        <w:spacing w:after="0" w:line="240" w:lineRule="auto"/>
        <w:ind w:firstLine="709"/>
        <w:contextualSpacing/>
        <w:jc w:val="both"/>
        <w:rPr>
          <w:rFonts w:ascii="Times New Roman" w:hAnsi="Times New Roman" w:cs="Times New Roman"/>
          <w:sz w:val="28"/>
          <w:szCs w:val="28"/>
        </w:rPr>
      </w:pPr>
      <w:r w:rsidRPr="00134DD2">
        <w:rPr>
          <w:rFonts w:ascii="Times New Roman" w:hAnsi="Times New Roman" w:cs="Times New Roman"/>
          <w:b/>
          <w:sz w:val="28"/>
          <w:szCs w:val="28"/>
        </w:rPr>
        <w:t>9.</w:t>
      </w:r>
      <w:r w:rsidRPr="00134DD2">
        <w:rPr>
          <w:rFonts w:ascii="Times New Roman" w:hAnsi="Times New Roman" w:cs="Times New Roman"/>
          <w:sz w:val="28"/>
          <w:szCs w:val="28"/>
        </w:rPr>
        <w:t xml:space="preserve"> В Контрольно-счетную палату практически всеми ГАБС годовая бюджетная отчетность за </w:t>
      </w:r>
      <w:r w:rsidR="00594C10" w:rsidRPr="00134DD2">
        <w:rPr>
          <w:rFonts w:ascii="Times New Roman" w:hAnsi="Times New Roman" w:cs="Times New Roman"/>
          <w:sz w:val="28"/>
          <w:szCs w:val="28"/>
        </w:rPr>
        <w:t>2024</w:t>
      </w:r>
      <w:r w:rsidRPr="00134DD2">
        <w:rPr>
          <w:rFonts w:ascii="Times New Roman" w:hAnsi="Times New Roman" w:cs="Times New Roman"/>
          <w:sz w:val="28"/>
          <w:szCs w:val="28"/>
        </w:rPr>
        <w:t xml:space="preserve"> год предоставлена без нарушения условий действующего бюджетного законодательства.</w:t>
      </w:r>
    </w:p>
    <w:p w14:paraId="0DE0F5B0" w14:textId="7777777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lastRenderedPageBreak/>
        <w:t>Годовая бюджетная отчетность предоставлена ГАБС на бумажных и электронных носителях в составе отчетных форм, установленных Инструкцией № 191н.</w:t>
      </w:r>
    </w:p>
    <w:p w14:paraId="0A3E128B" w14:textId="7777777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По результатам проведенных внешних проверок составлено 43 акта, которые подписаны руководителями ГАБС без разногласий.</w:t>
      </w:r>
    </w:p>
    <w:p w14:paraId="0A5A1B6B" w14:textId="77777777" w:rsidR="00B35548" w:rsidRPr="00134DD2" w:rsidRDefault="00B35548" w:rsidP="00B35548">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x-none"/>
        </w:rPr>
      </w:pPr>
      <w:r w:rsidRPr="00134DD2">
        <w:rPr>
          <w:rFonts w:ascii="Times New Roman" w:eastAsia="Times New Roman" w:hAnsi="Times New Roman" w:cs="Times New Roman"/>
          <w:sz w:val="28"/>
          <w:szCs w:val="28"/>
          <w:lang w:eastAsia="x-none"/>
        </w:rPr>
        <w:t>В ходе выборочных проверок соблюдения контрольных соотношений (увязки) между показателями форм бюджетной отчетности ГАБС расхождений Контрольно-счетной палатой не выявлено, соответствие взаимосвязанных показателей соблюдено.</w:t>
      </w:r>
    </w:p>
    <w:p w14:paraId="3DDA7ED6" w14:textId="5EF69B7F"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eastAsia="Times New Roman" w:hAnsi="Times New Roman" w:cs="Times New Roman"/>
          <w:b/>
          <w:sz w:val="28"/>
          <w:szCs w:val="28"/>
          <w:lang w:eastAsia="ru-RU"/>
        </w:rPr>
        <w:t>9.1.</w:t>
      </w:r>
      <w:r w:rsidRPr="00134DD2">
        <w:rPr>
          <w:rFonts w:ascii="Times New Roman" w:eastAsia="Times New Roman" w:hAnsi="Times New Roman" w:cs="Times New Roman"/>
          <w:sz w:val="28"/>
          <w:szCs w:val="28"/>
          <w:lang w:eastAsia="ru-RU"/>
        </w:rPr>
        <w:t xml:space="preserve"> Во исполнение статьи 160.2-1 Бюджетного кодекса Российской Федерации </w:t>
      </w:r>
      <w:r w:rsidR="00594C10" w:rsidRPr="00134DD2">
        <w:rPr>
          <w:rFonts w:ascii="Times New Roman" w:eastAsia="Times New Roman" w:hAnsi="Times New Roman" w:cs="Times New Roman"/>
          <w:sz w:val="28"/>
          <w:szCs w:val="28"/>
          <w:lang w:eastAsia="ru-RU"/>
        </w:rPr>
        <w:t>внутренний финансовый аудит осуществляется</w:t>
      </w:r>
      <w:r w:rsidR="00594C10" w:rsidRPr="00134DD2">
        <w:rPr>
          <w:rFonts w:ascii="Times New Roman" w:eastAsia="Times New Roman" w:hAnsi="Times New Roman" w:cs="Times New Roman"/>
          <w:sz w:val="28"/>
          <w:szCs w:val="28"/>
          <w:lang w:eastAsia="ru-RU"/>
        </w:rPr>
        <w:t xml:space="preserve"> </w:t>
      </w:r>
      <w:r w:rsidRPr="00134DD2">
        <w:rPr>
          <w:rFonts w:ascii="Times New Roman" w:eastAsia="Times New Roman" w:hAnsi="Times New Roman" w:cs="Times New Roman"/>
          <w:sz w:val="28"/>
          <w:szCs w:val="28"/>
          <w:lang w:eastAsia="ru-RU"/>
        </w:rPr>
        <w:t>ГАБС в соответствии с федеральными стандартами, установленными Министерством финансов Российской Федерации.</w:t>
      </w:r>
      <w:r w:rsidRPr="00134DD2">
        <w:rPr>
          <w:rFonts w:ascii="Times New Roman" w:eastAsia="Times New Roman" w:hAnsi="Times New Roman" w:cs="Times New Roman"/>
          <w:sz w:val="28"/>
          <w:szCs w:val="28"/>
          <w:lang w:eastAsia="x-none"/>
        </w:rPr>
        <w:t xml:space="preserve"> В Контрольно-счетную палату предоставлены заключения (отчеты), содержащие информацию о степени надежности внутреннего финансового контроля, о достоверности годовой бюджетной отчетности.</w:t>
      </w:r>
    </w:p>
    <w:p w14:paraId="02409C9B" w14:textId="7777777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bCs/>
          <w:sz w:val="28"/>
          <w:szCs w:val="28"/>
        </w:rPr>
        <w:t>Фа</w:t>
      </w:r>
      <w:r w:rsidRPr="00134DD2">
        <w:rPr>
          <w:rFonts w:ascii="Times New Roman" w:hAnsi="Times New Roman" w:cs="Times New Roman"/>
          <w:sz w:val="28"/>
          <w:szCs w:val="28"/>
        </w:rPr>
        <w:t xml:space="preserve">кты неполноты и недостоверности показателей бюджетной отчетности в части исполнения ГАБС краевого бюджета не установлены. </w:t>
      </w:r>
    </w:p>
    <w:p w14:paraId="03C49704" w14:textId="7777777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b/>
          <w:sz w:val="28"/>
          <w:szCs w:val="28"/>
        </w:rPr>
        <w:t>9.2.</w:t>
      </w:r>
      <w:r w:rsidRPr="00134DD2">
        <w:rPr>
          <w:rFonts w:ascii="Times New Roman" w:hAnsi="Times New Roman" w:cs="Times New Roman"/>
          <w:sz w:val="28"/>
          <w:szCs w:val="28"/>
        </w:rPr>
        <w:t> Контрольно-счетной палатой проанализирована дебиторская и кредиторская задолженности по бюджетной деятельности 43 ГАБС.</w:t>
      </w:r>
    </w:p>
    <w:p w14:paraId="27E22A7B" w14:textId="7777777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b/>
          <w:sz w:val="28"/>
          <w:szCs w:val="28"/>
        </w:rPr>
        <w:t>9.2.1.</w:t>
      </w:r>
      <w:r w:rsidRPr="00134DD2">
        <w:rPr>
          <w:rFonts w:ascii="Times New Roman" w:hAnsi="Times New Roman" w:cs="Times New Roman"/>
          <w:sz w:val="28"/>
          <w:szCs w:val="28"/>
        </w:rPr>
        <w:t> Общий объем дебиторской задолженности по бюджетной деятельности ГАБС на конец 2024 года увеличился на 37,37 %, или на 42859,93 млн рублей, что составило 157542,21 млн рублей. Задолженность значится по 40 ГАБС.</w:t>
      </w:r>
    </w:p>
    <w:p w14:paraId="2A8479BB" w14:textId="7777777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sz w:val="28"/>
          <w:szCs w:val="28"/>
        </w:rPr>
        <w:t>В составе задолженности имеется просроченная дебиторская задолженность, которая на конец года уменьшилась на 14,01 млн рублей (с 538,11 млн рублей до 524,09</w:t>
      </w:r>
      <w:r w:rsidRPr="00134DD2">
        <w:rPr>
          <w:rFonts w:ascii="Times New Roman" w:hAnsi="Times New Roman" w:cs="Times New Roman"/>
          <w:b/>
          <w:bCs/>
          <w:sz w:val="28"/>
          <w:szCs w:val="28"/>
        </w:rPr>
        <w:t xml:space="preserve"> </w:t>
      </w:r>
      <w:r w:rsidRPr="00134DD2">
        <w:rPr>
          <w:rFonts w:ascii="Times New Roman" w:hAnsi="Times New Roman" w:cs="Times New Roman"/>
          <w:sz w:val="28"/>
          <w:szCs w:val="28"/>
        </w:rPr>
        <w:t>млн рублей). Основной объем числится по министерству лесного хозяйства, охраны окружающей среды, животного мира и природных ресурсов Приморского края (441,01 млн рублей).</w:t>
      </w:r>
    </w:p>
    <w:p w14:paraId="373EC959" w14:textId="77777777" w:rsidR="00B35548" w:rsidRPr="00134DD2" w:rsidRDefault="00B35548" w:rsidP="00B35548">
      <w:pPr>
        <w:tabs>
          <w:tab w:val="left" w:pos="1095"/>
        </w:tabs>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Calibri" w:hAnsi="Times New Roman" w:cs="Times New Roman"/>
          <w:sz w:val="28"/>
          <w:szCs w:val="28"/>
        </w:rPr>
        <w:t>Контрольно-счетная палата Приморского края рекомендует ГАБС принять меры по снижению и предотвращению роста просроченной дебиторской задолженности,</w:t>
      </w:r>
      <w:r w:rsidRPr="00134DD2">
        <w:t xml:space="preserve"> </w:t>
      </w:r>
      <w:r w:rsidRPr="00134DD2">
        <w:rPr>
          <w:rFonts w:ascii="Times New Roman" w:eastAsia="Calibri" w:hAnsi="Times New Roman" w:cs="Times New Roman"/>
          <w:sz w:val="28"/>
          <w:szCs w:val="28"/>
        </w:rPr>
        <w:t>включая усиление взыскания просроченных платежей, совершенствование контроля за использованием бюджетных средств.</w:t>
      </w:r>
    </w:p>
    <w:p w14:paraId="7EBF2552" w14:textId="77777777" w:rsidR="00B35548" w:rsidRPr="00134DD2" w:rsidRDefault="00B35548" w:rsidP="00B35548">
      <w:pPr>
        <w:tabs>
          <w:tab w:val="left" w:pos="1095"/>
        </w:tabs>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 xml:space="preserve">В структуре дебиторской задолженности основной объем приходится по расчетам по доходам – 82,67 % общей суммы задолженности, и отражены по </w:t>
      </w:r>
      <w:r w:rsidRPr="00134DD2">
        <w:rPr>
          <w:rFonts w:ascii="Times New Roman" w:eastAsia="Calibri" w:hAnsi="Times New Roman" w:cs="Times New Roman"/>
          <w:sz w:val="28"/>
          <w:szCs w:val="28"/>
        </w:rPr>
        <w:t>24 ГАБС</w:t>
      </w:r>
      <w:r w:rsidRPr="00134DD2">
        <w:rPr>
          <w:rFonts w:ascii="Times New Roman" w:eastAsia="Times New Roman" w:hAnsi="Times New Roman" w:cs="Times New Roman"/>
          <w:sz w:val="36"/>
          <w:szCs w:val="36"/>
          <w:lang w:eastAsia="ru-RU"/>
        </w:rPr>
        <w:t xml:space="preserve"> </w:t>
      </w:r>
      <w:r w:rsidRPr="00134DD2">
        <w:rPr>
          <w:rFonts w:ascii="Times New Roman" w:eastAsia="Times New Roman" w:hAnsi="Times New Roman" w:cs="Times New Roman"/>
          <w:sz w:val="28"/>
          <w:szCs w:val="28"/>
          <w:lang w:eastAsia="ru-RU"/>
        </w:rPr>
        <w:t>на сумму 130238,49 млн рублей, из них значительный объем приходится по расчетам по безвозмездным поступлениям текущего характера (95897, 44 млн рублей).</w:t>
      </w:r>
    </w:p>
    <w:p w14:paraId="0607B5FA" w14:textId="77777777" w:rsidR="00B35548" w:rsidRPr="00134DD2" w:rsidRDefault="00B35548" w:rsidP="00B35548">
      <w:pPr>
        <w:spacing w:after="0" w:line="240" w:lineRule="auto"/>
        <w:ind w:firstLine="709"/>
        <w:jc w:val="both"/>
        <w:rPr>
          <w:rFonts w:ascii="Times New Roman" w:hAnsi="Times New Roman" w:cs="Times New Roman"/>
          <w:sz w:val="28"/>
          <w:szCs w:val="28"/>
        </w:rPr>
      </w:pPr>
      <w:r w:rsidRPr="00134DD2">
        <w:rPr>
          <w:rFonts w:ascii="Times New Roman" w:hAnsi="Times New Roman" w:cs="Times New Roman"/>
          <w:b/>
          <w:sz w:val="28"/>
          <w:szCs w:val="28"/>
        </w:rPr>
        <w:t>9.2.2.</w:t>
      </w:r>
      <w:r w:rsidRPr="00134DD2">
        <w:rPr>
          <w:rFonts w:ascii="Times New Roman" w:hAnsi="Times New Roman" w:cs="Times New Roman"/>
          <w:sz w:val="28"/>
          <w:szCs w:val="28"/>
        </w:rPr>
        <w:t> К</w:t>
      </w:r>
      <w:r w:rsidRPr="00134DD2">
        <w:rPr>
          <w:rFonts w:ascii="Times New Roman" w:hAnsi="Times New Roman" w:cs="Times New Roman"/>
          <w:bCs/>
          <w:sz w:val="28"/>
          <w:szCs w:val="28"/>
        </w:rPr>
        <w:t>редиторская задолженность по бюджетной деятельности</w:t>
      </w:r>
      <w:r w:rsidRPr="00134DD2">
        <w:rPr>
          <w:rFonts w:ascii="Times New Roman" w:hAnsi="Times New Roman" w:cs="Times New Roman"/>
          <w:sz w:val="28"/>
          <w:szCs w:val="28"/>
        </w:rPr>
        <w:t xml:space="preserve"> (без учета суммы доходов будущих периодов, суммы резервов предстоящих расходов) снизилась на конец 2024 года на 39,84 %, или на 1229,03 млн рублей, и составила 1855,57 млн рублей.</w:t>
      </w:r>
    </w:p>
    <w:p w14:paraId="70DCDC9C" w14:textId="77777777" w:rsidR="00B35548" w:rsidRPr="00134DD2" w:rsidRDefault="00B35548" w:rsidP="00B35548">
      <w:pPr>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lastRenderedPageBreak/>
        <w:t>Стоит отметить, что значительные объемы кредиторской задолженности отчетного финансового года влияют на исполнение краевого бюджета в очередном финансовом году.</w:t>
      </w:r>
    </w:p>
    <w:p w14:paraId="64082DA1" w14:textId="77777777" w:rsidR="00B35548" w:rsidRPr="00134DD2" w:rsidRDefault="00B35548" w:rsidP="00B35548">
      <w:pPr>
        <w:spacing w:after="0" w:line="240" w:lineRule="auto"/>
        <w:ind w:firstLine="709"/>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На конец отчетного года кредиторская задолженность значится по 23 ведомствам. Задолженность носит текущий характер, просроченная кредиторская задолженность не значится.</w:t>
      </w:r>
    </w:p>
    <w:p w14:paraId="28CB5521" w14:textId="77777777" w:rsidR="00B35548" w:rsidRPr="00134DD2" w:rsidRDefault="00B35548" w:rsidP="00B35548">
      <w:pPr>
        <w:spacing w:after="0" w:line="240" w:lineRule="auto"/>
        <w:ind w:firstLine="709"/>
        <w:jc w:val="both"/>
        <w:rPr>
          <w:rFonts w:ascii="Times New Roman" w:eastAsia="Times New Roman" w:hAnsi="Times New Roman" w:cs="Times New Roman"/>
          <w:bCs/>
          <w:iCs/>
          <w:sz w:val="28"/>
          <w:szCs w:val="28"/>
          <w:lang w:eastAsia="ru-RU"/>
        </w:rPr>
      </w:pPr>
      <w:r w:rsidRPr="00134DD2">
        <w:rPr>
          <w:rFonts w:ascii="Times New Roman" w:eastAsia="Times New Roman" w:hAnsi="Times New Roman" w:cs="Times New Roman"/>
          <w:sz w:val="28"/>
          <w:szCs w:val="28"/>
          <w:lang w:eastAsia="ru-RU"/>
        </w:rPr>
        <w:t xml:space="preserve">В структуре задолженности наибольшее суммовое значение отражено по расчетам по принятым обязательствам, доля в общем объеме составила 89,02 %, или 1651,77 млн рублей. </w:t>
      </w:r>
    </w:p>
    <w:p w14:paraId="1B8D8C16" w14:textId="0518F77C" w:rsidR="00B35548" w:rsidRPr="00134DD2" w:rsidRDefault="00B35548" w:rsidP="00B35548">
      <w:pPr>
        <w:spacing w:after="0" w:line="240" w:lineRule="auto"/>
        <w:ind w:firstLine="708"/>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 xml:space="preserve">Помимо этого, в составе кредиторской задолженности по бюджетной деятельности ГАБС в соответствии с федеральными стандартами бухгалтерского учета для организаций государственного сектора отражены </w:t>
      </w:r>
      <w:r w:rsidRPr="00134DD2">
        <w:rPr>
          <w:rFonts w:ascii="Times New Roman" w:eastAsia="Times New Roman" w:hAnsi="Times New Roman" w:cs="Times New Roman"/>
          <w:bCs/>
          <w:iCs/>
          <w:sz w:val="28"/>
          <w:szCs w:val="28"/>
          <w:lang w:eastAsia="ru-RU"/>
        </w:rPr>
        <w:t>доходы будущих периодов</w:t>
      </w:r>
      <w:r w:rsidRPr="00134DD2">
        <w:rPr>
          <w:rFonts w:ascii="Times New Roman" w:eastAsia="Times New Roman" w:hAnsi="Times New Roman" w:cs="Times New Roman"/>
          <w:sz w:val="28"/>
          <w:szCs w:val="28"/>
          <w:lang w:eastAsia="ru-RU"/>
        </w:rPr>
        <w:t xml:space="preserve"> и </w:t>
      </w:r>
      <w:r w:rsidRPr="00134DD2">
        <w:rPr>
          <w:rFonts w:ascii="Times New Roman" w:eastAsia="Times New Roman" w:hAnsi="Times New Roman" w:cs="Times New Roman"/>
          <w:bCs/>
          <w:iCs/>
          <w:sz w:val="28"/>
          <w:szCs w:val="28"/>
          <w:lang w:eastAsia="ru-RU"/>
        </w:rPr>
        <w:t>резервы предстоящих расходов</w:t>
      </w:r>
      <w:r w:rsidRPr="00134DD2">
        <w:rPr>
          <w:rFonts w:ascii="Times New Roman" w:eastAsia="Times New Roman" w:hAnsi="Times New Roman" w:cs="Times New Roman"/>
          <w:sz w:val="28"/>
          <w:szCs w:val="28"/>
          <w:lang w:eastAsia="ru-RU"/>
        </w:rPr>
        <w:t xml:space="preserve"> по соответствующим счетам.</w:t>
      </w:r>
    </w:p>
    <w:p w14:paraId="2043EB35" w14:textId="77777777" w:rsidR="00B35548" w:rsidRPr="00134DD2" w:rsidRDefault="00B35548" w:rsidP="00B35548">
      <w:pPr>
        <w:spacing w:after="0" w:line="240" w:lineRule="auto"/>
        <w:ind w:firstLine="708"/>
        <w:jc w:val="both"/>
        <w:rPr>
          <w:rFonts w:ascii="Times New Roman" w:eastAsia="Times New Roman" w:hAnsi="Times New Roman" w:cs="Times New Roman"/>
          <w:sz w:val="28"/>
          <w:szCs w:val="28"/>
          <w:lang w:eastAsia="ru-RU"/>
        </w:rPr>
      </w:pPr>
      <w:r w:rsidRPr="00134DD2">
        <w:rPr>
          <w:rFonts w:ascii="Times New Roman" w:eastAsia="Times New Roman" w:hAnsi="Times New Roman" w:cs="Times New Roman"/>
          <w:sz w:val="28"/>
          <w:szCs w:val="28"/>
          <w:lang w:eastAsia="ru-RU"/>
        </w:rPr>
        <w:t>Контрольно-счетная палата Приморского края рекомендует ГАБС обеспечить эффективное управление кредиторской задолженностью и минимизировать риски несвоевременного исполнения принятых обязательств.</w:t>
      </w:r>
    </w:p>
    <w:p w14:paraId="68A3011B" w14:textId="4C549233" w:rsidR="00B35548" w:rsidRPr="00134DD2" w:rsidRDefault="00B35548" w:rsidP="00B35548">
      <w:pPr>
        <w:spacing w:after="0" w:line="240" w:lineRule="auto"/>
        <w:ind w:firstLine="720"/>
        <w:jc w:val="both"/>
        <w:rPr>
          <w:rFonts w:ascii="Times New Roman" w:eastAsia="Calibri" w:hAnsi="Times New Roman" w:cs="Times New Roman"/>
          <w:sz w:val="28"/>
          <w:szCs w:val="28"/>
        </w:rPr>
      </w:pPr>
      <w:r w:rsidRPr="00134DD2">
        <w:rPr>
          <w:rFonts w:ascii="Times New Roman" w:eastAsia="Calibri" w:hAnsi="Times New Roman" w:cs="Times New Roman"/>
          <w:b/>
          <w:sz w:val="28"/>
          <w:szCs w:val="28"/>
        </w:rPr>
        <w:t>10.</w:t>
      </w:r>
      <w:r w:rsidRPr="00134DD2">
        <w:rPr>
          <w:rFonts w:ascii="Times New Roman" w:eastAsia="Calibri" w:hAnsi="Times New Roman" w:cs="Times New Roman"/>
          <w:sz w:val="28"/>
          <w:szCs w:val="28"/>
        </w:rPr>
        <w:t xml:space="preserve"> Завершен </w:t>
      </w:r>
      <w:r w:rsidR="009E776E" w:rsidRPr="00134DD2">
        <w:rPr>
          <w:rFonts w:ascii="Times New Roman" w:eastAsia="Calibri" w:hAnsi="Times New Roman" w:cs="Times New Roman"/>
          <w:sz w:val="28"/>
          <w:szCs w:val="28"/>
        </w:rPr>
        <w:t>отчетный</w:t>
      </w:r>
      <w:r w:rsidRPr="00134DD2">
        <w:rPr>
          <w:rFonts w:ascii="Times New Roman" w:eastAsia="Calibri" w:hAnsi="Times New Roman" w:cs="Times New Roman"/>
          <w:sz w:val="28"/>
          <w:szCs w:val="28"/>
        </w:rPr>
        <w:t xml:space="preserve"> год с дефицитом краевого бюджета в размере 7710,13 млн рублей, что на 12806,55 млн рублей ниже утвержденного уровня дефицита краевого бюджета (20516,68 млн рублей) и ниже на </w:t>
      </w:r>
      <w:r w:rsidRPr="00134DD2">
        <w:rPr>
          <w:rFonts w:ascii="Times New Roman" w:eastAsia="Calibri" w:hAnsi="Times New Roman" w:cs="Times New Roman"/>
          <w:sz w:val="28"/>
          <w:szCs w:val="28"/>
        </w:rPr>
        <w:br/>
        <w:t xml:space="preserve">9358,21 млн рублей </w:t>
      </w:r>
      <w:r w:rsidR="00980974" w:rsidRPr="00134DD2">
        <w:rPr>
          <w:rFonts w:ascii="Times New Roman" w:eastAsia="Calibri" w:hAnsi="Times New Roman" w:cs="Times New Roman"/>
          <w:sz w:val="28"/>
          <w:szCs w:val="28"/>
        </w:rPr>
        <w:t>первоначально</w:t>
      </w:r>
      <w:r w:rsidRPr="00134DD2">
        <w:rPr>
          <w:rFonts w:ascii="Times New Roman" w:eastAsia="Calibri" w:hAnsi="Times New Roman" w:cs="Times New Roman"/>
          <w:sz w:val="28"/>
          <w:szCs w:val="28"/>
        </w:rPr>
        <w:t xml:space="preserve"> планируемого дефицита краевого бюджета (17068,34 млн рублей).</w:t>
      </w:r>
    </w:p>
    <w:p w14:paraId="506E5322" w14:textId="77777777" w:rsidR="00B35548" w:rsidRPr="00134DD2" w:rsidRDefault="00B35548" w:rsidP="00B35548">
      <w:pPr>
        <w:spacing w:after="0" w:line="240" w:lineRule="auto"/>
        <w:ind w:firstLine="720"/>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 xml:space="preserve">В составе источников внутреннего финансирования дефицита краевого бюджета привлечение и погашение коммерческих кредитов не осуществлялось. </w:t>
      </w:r>
    </w:p>
    <w:p w14:paraId="33780F87" w14:textId="77777777" w:rsidR="00B35548" w:rsidRPr="00134DD2" w:rsidRDefault="00B35548" w:rsidP="00B35548">
      <w:pPr>
        <w:spacing w:after="0" w:line="240" w:lineRule="auto"/>
        <w:ind w:firstLine="720"/>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Бюджетные кредиты из федерального бюджета привлечены в сумме 611,54 млн рублей, н</w:t>
      </w:r>
      <w:r w:rsidRPr="00134DD2">
        <w:rPr>
          <w:rFonts w:ascii="Times New Roman" w:hAnsi="Times New Roman"/>
          <w:sz w:val="28"/>
          <w:szCs w:val="28"/>
        </w:rPr>
        <w:t xml:space="preserve">а погашение направлено 1631,75 млн рублей. </w:t>
      </w:r>
    </w:p>
    <w:p w14:paraId="1FF86F28" w14:textId="77777777" w:rsidR="00B35548" w:rsidRPr="00134DD2" w:rsidRDefault="00B35548" w:rsidP="00B35548">
      <w:pPr>
        <w:spacing w:after="0" w:line="240" w:lineRule="auto"/>
        <w:ind w:firstLine="720"/>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 xml:space="preserve">В 2024 году из краевого бюджета предоставлены бюджетные кредиты бюджетам двух </w:t>
      </w:r>
      <w:r w:rsidRPr="00134DD2">
        <w:rPr>
          <w:rFonts w:ascii="Times New Roman" w:eastAsia="Times New Roman" w:hAnsi="Times New Roman" w:cs="Times New Roman"/>
          <w:sz w:val="28"/>
          <w:szCs w:val="28"/>
          <w:lang w:eastAsia="ru-RU"/>
        </w:rPr>
        <w:t xml:space="preserve">муниципальных образований Приморского края </w:t>
      </w:r>
      <w:r w:rsidRPr="00134DD2">
        <w:rPr>
          <w:rFonts w:ascii="Times New Roman" w:eastAsia="Calibri" w:hAnsi="Times New Roman" w:cs="Times New Roman"/>
          <w:sz w:val="28"/>
          <w:szCs w:val="28"/>
        </w:rPr>
        <w:t xml:space="preserve">в сумме 198,00 млн рублей, что составило 15,00 % от планируемого объема (1320,00 млн рублей). </w:t>
      </w:r>
    </w:p>
    <w:p w14:paraId="18CD2574" w14:textId="77777777" w:rsidR="00B35548" w:rsidRPr="00134DD2" w:rsidRDefault="00B35548" w:rsidP="00B35548">
      <w:pPr>
        <w:spacing w:after="0" w:line="240" w:lineRule="auto"/>
        <w:ind w:firstLine="720"/>
        <w:jc w:val="both"/>
        <w:rPr>
          <w:rFonts w:ascii="Times New Roman" w:eastAsia="Calibri" w:hAnsi="Times New Roman" w:cs="Times New Roman"/>
          <w:sz w:val="28"/>
          <w:szCs w:val="28"/>
        </w:rPr>
      </w:pPr>
      <w:r w:rsidRPr="00134DD2">
        <w:rPr>
          <w:rFonts w:ascii="Times New Roman" w:eastAsia="Calibri" w:hAnsi="Times New Roman" w:cs="Times New Roman"/>
          <w:sz w:val="28"/>
          <w:szCs w:val="28"/>
        </w:rPr>
        <w:t>Сумма возврата бюджетных кредитов, предоставленных из краевого бюджета, составила 645,22 млн рублей, или 64,52 % от плана, в том числе: юридическими лицами – 105,04 млн рублей (КГУП "</w:t>
      </w:r>
      <w:proofErr w:type="spellStart"/>
      <w:r w:rsidRPr="00134DD2">
        <w:rPr>
          <w:rFonts w:ascii="Times New Roman" w:eastAsia="Calibri" w:hAnsi="Times New Roman" w:cs="Times New Roman"/>
          <w:sz w:val="28"/>
          <w:szCs w:val="28"/>
        </w:rPr>
        <w:t>Госпродагентство</w:t>
      </w:r>
      <w:proofErr w:type="spellEnd"/>
      <w:r w:rsidRPr="00134DD2">
        <w:rPr>
          <w:rFonts w:ascii="Times New Roman" w:eastAsia="Calibri" w:hAnsi="Times New Roman" w:cs="Times New Roman"/>
          <w:sz w:val="28"/>
          <w:szCs w:val="28"/>
        </w:rPr>
        <w:t xml:space="preserve"> Приморского края"), бюджетами 11 муниципальных образований Приморского края – 540,18 млн рублей, или 54,02 % от плана </w:t>
      </w:r>
      <w:r w:rsidRPr="00134DD2">
        <w:rPr>
          <w:rFonts w:ascii="Times New Roman" w:eastAsia="Calibri" w:hAnsi="Times New Roman" w:cs="Times New Roman"/>
          <w:sz w:val="28"/>
          <w:szCs w:val="28"/>
        </w:rPr>
        <w:br/>
        <w:t>(1000,00 млн рублей).</w:t>
      </w:r>
    </w:p>
    <w:p w14:paraId="11229767" w14:textId="77777777" w:rsidR="00B35548" w:rsidRPr="00134DD2" w:rsidRDefault="00B35548" w:rsidP="00B35548">
      <w:pPr>
        <w:autoSpaceDE w:val="0"/>
        <w:autoSpaceDN w:val="0"/>
        <w:adjustRightInd w:val="0"/>
        <w:spacing w:after="0" w:line="240" w:lineRule="auto"/>
        <w:ind w:firstLine="709"/>
        <w:jc w:val="both"/>
        <w:outlineLvl w:val="2"/>
        <w:rPr>
          <w:rFonts w:ascii="Times New Roman" w:eastAsia="Calibri" w:hAnsi="Times New Roman" w:cs="Times New Roman"/>
          <w:sz w:val="28"/>
          <w:szCs w:val="28"/>
          <w:lang w:eastAsia="ru-RU"/>
        </w:rPr>
      </w:pPr>
      <w:r w:rsidRPr="00134DD2">
        <w:rPr>
          <w:rFonts w:ascii="Times New Roman" w:eastAsia="Calibri" w:hAnsi="Times New Roman" w:cs="Times New Roman"/>
          <w:b/>
          <w:sz w:val="28"/>
          <w:szCs w:val="28"/>
        </w:rPr>
        <w:t>11.</w:t>
      </w:r>
      <w:r w:rsidRPr="00134DD2">
        <w:rPr>
          <w:rFonts w:ascii="Times New Roman" w:eastAsia="Calibri" w:hAnsi="Times New Roman" w:cs="Times New Roman"/>
          <w:sz w:val="28"/>
          <w:szCs w:val="28"/>
          <w:lang w:eastAsia="ru-RU"/>
        </w:rPr>
        <w:t> В 2024 году государственный внутренний долг края сократился на 1458,64 млн рублей, или на 7,42 % и по состоянию на 01.01.2025 составил 18202,81 млн рублей, сформированный за счет бюджетных кредитов.</w:t>
      </w:r>
    </w:p>
    <w:p w14:paraId="77171019" w14:textId="77777777" w:rsidR="00B35548" w:rsidRPr="00134DD2" w:rsidRDefault="00B35548" w:rsidP="00B35548">
      <w:pPr>
        <w:autoSpaceDE w:val="0"/>
        <w:autoSpaceDN w:val="0"/>
        <w:adjustRightInd w:val="0"/>
        <w:spacing w:after="0" w:line="240" w:lineRule="auto"/>
        <w:ind w:firstLine="709"/>
        <w:jc w:val="both"/>
        <w:outlineLvl w:val="2"/>
        <w:rPr>
          <w:rFonts w:ascii="Times New Roman" w:eastAsia="Calibri" w:hAnsi="Times New Roman" w:cs="Times New Roman"/>
          <w:sz w:val="28"/>
          <w:szCs w:val="28"/>
          <w:lang w:eastAsia="ru-RU"/>
        </w:rPr>
      </w:pPr>
      <w:r w:rsidRPr="00134DD2">
        <w:rPr>
          <w:rFonts w:ascii="Times New Roman" w:eastAsia="Calibri" w:hAnsi="Times New Roman" w:cs="Times New Roman"/>
          <w:sz w:val="28"/>
          <w:szCs w:val="28"/>
          <w:lang w:eastAsia="ru-RU"/>
        </w:rPr>
        <w:t>Государственный долг не превышает установленный статьей 1 Закона № 495-КЗ верхний предел государственного внутреннего долга Приморского края на 01.01.2025 (21547,47 млн рублей), в том числе верхний предел долга по государственным гарантиям Приморского края – 0,00 млн рублей.</w:t>
      </w:r>
    </w:p>
    <w:p w14:paraId="4AD18C70" w14:textId="77777777" w:rsidR="00B35548" w:rsidRPr="00134DD2" w:rsidRDefault="00B35548" w:rsidP="00B35548">
      <w:pPr>
        <w:autoSpaceDE w:val="0"/>
        <w:autoSpaceDN w:val="0"/>
        <w:adjustRightInd w:val="0"/>
        <w:spacing w:after="0" w:line="240" w:lineRule="auto"/>
        <w:ind w:firstLine="709"/>
        <w:jc w:val="both"/>
        <w:outlineLvl w:val="2"/>
        <w:rPr>
          <w:rFonts w:ascii="Times New Roman" w:eastAsia="Calibri" w:hAnsi="Times New Roman" w:cs="Times New Roman"/>
          <w:sz w:val="28"/>
          <w:szCs w:val="28"/>
          <w:lang w:eastAsia="ru-RU"/>
        </w:rPr>
      </w:pPr>
      <w:r w:rsidRPr="00134DD2">
        <w:rPr>
          <w:rFonts w:ascii="Times New Roman" w:eastAsia="Calibri" w:hAnsi="Times New Roman" w:cs="Times New Roman"/>
          <w:sz w:val="28"/>
          <w:szCs w:val="28"/>
          <w:lang w:eastAsia="ru-RU"/>
        </w:rPr>
        <w:lastRenderedPageBreak/>
        <w:t>Государственный внешний долг Приморского края на начало и конец отчетного года отсутствует.</w:t>
      </w:r>
    </w:p>
    <w:p w14:paraId="64057A2E" w14:textId="77777777" w:rsidR="00B35548" w:rsidRPr="00134DD2" w:rsidRDefault="00B35548" w:rsidP="00B35548">
      <w:pPr>
        <w:autoSpaceDE w:val="0"/>
        <w:autoSpaceDN w:val="0"/>
        <w:adjustRightInd w:val="0"/>
        <w:spacing w:after="0" w:line="240" w:lineRule="auto"/>
        <w:ind w:firstLine="709"/>
        <w:jc w:val="both"/>
        <w:outlineLvl w:val="2"/>
        <w:rPr>
          <w:rFonts w:ascii="Times New Roman" w:eastAsia="Times New Roman" w:hAnsi="Times New Roman" w:cs="Times New Roman"/>
          <w:sz w:val="28"/>
          <w:szCs w:val="28"/>
          <w:lang w:eastAsia="ru-RU"/>
        </w:rPr>
      </w:pPr>
      <w:r w:rsidRPr="00134DD2">
        <w:rPr>
          <w:rFonts w:ascii="Times New Roman" w:eastAsia="Calibri" w:hAnsi="Times New Roman" w:cs="Times New Roman"/>
          <w:b/>
          <w:sz w:val="28"/>
          <w:szCs w:val="28"/>
          <w:lang w:eastAsia="ru-RU"/>
        </w:rPr>
        <w:t>12.</w:t>
      </w:r>
      <w:r w:rsidRPr="00134DD2">
        <w:rPr>
          <w:rFonts w:ascii="Times New Roman" w:eastAsia="Calibri" w:hAnsi="Times New Roman" w:cs="Times New Roman"/>
          <w:sz w:val="28"/>
          <w:szCs w:val="28"/>
          <w:lang w:eastAsia="ru-RU"/>
        </w:rPr>
        <w:t> </w:t>
      </w:r>
      <w:r w:rsidRPr="00134DD2">
        <w:rPr>
          <w:rFonts w:ascii="Times New Roman" w:eastAsia="Times New Roman" w:hAnsi="Times New Roman" w:cs="Times New Roman"/>
          <w:sz w:val="28"/>
          <w:szCs w:val="28"/>
        </w:rPr>
        <w:t>По результатам экспертизы Контрольно-счетной палатой нарушений не установлено. Отчет об исполнении краевого бюджета за 2024 год возможен к рассмотрению на заседании Законодательного Собрания Приморского края.</w:t>
      </w:r>
    </w:p>
    <w:p w14:paraId="412D1A37" w14:textId="7777777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p>
    <w:p w14:paraId="7A539235" w14:textId="7777777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p>
    <w:p w14:paraId="731D0079" w14:textId="77777777" w:rsidR="00B35548" w:rsidRPr="00134DD2" w:rsidRDefault="00B35548" w:rsidP="00B35548">
      <w:pPr>
        <w:tabs>
          <w:tab w:val="left" w:pos="1095"/>
        </w:tabs>
        <w:spacing w:after="0" w:line="240" w:lineRule="auto"/>
        <w:ind w:firstLine="709"/>
        <w:jc w:val="both"/>
        <w:rPr>
          <w:rFonts w:ascii="Times New Roman" w:hAnsi="Times New Roman" w:cs="Times New Roman"/>
          <w:sz w:val="28"/>
          <w:szCs w:val="28"/>
        </w:rPr>
      </w:pPr>
    </w:p>
    <w:p w14:paraId="3AA820A9" w14:textId="77777777" w:rsidR="00B35548" w:rsidRPr="00E47AA9" w:rsidRDefault="00B35548" w:rsidP="00B35548">
      <w:pPr>
        <w:tabs>
          <w:tab w:val="left" w:pos="1095"/>
        </w:tabs>
        <w:spacing w:after="0" w:line="240" w:lineRule="auto"/>
        <w:jc w:val="both"/>
        <w:rPr>
          <w:rFonts w:ascii="Times New Roman" w:hAnsi="Times New Roman" w:cs="Times New Roman"/>
          <w:sz w:val="28"/>
          <w:szCs w:val="28"/>
        </w:rPr>
      </w:pPr>
      <w:r w:rsidRPr="00134DD2">
        <w:rPr>
          <w:rFonts w:ascii="Times New Roman" w:hAnsi="Times New Roman" w:cs="Times New Roman"/>
          <w:sz w:val="28"/>
          <w:szCs w:val="28"/>
        </w:rPr>
        <w:t>Председатель</w:t>
      </w:r>
      <w:r w:rsidRPr="00E47AA9">
        <w:rPr>
          <w:rFonts w:ascii="Times New Roman" w:hAnsi="Times New Roman" w:cs="Times New Roman"/>
          <w:sz w:val="28"/>
          <w:szCs w:val="28"/>
        </w:rPr>
        <w:t xml:space="preserve">                                                                                Д.А. Виноградов</w:t>
      </w:r>
    </w:p>
    <w:sectPr w:rsidR="00B35548" w:rsidRPr="00E47AA9" w:rsidSect="00353702">
      <w:headerReference w:type="default" r:id="rId73"/>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1A0B54" w14:textId="77777777" w:rsidR="00F62D77" w:rsidRDefault="00F62D77" w:rsidP="00A441A6">
      <w:pPr>
        <w:spacing w:after="0" w:line="240" w:lineRule="auto"/>
      </w:pPr>
      <w:r>
        <w:separator/>
      </w:r>
    </w:p>
  </w:endnote>
  <w:endnote w:type="continuationSeparator" w:id="0">
    <w:p w14:paraId="0F66444D" w14:textId="77777777" w:rsidR="00F62D77" w:rsidRDefault="00F62D77" w:rsidP="00A441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Liberation Mono">
    <w:altName w:val="Times New Roman"/>
    <w:panose1 w:val="00000000000000000000"/>
    <w:charset w:val="00"/>
    <w:family w:val="roman"/>
    <w:notTrueType/>
    <w:pitch w:val="default"/>
  </w:font>
  <w:font w:name="PT Astra Serif">
    <w:altName w:val="Times New Roman"/>
    <w:charset w:val="00"/>
    <w:family w:val="roman"/>
    <w:pitch w:val="default"/>
  </w:font>
  <w:font w:name="Roboto">
    <w:altName w:val="Times New Roman"/>
    <w:charset w:val="00"/>
    <w:family w:val="auto"/>
    <w:pitch w:val="variable"/>
    <w:sig w:usb0="E0000AFF" w:usb1="5000217F" w:usb2="0000002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FreeSans">
    <w:altName w:val="Times New Roman"/>
    <w:panose1 w:val="00000000000000000000"/>
    <w:charset w:val="00"/>
    <w:family w:val="roman"/>
    <w:notTrueType/>
    <w:pitch w:val="default"/>
  </w:font>
  <w:font w:name="source han sans cn regular">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51206F" w14:textId="77777777" w:rsidR="00F62D77" w:rsidRDefault="00F62D77" w:rsidP="00A441A6">
      <w:pPr>
        <w:spacing w:after="0" w:line="240" w:lineRule="auto"/>
      </w:pPr>
      <w:r>
        <w:separator/>
      </w:r>
    </w:p>
  </w:footnote>
  <w:footnote w:type="continuationSeparator" w:id="0">
    <w:p w14:paraId="1A78CE82" w14:textId="77777777" w:rsidR="00F62D77" w:rsidRDefault="00F62D77" w:rsidP="00A441A6">
      <w:pPr>
        <w:spacing w:after="0" w:line="240" w:lineRule="auto"/>
      </w:pPr>
      <w:r>
        <w:continuationSeparator/>
      </w:r>
    </w:p>
  </w:footnote>
  <w:footnote w:id="1">
    <w:p w14:paraId="64A1879E" w14:textId="321746C8" w:rsidR="00F62D77" w:rsidRDefault="00F62D77" w:rsidP="00F77241">
      <w:pPr>
        <w:pStyle w:val="a6"/>
        <w:ind w:left="142" w:firstLine="142"/>
        <w:jc w:val="both"/>
      </w:pPr>
      <w:r>
        <w:rPr>
          <w:rStyle w:val="a8"/>
        </w:rPr>
        <w:footnoteRef/>
      </w:r>
      <w:r>
        <w:t>Статья 4 З</w:t>
      </w:r>
      <w:r w:rsidRPr="000C592B">
        <w:t>акон</w:t>
      </w:r>
      <w:r>
        <w:t>а</w:t>
      </w:r>
      <w:r w:rsidRPr="000C592B">
        <w:t xml:space="preserve"> Приморского края от 02.12.2015 </w:t>
      </w:r>
      <w:r>
        <w:t>№</w:t>
      </w:r>
      <w:r w:rsidRPr="000C592B">
        <w:t xml:space="preserve"> 732-КЗ (ред. от 04.07.2023) "О стратегическом планировании в Приморском крае"</w:t>
      </w:r>
      <w:r>
        <w:t>.</w:t>
      </w:r>
    </w:p>
  </w:footnote>
  <w:footnote w:id="2">
    <w:p w14:paraId="23DC96E3" w14:textId="77777777" w:rsidR="00F62D77" w:rsidRPr="001B5391" w:rsidRDefault="00F62D77" w:rsidP="00F77241">
      <w:pPr>
        <w:pStyle w:val="a6"/>
        <w:ind w:firstLine="142"/>
        <w:jc w:val="both"/>
      </w:pPr>
      <w:r w:rsidRPr="00A3727B">
        <w:rPr>
          <w:rStyle w:val="a8"/>
        </w:rPr>
        <w:footnoteRef/>
      </w:r>
      <w:r>
        <w:t xml:space="preserve"> </w:t>
      </w:r>
      <w:r w:rsidRPr="001B5391">
        <w:t>Социально-экономическое положение Приморского края: Доклад/</w:t>
      </w:r>
      <w:proofErr w:type="spellStart"/>
      <w:r w:rsidRPr="001B5391">
        <w:t>Приморскстат</w:t>
      </w:r>
      <w:proofErr w:type="spellEnd"/>
      <w:r w:rsidRPr="001B5391">
        <w:t>, 202</w:t>
      </w:r>
      <w:r>
        <w:t>5</w:t>
      </w:r>
      <w:r w:rsidRPr="001B5391">
        <w:t>.</w:t>
      </w:r>
    </w:p>
  </w:footnote>
  <w:footnote w:id="3">
    <w:p w14:paraId="60954ED1" w14:textId="77777777" w:rsidR="00F62D77" w:rsidRDefault="00F62D77" w:rsidP="00F77241">
      <w:pPr>
        <w:pStyle w:val="a6"/>
        <w:ind w:left="142" w:firstLine="142"/>
        <w:jc w:val="both"/>
      </w:pPr>
      <w:r>
        <w:rPr>
          <w:rStyle w:val="a8"/>
        </w:rPr>
        <w:footnoteRef/>
      </w:r>
      <w:r>
        <w:t xml:space="preserve"> </w:t>
      </w:r>
      <w:r w:rsidRPr="005C5732">
        <w:t>Уточненный прогноз социально-экономического развития Приморского края на 2025 год и период до 2027 года</w:t>
      </w:r>
      <w:r>
        <w:t xml:space="preserve"> </w:t>
      </w:r>
      <w:r w:rsidRPr="005C5732">
        <w:t>(по форме 2П)</w:t>
      </w:r>
      <w:r>
        <w:t>, н</w:t>
      </w:r>
      <w:r w:rsidRPr="005C5732">
        <w:t>аправлен в Минэкономразвития России письмом от 13.11.2024 № 29/5594</w:t>
      </w:r>
      <w:r>
        <w:t>.</w:t>
      </w:r>
    </w:p>
  </w:footnote>
  <w:footnote w:id="4">
    <w:p w14:paraId="5AFD8549" w14:textId="77777777" w:rsidR="00F62D77" w:rsidRDefault="00F62D77" w:rsidP="00F77241">
      <w:pPr>
        <w:pStyle w:val="a6"/>
        <w:ind w:firstLine="142"/>
      </w:pPr>
      <w:r>
        <w:rPr>
          <w:rStyle w:val="a8"/>
        </w:rPr>
        <w:footnoteRef/>
      </w:r>
      <w:r>
        <w:t xml:space="preserve"> </w:t>
      </w:r>
      <w:r w:rsidRPr="002F0937">
        <w:t>Формирование бюджетных расходов на 202</w:t>
      </w:r>
      <w:r>
        <w:t>4</w:t>
      </w:r>
      <w:r w:rsidRPr="002F0937">
        <w:t xml:space="preserve"> год и плановый период 202</w:t>
      </w:r>
      <w:r>
        <w:t>5</w:t>
      </w:r>
      <w:r w:rsidRPr="002F0937">
        <w:t>-202</w:t>
      </w:r>
      <w:r>
        <w:t>6</w:t>
      </w:r>
      <w:r w:rsidRPr="002F0937">
        <w:t xml:space="preserve"> годов осуществлено на основе базового варианта прогноза социально-экономического развития Приморского края.</w:t>
      </w:r>
    </w:p>
  </w:footnote>
  <w:footnote w:id="5">
    <w:p w14:paraId="4AEF27CC" w14:textId="77777777" w:rsidR="00F62D77" w:rsidRDefault="00F62D77" w:rsidP="00F77241">
      <w:pPr>
        <w:pStyle w:val="a6"/>
        <w:ind w:firstLine="142"/>
      </w:pPr>
      <w:r>
        <w:rPr>
          <w:rStyle w:val="a8"/>
        </w:rPr>
        <w:footnoteRef/>
      </w:r>
      <w:r>
        <w:t xml:space="preserve"> </w:t>
      </w:r>
      <w:r w:rsidRPr="002F0937">
        <w:t>Формирование бюджетных расходов на 202</w:t>
      </w:r>
      <w:r>
        <w:t>5</w:t>
      </w:r>
      <w:r w:rsidRPr="002F0937">
        <w:t xml:space="preserve"> год и плановый период 202</w:t>
      </w:r>
      <w:r>
        <w:t>6</w:t>
      </w:r>
      <w:r w:rsidRPr="002F0937">
        <w:t>-202</w:t>
      </w:r>
      <w:r>
        <w:t>7</w:t>
      </w:r>
      <w:r w:rsidRPr="002F0937">
        <w:t xml:space="preserve"> годов осуществлено на основе базового варианта прогноза социально-экономического развития Приморского края.</w:t>
      </w:r>
    </w:p>
  </w:footnote>
  <w:footnote w:id="6">
    <w:p w14:paraId="53D694A0" w14:textId="77777777" w:rsidR="00F62D77" w:rsidRDefault="00F62D77" w:rsidP="00F77241">
      <w:pPr>
        <w:pStyle w:val="a6"/>
        <w:ind w:firstLine="142"/>
        <w:jc w:val="both"/>
      </w:pPr>
      <w:r>
        <w:rPr>
          <w:rStyle w:val="a8"/>
        </w:rPr>
        <w:footnoteRef/>
      </w:r>
      <w:r>
        <w:t xml:space="preserve"> По данным </w:t>
      </w:r>
      <w:proofErr w:type="spellStart"/>
      <w:r>
        <w:t>Приморскстата</w:t>
      </w:r>
      <w:proofErr w:type="spellEnd"/>
      <w:r>
        <w:t xml:space="preserve"> на 01.01.2025.</w:t>
      </w:r>
    </w:p>
  </w:footnote>
  <w:footnote w:id="7">
    <w:p w14:paraId="6A109DF5" w14:textId="77777777" w:rsidR="00F62D77" w:rsidRDefault="00F62D77" w:rsidP="00F77241">
      <w:pPr>
        <w:pStyle w:val="a6"/>
        <w:ind w:firstLine="142"/>
      </w:pPr>
      <w:r>
        <w:rPr>
          <w:rStyle w:val="a8"/>
        </w:rPr>
        <w:footnoteRef/>
      </w:r>
      <w:r>
        <w:t xml:space="preserve"> По данным </w:t>
      </w:r>
      <w:proofErr w:type="spellStart"/>
      <w:r>
        <w:t>Приморскстата</w:t>
      </w:r>
      <w:proofErr w:type="spellEnd"/>
      <w:r>
        <w:t xml:space="preserve"> декабрь 2022 года к декабрю 2021 года.</w:t>
      </w:r>
    </w:p>
  </w:footnote>
  <w:footnote w:id="8">
    <w:p w14:paraId="1A88A60F" w14:textId="77777777" w:rsidR="00F62D77" w:rsidRDefault="00F62D77" w:rsidP="00F77241">
      <w:pPr>
        <w:pStyle w:val="a6"/>
        <w:ind w:firstLine="142"/>
      </w:pPr>
      <w:r>
        <w:rPr>
          <w:rStyle w:val="a8"/>
        </w:rPr>
        <w:footnoteRef/>
      </w:r>
      <w:r>
        <w:t xml:space="preserve"> </w:t>
      </w:r>
      <w:r w:rsidRPr="005F67BF">
        <w:t xml:space="preserve">По данным </w:t>
      </w:r>
      <w:proofErr w:type="spellStart"/>
      <w:r w:rsidRPr="005F67BF">
        <w:t>Приморскстата</w:t>
      </w:r>
      <w:proofErr w:type="spellEnd"/>
      <w:r w:rsidRPr="005F67BF">
        <w:t xml:space="preserve"> декабрь 202</w:t>
      </w:r>
      <w:r>
        <w:t>3</w:t>
      </w:r>
      <w:r w:rsidRPr="005F67BF">
        <w:t xml:space="preserve"> года к декабрю 202</w:t>
      </w:r>
      <w:r>
        <w:t>2</w:t>
      </w:r>
      <w:r w:rsidRPr="005F67BF">
        <w:t xml:space="preserve"> года.</w:t>
      </w:r>
    </w:p>
  </w:footnote>
  <w:footnote w:id="9">
    <w:p w14:paraId="07575010" w14:textId="77777777" w:rsidR="00F62D77" w:rsidRDefault="00F62D77" w:rsidP="00F77241">
      <w:pPr>
        <w:pStyle w:val="a6"/>
        <w:ind w:firstLine="142"/>
      </w:pPr>
      <w:r>
        <w:rPr>
          <w:rStyle w:val="a8"/>
        </w:rPr>
        <w:footnoteRef/>
      </w:r>
      <w:r>
        <w:t xml:space="preserve"> </w:t>
      </w:r>
      <w:r w:rsidRPr="005F67BF">
        <w:t xml:space="preserve">По данным </w:t>
      </w:r>
      <w:proofErr w:type="spellStart"/>
      <w:r w:rsidRPr="005F67BF">
        <w:t>Приморскстата</w:t>
      </w:r>
      <w:proofErr w:type="spellEnd"/>
      <w:r w:rsidRPr="005F67BF">
        <w:t xml:space="preserve"> декабрь 202</w:t>
      </w:r>
      <w:r>
        <w:t>4</w:t>
      </w:r>
      <w:r w:rsidRPr="005F67BF">
        <w:t xml:space="preserve"> года к декабрю 202</w:t>
      </w:r>
      <w:r>
        <w:t>3</w:t>
      </w:r>
      <w:r w:rsidRPr="005F67BF">
        <w:t xml:space="preserve"> года.</w:t>
      </w:r>
    </w:p>
  </w:footnote>
  <w:footnote w:id="10">
    <w:p w14:paraId="3BA73BA5" w14:textId="77777777" w:rsidR="00F62D77" w:rsidRDefault="00F62D77" w:rsidP="00F77241">
      <w:pPr>
        <w:pStyle w:val="a6"/>
        <w:ind w:firstLine="142"/>
      </w:pPr>
      <w:r>
        <w:rPr>
          <w:rStyle w:val="a8"/>
        </w:rPr>
        <w:footnoteRef/>
      </w:r>
      <w:r>
        <w:t xml:space="preserve"> Оценка 2024 года.</w:t>
      </w:r>
    </w:p>
  </w:footnote>
  <w:footnote w:id="11">
    <w:p w14:paraId="19A80DDF" w14:textId="77777777" w:rsidR="00F62D77" w:rsidRDefault="00F62D77" w:rsidP="00F77241">
      <w:pPr>
        <w:pStyle w:val="a6"/>
        <w:ind w:firstLine="142"/>
      </w:pPr>
      <w:r>
        <w:rPr>
          <w:rStyle w:val="a8"/>
        </w:rPr>
        <w:footnoteRef/>
      </w:r>
      <w:r w:rsidRPr="00AB2A75">
        <w:t>Оценка 202</w:t>
      </w:r>
      <w:r>
        <w:t>4</w:t>
      </w:r>
      <w:r w:rsidRPr="00AB2A75">
        <w:t xml:space="preserve"> года.</w:t>
      </w:r>
    </w:p>
  </w:footnote>
  <w:footnote w:id="12">
    <w:p w14:paraId="5F28F130" w14:textId="77777777" w:rsidR="00F62D77" w:rsidRDefault="00F62D77" w:rsidP="006C5C47">
      <w:pPr>
        <w:pStyle w:val="a6"/>
      </w:pPr>
      <w:r>
        <w:rPr>
          <w:rStyle w:val="a8"/>
        </w:rPr>
        <w:footnoteRef/>
      </w:r>
      <w:r>
        <w:t xml:space="preserve"> </w:t>
      </w:r>
      <w:r w:rsidRPr="00FF0A00">
        <w:t>Включая платные подписки на онлайн кинотеатры и игровые сервисы, пользование услугами облачных хранилищ данных.</w:t>
      </w:r>
    </w:p>
  </w:footnote>
  <w:footnote w:id="13">
    <w:p w14:paraId="40B99BB9" w14:textId="77777777" w:rsidR="00F62D77" w:rsidRPr="00636CC5" w:rsidRDefault="00F62D77" w:rsidP="006C5C47">
      <w:pPr>
        <w:pStyle w:val="a6"/>
        <w:rPr>
          <w:sz w:val="22"/>
          <w:szCs w:val="22"/>
        </w:rPr>
      </w:pPr>
      <w:r w:rsidRPr="00636CC5">
        <w:rPr>
          <w:rStyle w:val="a8"/>
        </w:rPr>
        <w:footnoteRef/>
      </w:r>
      <w:hyperlink r:id="rId1" w:history="1">
        <w:r w:rsidRPr="00EF14A5">
          <w:rPr>
            <w:rStyle w:val="afd"/>
          </w:rPr>
          <w:t>http://ssl.rosstat.gov.ru/storage/mediabank/1_15-01-2025.html</w:t>
        </w:r>
      </w:hyperlink>
      <w:r>
        <w:t xml:space="preserve"> </w:t>
      </w:r>
    </w:p>
  </w:footnote>
  <w:footnote w:id="14">
    <w:p w14:paraId="2B97E784" w14:textId="77777777" w:rsidR="00F62D77" w:rsidRPr="00E76AA6" w:rsidRDefault="00F62D77" w:rsidP="006C5C47">
      <w:pPr>
        <w:pStyle w:val="a6"/>
        <w:ind w:firstLine="142"/>
      </w:pPr>
      <w:r w:rsidRPr="00E76AA6">
        <w:rPr>
          <w:rStyle w:val="a8"/>
        </w:rPr>
        <w:footnoteRef/>
      </w:r>
      <w:r w:rsidRPr="00E76AA6">
        <w:t xml:space="preserve"> Доходы, скорректированные на индекс потребительских цен.</w:t>
      </w:r>
    </w:p>
  </w:footnote>
  <w:footnote w:id="15">
    <w:p w14:paraId="7D998E96" w14:textId="77777777" w:rsidR="00F62D77" w:rsidRPr="00E76AA6" w:rsidRDefault="00F62D77" w:rsidP="006C5C47">
      <w:pPr>
        <w:pStyle w:val="a6"/>
        <w:ind w:firstLine="142"/>
      </w:pPr>
      <w:r w:rsidRPr="00E76AA6">
        <w:rPr>
          <w:rStyle w:val="a8"/>
        </w:rPr>
        <w:footnoteRef/>
      </w:r>
      <w:r w:rsidRPr="00E76AA6">
        <w:t xml:space="preserve"> Доходы за вычетом обязательных платежей, скорректированные на индекс потребительских цен.</w:t>
      </w:r>
    </w:p>
  </w:footnote>
  <w:footnote w:id="16">
    <w:p w14:paraId="07001651" w14:textId="77777777" w:rsidR="00F62D77" w:rsidRDefault="00F62D77" w:rsidP="006C5C47">
      <w:pPr>
        <w:pStyle w:val="a6"/>
      </w:pPr>
      <w:r>
        <w:rPr>
          <w:rStyle w:val="a8"/>
        </w:rPr>
        <w:footnoteRef/>
      </w:r>
      <w:r>
        <w:t xml:space="preserve"> </w:t>
      </w:r>
      <w:hyperlink r:id="rId2" w:history="1">
        <w:r w:rsidRPr="007C6436">
          <w:rPr>
            <w:rStyle w:val="afd"/>
          </w:rPr>
          <w:t>https://25.rosstat.gov.ru/storage/mediabank/мигр01.pdf</w:t>
        </w:r>
      </w:hyperlink>
    </w:p>
  </w:footnote>
  <w:footnote w:id="17">
    <w:p w14:paraId="2964E4CA" w14:textId="77777777" w:rsidR="00F62D77" w:rsidRDefault="00F62D77" w:rsidP="00A441A6">
      <w:pPr>
        <w:pStyle w:val="a6"/>
        <w:ind w:firstLine="142"/>
        <w:jc w:val="both"/>
      </w:pPr>
      <w:r>
        <w:rPr>
          <w:rStyle w:val="a8"/>
        </w:rPr>
        <w:footnoteRef/>
      </w:r>
      <w:r>
        <w:t>П</w:t>
      </w:r>
      <w:r w:rsidRPr="00F45580">
        <w:t>риказ Министерства финансов Российской Федерации от 28.12.2010 № 191н "Об утверждении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w:t>
      </w:r>
      <w:r>
        <w:t>.</w:t>
      </w:r>
    </w:p>
  </w:footnote>
  <w:footnote w:id="18">
    <w:p w14:paraId="76E07C62" w14:textId="77777777" w:rsidR="00F62D77" w:rsidRPr="00A3727B" w:rsidRDefault="00F62D77" w:rsidP="006D736D">
      <w:pPr>
        <w:pStyle w:val="a6"/>
        <w:ind w:firstLine="142"/>
        <w:jc w:val="both"/>
      </w:pPr>
      <w:r w:rsidRPr="00A3727B">
        <w:rPr>
          <w:rStyle w:val="a8"/>
        </w:rPr>
        <w:footnoteRef/>
      </w:r>
      <w:r>
        <w:t>И</w:t>
      </w:r>
      <w:r w:rsidRPr="00A3727B">
        <w:t>зменени</w:t>
      </w:r>
      <w:r>
        <w:t>я</w:t>
      </w:r>
      <w:r w:rsidRPr="00A3727B">
        <w:t xml:space="preserve"> в закон о краевом бюджете внесе</w:t>
      </w:r>
      <w:r>
        <w:t xml:space="preserve">ны законами Приморского края </w:t>
      </w:r>
      <w:r w:rsidRPr="005832BA">
        <w:t>от 28.02.2024 № 522-КЗ, от 24.04.2024 № 548-КЗ, от 31.05.2024 № 563-КЗ, от 26.06.2024 № 584-КЗ, от 24.07.2024 № 613-КЗ, от 03.10.2024 № 655-КЗ, от 27.11.2024 № 670-КЗ, от 18.12.2024 № 687-КЗ</w:t>
      </w:r>
      <w:r>
        <w:t xml:space="preserve">. </w:t>
      </w:r>
    </w:p>
  </w:footnote>
  <w:footnote w:id="19">
    <w:p w14:paraId="1D10BA4F" w14:textId="77777777" w:rsidR="00F62D77" w:rsidRPr="00A3727B" w:rsidRDefault="00F62D77" w:rsidP="006D736D">
      <w:pPr>
        <w:pStyle w:val="a6"/>
        <w:ind w:firstLine="142"/>
        <w:jc w:val="both"/>
      </w:pPr>
      <w:r w:rsidRPr="00A3727B">
        <w:rPr>
          <w:rStyle w:val="a8"/>
        </w:rPr>
        <w:footnoteRef/>
      </w:r>
      <w:r>
        <w:t>По</w:t>
      </w:r>
      <w:r w:rsidRPr="00A3727B">
        <w:t xml:space="preserve"> тексту заключения слово "первоначальный" применяется при указании плановых назначений в редакции, утвержденной Законом № </w:t>
      </w:r>
      <w:r>
        <w:t>495-КЗ,</w:t>
      </w:r>
      <w:r w:rsidRPr="00A3727B">
        <w:t xml:space="preserve"> без учета изменений. </w:t>
      </w:r>
    </w:p>
  </w:footnote>
  <w:footnote w:id="20">
    <w:p w14:paraId="75114718" w14:textId="77777777" w:rsidR="00F62D77" w:rsidRDefault="00F62D77" w:rsidP="00A441A6">
      <w:pPr>
        <w:pStyle w:val="a6"/>
        <w:ind w:firstLine="142"/>
        <w:jc w:val="both"/>
      </w:pPr>
      <w:r w:rsidRPr="00FB52ED">
        <w:rPr>
          <w:rStyle w:val="a8"/>
        </w:rPr>
        <w:footnoteRef/>
      </w:r>
      <w:r w:rsidRPr="00FB52ED">
        <w:t>По тексту заключения в отдельных случаях незначительные расхождения меж</w:t>
      </w:r>
      <w:r>
        <w:t>д</w:t>
      </w:r>
      <w:r w:rsidRPr="00FB52ED">
        <w:t>у итогом и суммой слагаемых объясняются округлением данных.</w:t>
      </w:r>
    </w:p>
  </w:footnote>
  <w:footnote w:id="21">
    <w:p w14:paraId="32E16A84" w14:textId="77777777" w:rsidR="00F62D77" w:rsidRDefault="00F62D77" w:rsidP="00A441A6">
      <w:pPr>
        <w:pStyle w:val="a6"/>
        <w:ind w:firstLine="142"/>
        <w:jc w:val="both"/>
      </w:pPr>
      <w:r>
        <w:rPr>
          <w:rStyle w:val="a8"/>
        </w:rPr>
        <w:footnoteRef/>
      </w:r>
      <w:r>
        <w:t xml:space="preserve"> </w:t>
      </w:r>
      <w:r w:rsidRPr="00086A1C">
        <w:t xml:space="preserve">Закон Приморского края от 19.12.2024 </w:t>
      </w:r>
      <w:r>
        <w:t>№</w:t>
      </w:r>
      <w:r w:rsidRPr="00086A1C">
        <w:t xml:space="preserve"> 692-КЗ "О краевом бюджете на 2025 год и плановый период 2026 и 2027 годов"</w:t>
      </w:r>
      <w:r>
        <w:t xml:space="preserve"> (</w:t>
      </w:r>
      <w:r w:rsidRPr="00D61640">
        <w:t>в ред. от 2</w:t>
      </w:r>
      <w:r>
        <w:t>6</w:t>
      </w:r>
      <w:r w:rsidRPr="00D61640">
        <w:t>.0</w:t>
      </w:r>
      <w:r>
        <w:t>3</w:t>
      </w:r>
      <w:r w:rsidRPr="00D61640">
        <w:t>.202</w:t>
      </w:r>
      <w:r>
        <w:t>5</w:t>
      </w:r>
      <w:r w:rsidRPr="00D61640">
        <w:t xml:space="preserve"> № </w:t>
      </w:r>
      <w:r>
        <w:t>753</w:t>
      </w:r>
      <w:r w:rsidRPr="00D61640">
        <w:t>-КЗ).</w:t>
      </w:r>
    </w:p>
  </w:footnote>
  <w:footnote w:id="22">
    <w:p w14:paraId="0CC01B1B" w14:textId="77777777" w:rsidR="00F62D77" w:rsidRPr="00FF269B" w:rsidRDefault="00F62D77" w:rsidP="00D52EC7">
      <w:pPr>
        <w:pStyle w:val="a6"/>
        <w:ind w:firstLine="142"/>
        <w:jc w:val="both"/>
      </w:pPr>
      <w:r w:rsidRPr="00FF269B">
        <w:rPr>
          <w:rStyle w:val="a8"/>
        </w:rPr>
        <w:footnoteRef/>
      </w:r>
      <w:r w:rsidRPr="00FF269B">
        <w:t xml:space="preserve"> Согласно пункту 2 статьи 11 Налогового кодекса Российской Федерации, недоимка – сумма налога, сумма сбора или сумма страховых взносов, не уплаченная (не перечисленная) в установленный законодательством о налогах и сборах срок.</w:t>
      </w:r>
    </w:p>
  </w:footnote>
  <w:footnote w:id="23">
    <w:p w14:paraId="40DC836C" w14:textId="77777777" w:rsidR="00F62D77" w:rsidRDefault="00F62D77" w:rsidP="00D52EC7">
      <w:pPr>
        <w:pStyle w:val="a6"/>
        <w:ind w:firstLine="142"/>
        <w:jc w:val="both"/>
      </w:pPr>
      <w:r>
        <w:rPr>
          <w:rStyle w:val="a8"/>
        </w:rPr>
        <w:footnoteRef/>
      </w:r>
      <w:r>
        <w:t xml:space="preserve"> Здесь и далее по тексту приведены показатели по годам в соответствии с данными по состоянию на 1 </w:t>
      </w:r>
      <w:proofErr w:type="gramStart"/>
      <w:r>
        <w:t>января</w:t>
      </w:r>
      <w:proofErr w:type="gramEnd"/>
      <w:r>
        <w:t xml:space="preserve"> следующего за отчетным годом, то есть за 2024 год по состоянию на 01.01.2025, за 2023 год – на 01.01.2024 и тому подобное.</w:t>
      </w:r>
    </w:p>
  </w:footnote>
  <w:footnote w:id="24">
    <w:p w14:paraId="66AA8AF1" w14:textId="77777777" w:rsidR="00F62D77" w:rsidRDefault="00F62D77" w:rsidP="00D52EC7">
      <w:pPr>
        <w:pStyle w:val="a6"/>
        <w:ind w:firstLine="142"/>
        <w:jc w:val="both"/>
      </w:pPr>
      <w:r>
        <w:rPr>
          <w:rStyle w:val="a8"/>
        </w:rPr>
        <w:footnoteRef/>
      </w:r>
      <w:r>
        <w:t>И</w:t>
      </w:r>
      <w:r w:rsidRPr="00566CE7">
        <w:t>нформация о поступлениях в консолидированный бюджет Приморского края и недоимке по видам экономической деятельности</w:t>
      </w:r>
      <w:r>
        <w:t xml:space="preserve">. Ссылка: </w:t>
      </w:r>
      <w:r w:rsidRPr="00152242">
        <w:t>https://primorsky.ru/authorities/executive-agencies/departments/finance/information.php</w:t>
      </w:r>
    </w:p>
  </w:footnote>
  <w:footnote w:id="25">
    <w:p w14:paraId="37A12F0B" w14:textId="5ABB8658" w:rsidR="00F62D77" w:rsidRDefault="00F62D77" w:rsidP="003F7870">
      <w:pPr>
        <w:pStyle w:val="a6"/>
        <w:ind w:firstLine="142"/>
        <w:jc w:val="both"/>
      </w:pPr>
      <w:r>
        <w:rPr>
          <w:rStyle w:val="a8"/>
        </w:rPr>
        <w:footnoteRef/>
      </w:r>
      <w:r>
        <w:t xml:space="preserve"> Всего в 2024 году в Закон № 495-КЗ соответствующими законами Приморского края внесено 8 изменений. При этом одним из законов – Законом Приморского края от 31.05.2024 № 563-КЗ – изменения в основные параметры по доходам и расходам не вносились. Данным законом изменено только распределение межбюджетных трансфертов бюджетам муниципальных образований Приморского края в таблицах 13, 14 приложения 14 к закону о краевом бюджете.</w:t>
      </w:r>
    </w:p>
  </w:footnote>
  <w:footnote w:id="26">
    <w:p w14:paraId="3D969DA0" w14:textId="77777777" w:rsidR="00F62D77" w:rsidRPr="00AC00DC" w:rsidRDefault="00F62D77" w:rsidP="00353702">
      <w:pPr>
        <w:pStyle w:val="a6"/>
        <w:ind w:firstLine="142"/>
        <w:jc w:val="both"/>
      </w:pPr>
      <w:r w:rsidRPr="00AC00DC">
        <w:rPr>
          <w:rStyle w:val="a8"/>
        </w:rPr>
        <w:footnoteRef/>
      </w:r>
      <w:r w:rsidRPr="00AC00DC">
        <w:t>По тексту заключения исполнение краевого бюджета в процентах указано с учетом отношения фактических показателей к плановым в рублях.</w:t>
      </w:r>
    </w:p>
  </w:footnote>
  <w:footnote w:id="27">
    <w:p w14:paraId="5629DACA" w14:textId="77777777" w:rsidR="00F62D77" w:rsidRPr="00DE7CAE" w:rsidRDefault="00F62D77" w:rsidP="00576D56">
      <w:pPr>
        <w:autoSpaceDE w:val="0"/>
        <w:autoSpaceDN w:val="0"/>
        <w:adjustRightInd w:val="0"/>
        <w:spacing w:after="0" w:line="240" w:lineRule="auto"/>
        <w:ind w:firstLine="284"/>
        <w:jc w:val="both"/>
        <w:rPr>
          <w:rFonts w:ascii="Times New Roman" w:hAnsi="Times New Roman" w:cs="Times New Roman"/>
          <w:sz w:val="20"/>
          <w:szCs w:val="20"/>
        </w:rPr>
      </w:pPr>
      <w:r w:rsidRPr="00DE7CAE">
        <w:rPr>
          <w:rStyle w:val="a8"/>
          <w:sz w:val="20"/>
        </w:rPr>
        <w:footnoteRef/>
      </w:r>
      <w:r w:rsidRPr="00DE7CAE">
        <w:rPr>
          <w:rFonts w:ascii="Times New Roman" w:hAnsi="Times New Roman" w:cs="Times New Roman"/>
          <w:sz w:val="20"/>
          <w:szCs w:val="20"/>
        </w:rPr>
        <w:t>Постановление Правительства Приморского края от 2</w:t>
      </w:r>
      <w:r>
        <w:rPr>
          <w:rFonts w:ascii="Times New Roman" w:hAnsi="Times New Roman" w:cs="Times New Roman"/>
          <w:sz w:val="20"/>
          <w:szCs w:val="20"/>
        </w:rPr>
        <w:t>7</w:t>
      </w:r>
      <w:r w:rsidRPr="00DE7CAE">
        <w:rPr>
          <w:rFonts w:ascii="Times New Roman" w:hAnsi="Times New Roman" w:cs="Times New Roman"/>
          <w:sz w:val="20"/>
          <w:szCs w:val="20"/>
        </w:rPr>
        <w:t>.12.202</w:t>
      </w:r>
      <w:r>
        <w:rPr>
          <w:rFonts w:ascii="Times New Roman" w:hAnsi="Times New Roman" w:cs="Times New Roman"/>
          <w:sz w:val="20"/>
          <w:szCs w:val="20"/>
        </w:rPr>
        <w:t>3</w:t>
      </w:r>
      <w:r w:rsidRPr="00DE7CAE">
        <w:rPr>
          <w:rFonts w:ascii="Times New Roman" w:hAnsi="Times New Roman" w:cs="Times New Roman"/>
          <w:sz w:val="20"/>
          <w:szCs w:val="20"/>
        </w:rPr>
        <w:t xml:space="preserve"> № </w:t>
      </w:r>
      <w:r>
        <w:rPr>
          <w:rFonts w:ascii="Times New Roman" w:hAnsi="Times New Roman" w:cs="Times New Roman"/>
          <w:sz w:val="20"/>
          <w:szCs w:val="20"/>
        </w:rPr>
        <w:t>956</w:t>
      </w:r>
      <w:r w:rsidRPr="00DE7CAE">
        <w:rPr>
          <w:rFonts w:ascii="Times New Roman" w:hAnsi="Times New Roman" w:cs="Times New Roman"/>
          <w:sz w:val="20"/>
          <w:szCs w:val="20"/>
        </w:rPr>
        <w:t>-пп "Об утверждении адресной инвестиционной программы Приморского края на 202</w:t>
      </w:r>
      <w:r>
        <w:rPr>
          <w:rFonts w:ascii="Times New Roman" w:hAnsi="Times New Roman" w:cs="Times New Roman"/>
          <w:sz w:val="20"/>
          <w:szCs w:val="20"/>
        </w:rPr>
        <w:t>4</w:t>
      </w:r>
      <w:r w:rsidRPr="00DE7CAE">
        <w:rPr>
          <w:rFonts w:ascii="Times New Roman" w:hAnsi="Times New Roman" w:cs="Times New Roman"/>
          <w:sz w:val="20"/>
          <w:szCs w:val="20"/>
        </w:rPr>
        <w:t xml:space="preserve"> год и плановый период 20</w:t>
      </w:r>
      <w:r>
        <w:rPr>
          <w:rFonts w:ascii="Times New Roman" w:hAnsi="Times New Roman" w:cs="Times New Roman"/>
          <w:sz w:val="20"/>
          <w:szCs w:val="20"/>
        </w:rPr>
        <w:t>25</w:t>
      </w:r>
      <w:r w:rsidRPr="00DE7CAE">
        <w:rPr>
          <w:rFonts w:ascii="Times New Roman" w:hAnsi="Times New Roman" w:cs="Times New Roman"/>
          <w:sz w:val="20"/>
          <w:szCs w:val="20"/>
        </w:rPr>
        <w:t xml:space="preserve"> и 202</w:t>
      </w:r>
      <w:r>
        <w:rPr>
          <w:rFonts w:ascii="Times New Roman" w:hAnsi="Times New Roman" w:cs="Times New Roman"/>
          <w:sz w:val="20"/>
          <w:szCs w:val="20"/>
        </w:rPr>
        <w:t>6</w:t>
      </w:r>
      <w:r w:rsidRPr="00DE7CAE">
        <w:rPr>
          <w:rFonts w:ascii="Times New Roman" w:hAnsi="Times New Roman" w:cs="Times New Roman"/>
          <w:sz w:val="20"/>
          <w:szCs w:val="20"/>
        </w:rPr>
        <w:t xml:space="preserve"> годов".</w:t>
      </w:r>
    </w:p>
  </w:footnote>
  <w:footnote w:id="28">
    <w:p w14:paraId="1EBB6528" w14:textId="77777777" w:rsidR="00F62D77" w:rsidRDefault="00F62D77" w:rsidP="00D23916">
      <w:pPr>
        <w:pStyle w:val="a6"/>
        <w:ind w:firstLine="142"/>
        <w:jc w:val="both"/>
      </w:pPr>
      <w:r>
        <w:rPr>
          <w:rStyle w:val="a8"/>
        </w:rPr>
        <w:footnoteRef/>
      </w:r>
      <w:r>
        <w:t xml:space="preserve">  Согласно отчету с</w:t>
      </w:r>
      <w:r w:rsidRPr="00BA3354">
        <w:t>убсидии юридическим лицам (кроме некоммерческих организаций), индивидуальным предпринимателям, физическим лицам - производителям товаров, работ, услуг</w:t>
      </w:r>
      <w:r>
        <w:t xml:space="preserve"> направлены в сумме 18,94 млн рублей.</w:t>
      </w:r>
    </w:p>
  </w:footnote>
  <w:footnote w:id="29">
    <w:p w14:paraId="162466FB" w14:textId="77777777" w:rsidR="00F62D77" w:rsidRDefault="00F62D77" w:rsidP="00D23916">
      <w:pPr>
        <w:pStyle w:val="a6"/>
        <w:ind w:firstLine="142"/>
        <w:jc w:val="both"/>
      </w:pPr>
      <w:r>
        <w:rPr>
          <w:rStyle w:val="a8"/>
        </w:rPr>
        <w:footnoteRef/>
      </w:r>
      <w:r>
        <w:t xml:space="preserve"> </w:t>
      </w:r>
      <w:r w:rsidRPr="00E80CBF">
        <w:t>Предоставление субсидий частным образовательным организациям на вышеуказанные цели является системным мероприятием, предусмотренным разделом IV</w:t>
      </w:r>
      <w:r>
        <w:t xml:space="preserve"> </w:t>
      </w:r>
      <w:r w:rsidRPr="00E80CBF">
        <w:t>плана мероприятий ("дорожная карта") по содействию развития конкуренции в Приморском крае на 2022 – 2025 годы, утвержденного распоряжением Губернатора Приморск</w:t>
      </w:r>
      <w:r>
        <w:t>ого края от 28.12.2021 № 384-рг.</w:t>
      </w:r>
    </w:p>
  </w:footnote>
  <w:footnote w:id="30">
    <w:p w14:paraId="0D8F6E8C" w14:textId="77777777" w:rsidR="00F62D77" w:rsidRPr="00480B67" w:rsidRDefault="00F62D77" w:rsidP="00F6202A">
      <w:pPr>
        <w:autoSpaceDE w:val="0"/>
        <w:autoSpaceDN w:val="0"/>
        <w:adjustRightInd w:val="0"/>
        <w:spacing w:after="0" w:line="240" w:lineRule="auto"/>
        <w:ind w:firstLine="142"/>
        <w:jc w:val="both"/>
        <w:rPr>
          <w:rFonts w:ascii="Times New Roman" w:hAnsi="Times New Roman" w:cs="Times New Roman"/>
          <w:sz w:val="20"/>
          <w:szCs w:val="20"/>
        </w:rPr>
      </w:pPr>
      <w:r w:rsidRPr="00480B67">
        <w:rPr>
          <w:rStyle w:val="a8"/>
          <w:rFonts w:ascii="Times New Roman" w:hAnsi="Times New Roman"/>
          <w:sz w:val="20"/>
        </w:rPr>
        <w:footnoteRef/>
      </w:r>
      <w:r w:rsidRPr="00480B67">
        <w:rPr>
          <w:rFonts w:ascii="Times New Roman" w:hAnsi="Times New Roman" w:cs="Times New Roman"/>
          <w:sz w:val="20"/>
          <w:szCs w:val="20"/>
        </w:rPr>
        <w:t>Показатель "Количество детей дошкольного возраста, получающих услуги по присмотру и уходу в частных дошкольных образовательных организациях, у индивидуальных предпринимателей</w:t>
      </w:r>
      <w:r>
        <w:rPr>
          <w:rFonts w:ascii="Times New Roman" w:hAnsi="Times New Roman" w:cs="Times New Roman"/>
          <w:sz w:val="20"/>
          <w:szCs w:val="20"/>
        </w:rPr>
        <w:t>" установлен на 2024 год – 889 человек в</w:t>
      </w:r>
      <w:r w:rsidRPr="00480B67">
        <w:rPr>
          <w:rFonts w:ascii="Times New Roman" w:hAnsi="Times New Roman" w:cs="Times New Roman"/>
          <w:sz w:val="20"/>
          <w:szCs w:val="20"/>
        </w:rPr>
        <w:t xml:space="preserve"> соответствии с Приложением к Порядку предоставления и расходования субсидий из краевого бюджета бюджетам муниципальных образований Приморского края на софинансирование мероприятий, направленных на возмещение расходов частных дошкольных образовательных организаций, индивидуальных предпринимателей, возникающих при создании условий для осуществления присмотра и ухода за детьми дошкольного возраста.</w:t>
      </w:r>
    </w:p>
  </w:footnote>
  <w:footnote w:id="31">
    <w:p w14:paraId="5290AFA6" w14:textId="56403BD7" w:rsidR="00F62D77" w:rsidRDefault="00F62D77" w:rsidP="009957BA">
      <w:pPr>
        <w:pStyle w:val="a6"/>
        <w:ind w:firstLine="142"/>
        <w:jc w:val="both"/>
      </w:pPr>
      <w:r>
        <w:rPr>
          <w:rStyle w:val="a8"/>
        </w:rPr>
        <w:footnoteRef/>
      </w:r>
      <w:r>
        <w:t xml:space="preserve"> </w:t>
      </w:r>
      <w:r w:rsidRPr="00E573F7">
        <w:t xml:space="preserve">По состоянию на 01.01.2025 краевая сеть общеобразовательных учреждений, подведомственных министерству образования Приморского края, представлена 28 учреждениями, из них 22 учреждения реализуют адаптированные основные общеобразовательные программы для детей с умственной отсталостью; 2 – для детей с нарушениями слуха; 2 – для детей с нарушениями зрения; 1 – для детей с нарушениями опорно-двигательного аппарата; 1 – для детей с задержкой психического развития. Перечень услуг, оказываемых краевыми общеобразовательными учреждениями, формировался на основании общероссийских базовых (отраслевых) перечней (классификаторов) государственных и муниципальных услуг, оказываемых физическим лицам, в сфере образования, которые размещены на едином портале бюджетной системы Российской Федерации </w:t>
      </w:r>
      <w:r>
        <w:t>"</w:t>
      </w:r>
      <w:r w:rsidRPr="00E573F7">
        <w:t>Электронный бюджет</w:t>
      </w:r>
      <w:r>
        <w:t>"</w:t>
      </w:r>
      <w:r w:rsidRPr="00E573F7">
        <w:t>.</w:t>
      </w:r>
    </w:p>
  </w:footnote>
  <w:footnote w:id="32">
    <w:p w14:paraId="13AF5564" w14:textId="77777777" w:rsidR="00F62D77" w:rsidRDefault="00F62D77" w:rsidP="009957BA">
      <w:pPr>
        <w:pStyle w:val="a6"/>
        <w:ind w:firstLine="142"/>
        <w:jc w:val="both"/>
      </w:pPr>
      <w:r>
        <w:rPr>
          <w:rStyle w:val="a8"/>
        </w:rPr>
        <w:footnoteRef/>
      </w:r>
      <w:r>
        <w:t xml:space="preserve"> Постановление Правительства Приморского края от 05.09.2024 № 631-пп "О внесении изменений в постановление Правительства Приморского края от 5 июня 2023 года № 370-пп "Об утверждении Порядка предоставления ежемесячной денежной выплаты педагогическим работникам по итогам прохождения добровольного тестирования в форме единого государственного экзамена".</w:t>
      </w:r>
    </w:p>
  </w:footnote>
  <w:footnote w:id="33">
    <w:p w14:paraId="486B87E3" w14:textId="77777777" w:rsidR="00F62D77" w:rsidRPr="0072325C" w:rsidRDefault="00F62D77" w:rsidP="007B79AB">
      <w:pPr>
        <w:pStyle w:val="a6"/>
        <w:ind w:firstLine="142"/>
        <w:jc w:val="both"/>
      </w:pPr>
      <w:r>
        <w:rPr>
          <w:rStyle w:val="a8"/>
        </w:rPr>
        <w:footnoteRef/>
      </w:r>
      <w:r>
        <w:t xml:space="preserve"> </w:t>
      </w:r>
      <w:r w:rsidRPr="0072325C">
        <w:t>Бюджетные ассигнования на реализацию данного КПМ в соответствии с распоряжением Правительства Приморского края от 16.08.2023 № 560-рп "О передаче министерству труда и социальной политики отдельных полномочий и функций министерства образования Приморского края" предусмотрены с 2024 года в рамках ГП "Социальная поддержка населения Приморского края".</w:t>
      </w:r>
    </w:p>
  </w:footnote>
  <w:footnote w:id="34">
    <w:p w14:paraId="6048EFE5" w14:textId="77777777" w:rsidR="00F62D77" w:rsidRDefault="00F62D77" w:rsidP="007B79AB">
      <w:pPr>
        <w:pStyle w:val="a6"/>
        <w:ind w:firstLine="142"/>
      </w:pPr>
      <w:r>
        <w:rPr>
          <w:rStyle w:val="a8"/>
        </w:rPr>
        <w:footnoteRef/>
      </w:r>
      <w:r>
        <w:t xml:space="preserve">В 2024 году </w:t>
      </w:r>
      <w:r w:rsidRPr="00525179">
        <w:t>приобретено для детей Приморского края 186546 новогодних подарков</w:t>
      </w:r>
      <w:r>
        <w:t>.</w:t>
      </w:r>
    </w:p>
  </w:footnote>
  <w:footnote w:id="35">
    <w:p w14:paraId="69281BA0" w14:textId="77777777" w:rsidR="00F62D77" w:rsidRDefault="00F62D77" w:rsidP="00A62BA9">
      <w:pPr>
        <w:pStyle w:val="a6"/>
        <w:ind w:firstLine="142"/>
        <w:jc w:val="both"/>
      </w:pPr>
      <w:r>
        <w:rPr>
          <w:rStyle w:val="a8"/>
        </w:rPr>
        <w:footnoteRef/>
      </w:r>
      <w:r>
        <w:t xml:space="preserve">Средства </w:t>
      </w:r>
      <w:r w:rsidRPr="006D3F52">
        <w:t>публично-правовой компании "Фонд развития территорий"</w:t>
      </w:r>
      <w:r>
        <w:t xml:space="preserve"> и </w:t>
      </w:r>
      <w:r w:rsidRPr="00034863">
        <w:t>Фонда поддержки детей, находящихся в трудной жизненной ситуации</w:t>
      </w:r>
      <w:r>
        <w:t>.</w:t>
      </w:r>
    </w:p>
  </w:footnote>
  <w:footnote w:id="36">
    <w:p w14:paraId="42B8B77F" w14:textId="77777777" w:rsidR="00F62D77" w:rsidRDefault="00F62D77" w:rsidP="00A62BA9">
      <w:pPr>
        <w:pStyle w:val="a6"/>
        <w:ind w:firstLine="142"/>
        <w:jc w:val="both"/>
      </w:pPr>
      <w:r>
        <w:rPr>
          <w:rStyle w:val="a8"/>
        </w:rPr>
        <w:footnoteRef/>
      </w:r>
      <w:r>
        <w:t>Соисполнители государственной программы: министерство здравоохранения Приморского края; министерство культуры и архивного дела Приморского края; министерство образования Приморского края;</w:t>
      </w:r>
    </w:p>
    <w:p w14:paraId="43644BF8" w14:textId="77777777" w:rsidR="00F62D77" w:rsidRDefault="00F62D77" w:rsidP="00A62BA9">
      <w:pPr>
        <w:pStyle w:val="a6"/>
        <w:jc w:val="both"/>
      </w:pPr>
      <w:r>
        <w:t>министерство физической культуры и спорта Приморского края; министерство транспорта и дорожного хозяйства Приморского края; министерство имущественных и земельных отношений Приморского края; министерство строительства Приморского края; министерство профессионального образования и занятости населения Приморского края; департамент внутренней политики Приморского края.</w:t>
      </w:r>
    </w:p>
  </w:footnote>
  <w:footnote w:id="37">
    <w:p w14:paraId="79C331D9" w14:textId="77777777" w:rsidR="00F62D77" w:rsidRPr="00E775E7" w:rsidRDefault="00F62D77" w:rsidP="004D312A">
      <w:pPr>
        <w:pStyle w:val="a6"/>
        <w:ind w:firstLine="142"/>
        <w:jc w:val="both"/>
        <w:rPr>
          <w:color w:val="000000" w:themeColor="text1"/>
        </w:rPr>
      </w:pPr>
      <w:r>
        <w:rPr>
          <w:rStyle w:val="a8"/>
        </w:rPr>
        <w:footnoteRef/>
      </w:r>
      <w:r>
        <w:t xml:space="preserve"> П</w:t>
      </w:r>
      <w:r w:rsidRPr="00E775E7">
        <w:rPr>
          <w:rFonts w:eastAsia="Times New Roman"/>
          <w:color w:val="000000" w:themeColor="text1"/>
        </w:rPr>
        <w:t>остановление Администрации Приморского края от 31.07.2017 № 310-па "Об обеспечении бесплатным питанием, бесплатным комплектом одежды, обуви, мягким инвентарем, оборудованием и единовременным денежным пособием отдельных категорий лиц"</w:t>
      </w:r>
      <w:r>
        <w:rPr>
          <w:rFonts w:eastAsia="Times New Roman"/>
          <w:color w:val="000000" w:themeColor="text1"/>
        </w:rPr>
        <w:t>.</w:t>
      </w:r>
    </w:p>
  </w:footnote>
  <w:footnote w:id="38">
    <w:p w14:paraId="505C39FB" w14:textId="77777777" w:rsidR="00F62D77" w:rsidRDefault="00F62D77" w:rsidP="008566E1">
      <w:pPr>
        <w:pStyle w:val="a6"/>
        <w:ind w:firstLine="142"/>
        <w:jc w:val="both"/>
      </w:pPr>
      <w:r w:rsidRPr="000B4F66">
        <w:rPr>
          <w:rStyle w:val="a8"/>
        </w:rPr>
        <w:footnoteRef/>
      </w:r>
      <w:r w:rsidRPr="000B4F66">
        <w:t xml:space="preserve"> </w:t>
      </w:r>
      <w:r w:rsidRPr="000C1CB7">
        <w:t>Паспортом ГП предусматривается достижение целей</w:t>
      </w:r>
      <w:r>
        <w:t>:</w:t>
      </w:r>
      <w:r w:rsidRPr="000C1CB7">
        <w:t xml:space="preserve"> </w:t>
      </w:r>
    </w:p>
    <w:p w14:paraId="7D293E9A" w14:textId="77777777" w:rsidR="00F62D77" w:rsidRDefault="00F62D77" w:rsidP="008566E1">
      <w:pPr>
        <w:pStyle w:val="a6"/>
        <w:ind w:firstLine="142"/>
        <w:jc w:val="both"/>
      </w:pPr>
      <w:r w:rsidRPr="000B4F66">
        <w:t>увеличение числа посещений культурных мероприятий организаций культуры до 42,07 млн единиц в год к концу 2030 года;</w:t>
      </w:r>
    </w:p>
    <w:p w14:paraId="325393C8" w14:textId="77777777" w:rsidR="00F62D77" w:rsidRDefault="00F62D77" w:rsidP="008566E1">
      <w:pPr>
        <w:pStyle w:val="a6"/>
        <w:ind w:firstLine="142"/>
        <w:jc w:val="both"/>
      </w:pPr>
      <w:r w:rsidRPr="000B4F66">
        <w:t xml:space="preserve"> повышение вовлеченности граждан в деятельность сферы культуры, в том числе поддержка к </w:t>
      </w:r>
      <w:r>
        <w:t>2030</w:t>
      </w:r>
      <w:r w:rsidRPr="000B4F66">
        <w:t xml:space="preserve"> год</w:t>
      </w:r>
      <w:r>
        <w:t>у</w:t>
      </w:r>
      <w:r w:rsidRPr="000B4F66">
        <w:t xml:space="preserve"> не менее 120 творческих инициатив и проектов; </w:t>
      </w:r>
    </w:p>
    <w:p w14:paraId="4B59209E" w14:textId="77777777" w:rsidR="00F62D77" w:rsidRDefault="00F62D77" w:rsidP="008566E1">
      <w:pPr>
        <w:pStyle w:val="a6"/>
        <w:ind w:firstLine="142"/>
        <w:jc w:val="both"/>
      </w:pPr>
      <w:r>
        <w:t>п</w:t>
      </w:r>
      <w:r w:rsidRPr="000B4F66">
        <w:t>овышение уровня сохранности объектов культурного наследия и развития инфраструктуры в сфере культуры, в том числе уровня обеспеченности организациями культуры до 90</w:t>
      </w:r>
      <w:r>
        <w:t xml:space="preserve"> </w:t>
      </w:r>
      <w:r w:rsidRPr="000B4F66">
        <w:t xml:space="preserve">% к концу 2030 года; </w:t>
      </w:r>
    </w:p>
    <w:p w14:paraId="354539BF" w14:textId="77777777" w:rsidR="00F62D77" w:rsidRPr="000B4F66" w:rsidRDefault="00F62D77" w:rsidP="008566E1">
      <w:pPr>
        <w:pStyle w:val="a6"/>
        <w:ind w:firstLine="142"/>
        <w:jc w:val="both"/>
      </w:pPr>
      <w:r>
        <w:t>у</w:t>
      </w:r>
      <w:r w:rsidRPr="000B4F66">
        <w:t>величение числа обращений к цифровым ресурсам в сфере культуры до 3,0 миллионов единиц до 2030 года</w:t>
      </w:r>
      <w:r>
        <w:t>.</w:t>
      </w:r>
    </w:p>
  </w:footnote>
  <w:footnote w:id="39">
    <w:p w14:paraId="3BC520E4" w14:textId="77777777" w:rsidR="00F62D77" w:rsidRPr="00072D78" w:rsidRDefault="00F62D77" w:rsidP="00A40258">
      <w:pPr>
        <w:pStyle w:val="a6"/>
        <w:ind w:firstLine="142"/>
        <w:jc w:val="both"/>
      </w:pPr>
      <w:r>
        <w:rPr>
          <w:rStyle w:val="a8"/>
        </w:rPr>
        <w:footnoteRef/>
      </w:r>
      <w:r>
        <w:t xml:space="preserve"> К</w:t>
      </w:r>
      <w:r w:rsidRPr="00072D78">
        <w:t xml:space="preserve">апитальный ремонт 12 учреждений в сфере культуры, а именно: капитальный ремонт дворца культуры </w:t>
      </w:r>
      <w:r>
        <w:t>"</w:t>
      </w:r>
      <w:r w:rsidRPr="00072D78">
        <w:t>Угольщиков</w:t>
      </w:r>
      <w:r>
        <w:t>"</w:t>
      </w:r>
      <w:r w:rsidRPr="00072D78">
        <w:t xml:space="preserve"> Артемовского городского округа</w:t>
      </w:r>
      <w:r>
        <w:t>,</w:t>
      </w:r>
      <w:r w:rsidRPr="00072D78">
        <w:t xml:space="preserve"> дома культуры им. Вс. </w:t>
      </w:r>
      <w:proofErr w:type="spellStart"/>
      <w:r w:rsidRPr="00072D78">
        <w:t>Сибирцева</w:t>
      </w:r>
      <w:proofErr w:type="spellEnd"/>
      <w:r w:rsidRPr="00072D78">
        <w:t xml:space="preserve"> г. Дальнереченск</w:t>
      </w:r>
      <w:r>
        <w:t>,</w:t>
      </w:r>
      <w:r w:rsidRPr="00072D78">
        <w:t xml:space="preserve"> киноконцертного зала </w:t>
      </w:r>
      <w:r>
        <w:t>"</w:t>
      </w:r>
      <w:r w:rsidRPr="00072D78">
        <w:t>Россия</w:t>
      </w:r>
      <w:r>
        <w:t>"</w:t>
      </w:r>
      <w:r w:rsidRPr="00072D78">
        <w:t xml:space="preserve"> Кавалеровского муниципального округа; дома культуры с. Михайловка; дома культуры </w:t>
      </w:r>
      <w:r>
        <w:t>"</w:t>
      </w:r>
      <w:r w:rsidRPr="00072D78">
        <w:t>Бриз</w:t>
      </w:r>
      <w:r>
        <w:t>"</w:t>
      </w:r>
      <w:r w:rsidRPr="00072D78">
        <w:t xml:space="preserve"> </w:t>
      </w:r>
      <w:proofErr w:type="spellStart"/>
      <w:r w:rsidRPr="00072D78">
        <w:t>Дальнегорского</w:t>
      </w:r>
      <w:proofErr w:type="spellEnd"/>
      <w:r w:rsidRPr="00072D78">
        <w:t xml:space="preserve"> городского округа</w:t>
      </w:r>
      <w:r>
        <w:t>,</w:t>
      </w:r>
      <w:r w:rsidRPr="00072D78">
        <w:t xml:space="preserve"> МАУК </w:t>
      </w:r>
      <w:r>
        <w:t>"</w:t>
      </w:r>
      <w:r w:rsidRPr="00072D78">
        <w:t>Международный морской клуб</w:t>
      </w:r>
      <w:r>
        <w:t>" г. Находка,</w:t>
      </w:r>
      <w:r w:rsidRPr="00072D78">
        <w:t xml:space="preserve"> МАУК </w:t>
      </w:r>
      <w:r>
        <w:t>"</w:t>
      </w:r>
      <w:r w:rsidRPr="00072D78">
        <w:t>Центр культуры</w:t>
      </w:r>
      <w:r>
        <w:t>"</w:t>
      </w:r>
      <w:r w:rsidRPr="00072D78">
        <w:t xml:space="preserve"> г. Находка</w:t>
      </w:r>
      <w:r>
        <w:t xml:space="preserve">, </w:t>
      </w:r>
      <w:r w:rsidRPr="00072D78">
        <w:t>библиотек №№ 4,15 г. Находка</w:t>
      </w:r>
      <w:r>
        <w:t>,</w:t>
      </w:r>
      <w:r w:rsidRPr="00072D78">
        <w:t xml:space="preserve"> ДШИ с. Анучино</w:t>
      </w:r>
      <w:r>
        <w:t>,</w:t>
      </w:r>
      <w:r w:rsidRPr="00072D78">
        <w:t xml:space="preserve"> детской художественной школы № 4 Владивостокского городского округа</w:t>
      </w:r>
      <w:r>
        <w:t>,</w:t>
      </w:r>
      <w:r w:rsidRPr="00072D78">
        <w:t xml:space="preserve"> библиотеки №</w:t>
      </w:r>
      <w:r>
        <w:t xml:space="preserve"> </w:t>
      </w:r>
      <w:r w:rsidRPr="00072D78">
        <w:t>5 г. Уссурийск.</w:t>
      </w:r>
    </w:p>
  </w:footnote>
  <w:footnote w:id="40">
    <w:p w14:paraId="148B8FC4" w14:textId="77777777" w:rsidR="00F62D77" w:rsidRPr="00C4740C" w:rsidRDefault="00F62D77" w:rsidP="00671E90">
      <w:pPr>
        <w:pStyle w:val="a6"/>
        <w:ind w:firstLine="142"/>
        <w:jc w:val="both"/>
      </w:pPr>
      <w:r>
        <w:rPr>
          <w:rStyle w:val="a8"/>
        </w:rPr>
        <w:footnoteRef/>
      </w:r>
      <w:r>
        <w:t xml:space="preserve"> </w:t>
      </w:r>
      <w:r w:rsidRPr="00C4740C">
        <w:rPr>
          <w:rFonts w:eastAsia="Times New Roman"/>
        </w:rPr>
        <w:t>ГБУК "Приморская краевая публичная библиотека им. А.М. Горького"</w:t>
      </w:r>
      <w:r w:rsidRPr="00C4740C">
        <w:t xml:space="preserve">, </w:t>
      </w:r>
      <w:r w:rsidRPr="00C4740C">
        <w:rPr>
          <w:rFonts w:eastAsia="Times New Roman"/>
        </w:rPr>
        <w:t>ГАУК "Приморский академический краевой драматический театр имени М. Горького", ГАУК "Приморская государственная картинная галерея"</w:t>
      </w:r>
      <w:r w:rsidRPr="00C4740C">
        <w:t xml:space="preserve">, </w:t>
      </w:r>
      <w:r w:rsidRPr="00C4740C">
        <w:rPr>
          <w:rFonts w:eastAsia="Times New Roman"/>
        </w:rPr>
        <w:t>ГАУК "Приморская краевая филармония"</w:t>
      </w:r>
      <w:r>
        <w:rPr>
          <w:rFonts w:eastAsia="Times New Roman"/>
        </w:rPr>
        <w:t xml:space="preserve">, </w:t>
      </w:r>
      <w:r w:rsidRPr="00C4740C">
        <w:rPr>
          <w:rFonts w:eastAsia="Times New Roman"/>
        </w:rPr>
        <w:t>ГАУК "Приморский краевой драматический театр молодежи"</w:t>
      </w:r>
      <w:r>
        <w:rPr>
          <w:rFonts w:eastAsia="Times New Roman"/>
        </w:rPr>
        <w:t>, ГАУК "Приморский краевой театр кукол".</w:t>
      </w:r>
    </w:p>
  </w:footnote>
  <w:footnote w:id="41">
    <w:p w14:paraId="491709E0" w14:textId="77777777" w:rsidR="00F62D77" w:rsidRDefault="00F62D77" w:rsidP="00671E90">
      <w:pPr>
        <w:pStyle w:val="a6"/>
        <w:ind w:firstLine="142"/>
        <w:jc w:val="both"/>
      </w:pPr>
      <w:r>
        <w:rPr>
          <w:rStyle w:val="a8"/>
        </w:rPr>
        <w:footnoteRef/>
      </w:r>
      <w:r>
        <w:t xml:space="preserve"> </w:t>
      </w:r>
      <w:r w:rsidRPr="00756C6C">
        <w:t>ГБУК "Приморская краевая публичная библиотека им. А.М. Горького", ГАУК "Приморский академический краевой драматический театр имени М. Горького",</w:t>
      </w:r>
    </w:p>
  </w:footnote>
  <w:footnote w:id="42">
    <w:p w14:paraId="13E2AEA5" w14:textId="77777777" w:rsidR="00F62D77" w:rsidRPr="00A17A7F" w:rsidRDefault="00F62D77" w:rsidP="008566E1">
      <w:pPr>
        <w:pStyle w:val="a6"/>
        <w:ind w:firstLine="142"/>
        <w:jc w:val="both"/>
        <w:rPr>
          <w:szCs w:val="24"/>
        </w:rPr>
      </w:pPr>
      <w:r w:rsidRPr="00A17A7F">
        <w:rPr>
          <w:rStyle w:val="a8"/>
          <w:szCs w:val="24"/>
        </w:rPr>
        <w:footnoteRef/>
      </w:r>
      <w:r w:rsidRPr="00A17A7F">
        <w:rPr>
          <w:szCs w:val="24"/>
        </w:rPr>
        <w:t xml:space="preserve"> В соответствии с договором аренды от </w:t>
      </w:r>
      <w:r>
        <w:rPr>
          <w:szCs w:val="24"/>
        </w:rPr>
        <w:t>22.01.2024</w:t>
      </w:r>
      <w:r w:rsidRPr="00A17A7F">
        <w:rPr>
          <w:szCs w:val="24"/>
        </w:rPr>
        <w:t xml:space="preserve"> № БГ </w:t>
      </w:r>
      <w:r>
        <w:rPr>
          <w:szCs w:val="24"/>
        </w:rPr>
        <w:t>12-23</w:t>
      </w:r>
      <w:r w:rsidRPr="00A17A7F">
        <w:rPr>
          <w:szCs w:val="24"/>
        </w:rPr>
        <w:t>.</w:t>
      </w:r>
    </w:p>
  </w:footnote>
  <w:footnote w:id="43">
    <w:p w14:paraId="7A52A25D" w14:textId="77777777" w:rsidR="00F62D77" w:rsidRPr="00BD6626" w:rsidRDefault="00F62D77" w:rsidP="008566E1">
      <w:pPr>
        <w:autoSpaceDE w:val="0"/>
        <w:autoSpaceDN w:val="0"/>
        <w:adjustRightInd w:val="0"/>
        <w:spacing w:after="0" w:line="240" w:lineRule="auto"/>
        <w:ind w:firstLine="142"/>
        <w:jc w:val="both"/>
        <w:rPr>
          <w:rFonts w:ascii="Times New Roman" w:hAnsi="Times New Roman" w:cs="Times New Roman"/>
        </w:rPr>
      </w:pPr>
      <w:r w:rsidRPr="00BD6626">
        <w:rPr>
          <w:rStyle w:val="a8"/>
        </w:rPr>
        <w:footnoteRef/>
      </w:r>
      <w:r w:rsidRPr="00BD6626">
        <w:rPr>
          <w:rFonts w:ascii="Times New Roman" w:hAnsi="Times New Roman" w:cs="Times New Roman"/>
          <w:sz w:val="20"/>
          <w:szCs w:val="20"/>
        </w:rPr>
        <w:t xml:space="preserve"> 10000,0 рублей предоставляется молодому специалисту до достижения трехлетнего педагогического стажа работы в образовательной организации, компенсации расходов за наем (поднаем) жилого помещения в размере 50 процентов фактических расходов по договору найма (поднайма) жилого помещения; 5000,0 рублей в месяц в течение одного года предоставляется наставнику </w:t>
      </w:r>
      <w:r>
        <w:rPr>
          <w:rFonts w:ascii="Times New Roman" w:hAnsi="Times New Roman" w:cs="Times New Roman"/>
          <w:sz w:val="20"/>
          <w:szCs w:val="20"/>
        </w:rPr>
        <w:t>–</w:t>
      </w:r>
      <w:r w:rsidRPr="00BD6626">
        <w:rPr>
          <w:rFonts w:ascii="Times New Roman" w:hAnsi="Times New Roman" w:cs="Times New Roman"/>
          <w:sz w:val="20"/>
          <w:szCs w:val="20"/>
        </w:rPr>
        <w:t xml:space="preserve"> высококвалифицированному педагогическому работнику, назначенному распорядительным документом руководителя образовательной организации для сопровождения профессиональной деятельности молодого специалиста в соответствии с утвержденным индивидуальным планом адаптации в первый год его работы в образовательной организации.</w:t>
      </w:r>
    </w:p>
  </w:footnote>
  <w:footnote w:id="44">
    <w:p w14:paraId="4F2BD35A" w14:textId="77777777" w:rsidR="00F62D77" w:rsidRPr="00E775E7" w:rsidRDefault="00F62D77" w:rsidP="008566E1">
      <w:pPr>
        <w:pStyle w:val="a6"/>
        <w:ind w:firstLine="142"/>
        <w:jc w:val="both"/>
        <w:rPr>
          <w:color w:val="000000" w:themeColor="text1"/>
        </w:rPr>
      </w:pPr>
      <w:r>
        <w:rPr>
          <w:rStyle w:val="a8"/>
        </w:rPr>
        <w:footnoteRef/>
      </w:r>
      <w:r>
        <w:t xml:space="preserve"> </w:t>
      </w:r>
      <w:r w:rsidRPr="00E775E7">
        <w:rPr>
          <w:color w:val="000000" w:themeColor="text1"/>
        </w:rPr>
        <w:t>П</w:t>
      </w:r>
      <w:r w:rsidRPr="00E775E7">
        <w:rPr>
          <w:rFonts w:eastAsia="Times New Roman"/>
          <w:color w:val="000000" w:themeColor="text1"/>
        </w:rPr>
        <w:t xml:space="preserve">остановление Правительства Приморского края от </w:t>
      </w:r>
      <w:r>
        <w:rPr>
          <w:rFonts w:eastAsia="Times New Roman"/>
          <w:color w:val="000000" w:themeColor="text1"/>
        </w:rPr>
        <w:t>27.09.2022</w:t>
      </w:r>
      <w:r w:rsidRPr="00E775E7">
        <w:rPr>
          <w:rFonts w:eastAsia="Times New Roman"/>
          <w:color w:val="000000" w:themeColor="text1"/>
        </w:rPr>
        <w:t xml:space="preserve"> № </w:t>
      </w:r>
      <w:r>
        <w:rPr>
          <w:rFonts w:eastAsia="Times New Roman"/>
          <w:color w:val="000000" w:themeColor="text1"/>
        </w:rPr>
        <w:t>655</w:t>
      </w:r>
      <w:r w:rsidRPr="00E775E7">
        <w:rPr>
          <w:rFonts w:eastAsia="Times New Roman"/>
          <w:color w:val="000000" w:themeColor="text1"/>
        </w:rPr>
        <w:t>-пп "О внесении изменений в постановление Администрации Приморского края от 31.07.2017 № 310-па "Об обеспечении бесплатным питанием, бесплатным комплектом одежды, обуви, мягким инвентарем, оборудованием и единовременным денежным пособием отдельных категорий лиц"</w:t>
      </w:r>
      <w:r>
        <w:rPr>
          <w:rFonts w:eastAsia="Times New Roman"/>
          <w:color w:val="000000" w:themeColor="text1"/>
        </w:rPr>
        <w:t>.</w:t>
      </w:r>
    </w:p>
  </w:footnote>
  <w:footnote w:id="45">
    <w:p w14:paraId="5F58106A" w14:textId="77777777" w:rsidR="00F62D77" w:rsidRPr="003C1197" w:rsidRDefault="00F62D77" w:rsidP="008566E1">
      <w:pPr>
        <w:autoSpaceDE w:val="0"/>
        <w:autoSpaceDN w:val="0"/>
        <w:adjustRightInd w:val="0"/>
        <w:spacing w:after="0" w:line="240" w:lineRule="auto"/>
        <w:ind w:firstLine="142"/>
        <w:jc w:val="both"/>
        <w:rPr>
          <w:rFonts w:ascii="Times New Roman" w:hAnsi="Times New Roman" w:cs="Times New Roman"/>
          <w:sz w:val="20"/>
          <w:szCs w:val="20"/>
        </w:rPr>
      </w:pPr>
      <w:r w:rsidRPr="003926B4">
        <w:rPr>
          <w:rStyle w:val="a8"/>
          <w:rFonts w:ascii="Times New Roman" w:hAnsi="Times New Roman"/>
        </w:rPr>
        <w:footnoteRef/>
      </w:r>
      <w:r w:rsidRPr="003926B4">
        <w:rPr>
          <w:rFonts w:ascii="Times New Roman" w:hAnsi="Times New Roman" w:cs="Times New Roman"/>
          <w:sz w:val="20"/>
          <w:szCs w:val="20"/>
        </w:rPr>
        <w:t xml:space="preserve"> П</w:t>
      </w:r>
      <w:r w:rsidRPr="003C1197">
        <w:rPr>
          <w:rFonts w:ascii="Times New Roman" w:hAnsi="Times New Roman" w:cs="Times New Roman"/>
          <w:sz w:val="20"/>
          <w:szCs w:val="20"/>
        </w:rPr>
        <w:t>остановление Правительства Приморского края от 02.02.2021 № 34-пп "Об утверждении Порядка определения объема и условий предоставления субсидий из краевого бюджета краевым государственным бюджетным и автономным учреждениям, в отношении которых функции и полномочия учредителя осуществляет министерство культуры и архивного дела Приморского края, на иные цели, не связанные с финансовым обеспечением выполнения государственного задания"</w:t>
      </w:r>
      <w:r>
        <w:rPr>
          <w:rFonts w:ascii="Times New Roman" w:hAnsi="Times New Roman" w:cs="Times New Roman"/>
          <w:sz w:val="20"/>
          <w:szCs w:val="20"/>
        </w:rPr>
        <w:t>.</w:t>
      </w:r>
      <w:r w:rsidRPr="003C1197">
        <w:rPr>
          <w:rFonts w:ascii="Times New Roman" w:hAnsi="Times New Roman" w:cs="Times New Roman"/>
          <w:sz w:val="20"/>
          <w:szCs w:val="20"/>
        </w:rPr>
        <w:t xml:space="preserve"> </w:t>
      </w:r>
    </w:p>
  </w:footnote>
  <w:footnote w:id="46">
    <w:p w14:paraId="507AA1DA" w14:textId="77777777" w:rsidR="00F62D77" w:rsidRPr="001470AF" w:rsidRDefault="00F62D77" w:rsidP="00B124B6">
      <w:pPr>
        <w:autoSpaceDE w:val="0"/>
        <w:autoSpaceDN w:val="0"/>
        <w:adjustRightInd w:val="0"/>
        <w:spacing w:after="0" w:line="240" w:lineRule="auto"/>
        <w:ind w:firstLine="142"/>
        <w:jc w:val="both"/>
        <w:rPr>
          <w:rFonts w:ascii="Times New Roman" w:hAnsi="Times New Roman" w:cs="Times New Roman"/>
          <w:sz w:val="20"/>
          <w:szCs w:val="20"/>
        </w:rPr>
      </w:pPr>
      <w:r w:rsidRPr="001470AF">
        <w:rPr>
          <w:rStyle w:val="a8"/>
          <w:rFonts w:ascii="Times New Roman" w:hAnsi="Times New Roman"/>
        </w:rPr>
        <w:footnoteRef/>
      </w:r>
      <w:r w:rsidRPr="001470AF">
        <w:rPr>
          <w:rFonts w:ascii="Times New Roman" w:hAnsi="Times New Roman" w:cs="Times New Roman"/>
          <w:sz w:val="20"/>
          <w:szCs w:val="20"/>
        </w:rPr>
        <w:t xml:space="preserve"> Доля объектов культурного наследия федерального значения, в отношении которых были осуществлены плановые мероприятия по контролю их состояния, в общем числе объектов культурного наследия федерального значения, установлено на 2024 год – 20 %.</w:t>
      </w:r>
    </w:p>
  </w:footnote>
  <w:footnote w:id="47">
    <w:p w14:paraId="0B9FFEE4" w14:textId="77777777" w:rsidR="00F62D77" w:rsidRDefault="00F62D77" w:rsidP="008C0854">
      <w:pPr>
        <w:pStyle w:val="a6"/>
        <w:ind w:firstLine="142"/>
      </w:pPr>
      <w:r>
        <w:rPr>
          <w:rStyle w:val="a8"/>
        </w:rPr>
        <w:footnoteRef/>
      </w:r>
      <w:r>
        <w:t xml:space="preserve"> Р</w:t>
      </w:r>
      <w:r>
        <w:rPr>
          <w:color w:val="000000"/>
        </w:rPr>
        <w:t>азрешение на ввод объекта в эксплуатацию от 09.04.2024 № 25-28-20-2024.</w:t>
      </w:r>
    </w:p>
  </w:footnote>
  <w:footnote w:id="48">
    <w:p w14:paraId="14022A60" w14:textId="77777777" w:rsidR="00F62D77" w:rsidRDefault="00F62D77" w:rsidP="008C0854">
      <w:pPr>
        <w:pStyle w:val="Default"/>
        <w:tabs>
          <w:tab w:val="left" w:pos="0"/>
        </w:tabs>
        <w:ind w:firstLine="142"/>
        <w:jc w:val="both"/>
        <w:rPr>
          <w:sz w:val="20"/>
          <w:szCs w:val="20"/>
        </w:rPr>
      </w:pPr>
      <w:r>
        <w:rPr>
          <w:rStyle w:val="a8"/>
          <w:sz w:val="20"/>
          <w:szCs w:val="20"/>
        </w:rPr>
        <w:footnoteRef/>
      </w:r>
      <w:r>
        <w:rPr>
          <w:sz w:val="20"/>
          <w:szCs w:val="20"/>
        </w:rPr>
        <w:t xml:space="preserve"> 7 МКД (756 квартир) в Большом Камне для работников ССК "Звезда", 4 МКД (228 квартир) в Уссурийске, микрорайон "Радужный", 1 МКД (72 квартиры) во Владивостоке, ул. Спиридонова, 11, 1 МКД (47 квартир) в Хорольском МО, 1 МКД (62 квартиры) в Большом Камне для работников бюджетной сферы, 2 МКД (440 квартир) в г. Находка, ул. Добролюбова, 26, 2 МКД (40 квартир) в </w:t>
      </w:r>
      <w:proofErr w:type="spellStart"/>
      <w:r>
        <w:rPr>
          <w:sz w:val="20"/>
          <w:szCs w:val="20"/>
        </w:rPr>
        <w:t>Ханкайском</w:t>
      </w:r>
      <w:proofErr w:type="spellEnd"/>
      <w:r>
        <w:rPr>
          <w:sz w:val="20"/>
          <w:szCs w:val="20"/>
        </w:rPr>
        <w:t xml:space="preserve"> МО, 1 МКД (439 квартир) Владивосток, ул. Тополевая, 30.</w:t>
      </w:r>
    </w:p>
  </w:footnote>
  <w:footnote w:id="49">
    <w:p w14:paraId="32206B89" w14:textId="77777777" w:rsidR="00F62D77" w:rsidRDefault="00F62D77" w:rsidP="008C0854">
      <w:pPr>
        <w:pStyle w:val="a6"/>
        <w:ind w:firstLine="142"/>
        <w:jc w:val="both"/>
      </w:pPr>
      <w:r>
        <w:rPr>
          <w:rStyle w:val="a8"/>
        </w:rPr>
        <w:footnoteRef/>
      </w:r>
      <w:r>
        <w:t xml:space="preserve">1 МКД в г. Арсеньев (220 квартир для сотрудников завода ААК "Прогресс"), 3 МКД в г. Артеме (225 квартир), (209 квартир в г. Владивостоке по адресу: ул. Снеговая, 9, с. Чугуевка, ул. Комарова, д.10, г. Дальнегорск, ул. </w:t>
      </w:r>
      <w:proofErr w:type="spellStart"/>
      <w:r>
        <w:t>Хамзина</w:t>
      </w:r>
      <w:proofErr w:type="spellEnd"/>
      <w:r>
        <w:t>, 5б, с. Яковлевка, ул. Центральная, д.20).</w:t>
      </w:r>
    </w:p>
  </w:footnote>
  <w:footnote w:id="50">
    <w:p w14:paraId="20CA2543" w14:textId="77777777" w:rsidR="00F62D77" w:rsidRDefault="00F62D77" w:rsidP="008C0854">
      <w:pPr>
        <w:pStyle w:val="a6"/>
        <w:ind w:firstLine="142"/>
        <w:jc w:val="both"/>
      </w:pPr>
      <w:r>
        <w:rPr>
          <w:rStyle w:val="a8"/>
        </w:rPr>
        <w:footnoteRef/>
      </w:r>
      <w:r>
        <w:t xml:space="preserve"> Постановление Правительства Приморского края от 15.11.2024 № 782-пп "О мерах по реализации постановления Правительства РФ от 15.04.2014 № 308 "Об утверждении государственной программы Российской Федерации "Социально-экономическое развитие Дальневосточного федерального округа".</w:t>
      </w:r>
    </w:p>
  </w:footnote>
  <w:footnote w:id="51">
    <w:p w14:paraId="0604418D" w14:textId="77777777" w:rsidR="00F62D77" w:rsidRDefault="00F62D77" w:rsidP="00E0556A">
      <w:pPr>
        <w:spacing w:after="0" w:line="240" w:lineRule="auto"/>
        <w:ind w:firstLine="142"/>
        <w:jc w:val="both"/>
        <w:rPr>
          <w:rFonts w:ascii="Times New Roman" w:hAnsi="Times New Roman" w:cs="Times New Roman"/>
          <w:sz w:val="20"/>
          <w:szCs w:val="20"/>
        </w:rPr>
      </w:pPr>
      <w:r>
        <w:rPr>
          <w:rStyle w:val="a8"/>
          <w:rFonts w:ascii="Times New Roman" w:hAnsi="Times New Roman"/>
          <w:sz w:val="20"/>
          <w:szCs w:val="20"/>
        </w:rPr>
        <w:footnoteRef/>
      </w:r>
      <w:r>
        <w:rPr>
          <w:rFonts w:ascii="Times New Roman" w:hAnsi="Times New Roman" w:cs="Times New Roman"/>
          <w:sz w:val="20"/>
          <w:szCs w:val="20"/>
        </w:rPr>
        <w:t>По информации министерства строительства Приморского края, результатами предоставления субсидии являются: площадь введенных в эксплуатацию жилых и нежилых помещений в проблемных объектах – 8257,20 кв. м, количество объектов долевого строительства, по которым осуществляется завершение строительства на основании договоров, заключенных со специализированной организацией – 9 ед., количество граждан, обеспеченных жильем в проблемных объектах – 85 ед.</w:t>
      </w:r>
    </w:p>
  </w:footnote>
  <w:footnote w:id="52">
    <w:p w14:paraId="6C537944" w14:textId="77777777" w:rsidR="00F62D77" w:rsidRDefault="00F62D77" w:rsidP="00E0556A">
      <w:pPr>
        <w:pStyle w:val="a6"/>
        <w:ind w:firstLine="142"/>
        <w:jc w:val="both"/>
      </w:pPr>
      <w:r>
        <w:rPr>
          <w:rStyle w:val="a8"/>
        </w:rPr>
        <w:footnoteRef/>
      </w:r>
      <w:r>
        <w:t xml:space="preserve"> </w:t>
      </w:r>
      <w:r>
        <w:rPr>
          <w:color w:val="000000"/>
        </w:rPr>
        <w:t xml:space="preserve">В разрешение на строительство внесены изменения, срок ввода объекта в эксплуатацию в части </w:t>
      </w:r>
      <w:proofErr w:type="spellStart"/>
      <w:r>
        <w:rPr>
          <w:color w:val="000000"/>
        </w:rPr>
        <w:t>стилобатной</w:t>
      </w:r>
      <w:proofErr w:type="spellEnd"/>
      <w:r>
        <w:rPr>
          <w:color w:val="000000"/>
        </w:rPr>
        <w:t xml:space="preserve"> части, благоустройства придомовой территории продлен до сентября 2025 года.</w:t>
      </w:r>
    </w:p>
  </w:footnote>
  <w:footnote w:id="53">
    <w:p w14:paraId="596004A3" w14:textId="77777777" w:rsidR="00F62D77" w:rsidRDefault="00F62D77" w:rsidP="00E0556A">
      <w:pPr>
        <w:pStyle w:val="a6"/>
        <w:snapToGrid w:val="0"/>
        <w:ind w:firstLine="142"/>
        <w:rPr>
          <w:iCs/>
        </w:rPr>
      </w:pPr>
      <w:r>
        <w:rPr>
          <w:rStyle w:val="a8"/>
        </w:rPr>
        <w:footnoteRef/>
      </w:r>
      <w:r>
        <w:t xml:space="preserve"> </w:t>
      </w:r>
      <w:r>
        <w:rPr>
          <w:iCs/>
        </w:rPr>
        <w:t>Соглашение от 14.12.2020 № ФЗП-28/1203-20, дополнительное соглашение от 15.09.2023 № 8;</w:t>
      </w:r>
    </w:p>
  </w:footnote>
  <w:footnote w:id="54">
    <w:p w14:paraId="539EC073" w14:textId="77777777" w:rsidR="00F62D77" w:rsidRPr="00AB4BD9" w:rsidRDefault="00F62D77" w:rsidP="00AB4BD9">
      <w:pPr>
        <w:spacing w:after="0" w:line="240" w:lineRule="auto"/>
        <w:ind w:firstLine="142"/>
        <w:jc w:val="both"/>
        <w:rPr>
          <w:rFonts w:ascii="Times New Roman" w:hAnsi="Times New Roman" w:cs="Times New Roman"/>
          <w:sz w:val="20"/>
          <w:szCs w:val="20"/>
        </w:rPr>
      </w:pPr>
      <w:r w:rsidRPr="00AB4BD9">
        <w:rPr>
          <w:rStyle w:val="a8"/>
          <w:rFonts w:ascii="Times New Roman" w:hAnsi="Times New Roman"/>
          <w:sz w:val="20"/>
          <w:szCs w:val="20"/>
        </w:rPr>
        <w:footnoteRef/>
      </w:r>
      <w:r w:rsidRPr="00AB4BD9">
        <w:rPr>
          <w:rFonts w:ascii="Times New Roman" w:hAnsi="Times New Roman" w:cs="Times New Roman"/>
          <w:sz w:val="20"/>
          <w:szCs w:val="20"/>
        </w:rPr>
        <w:t xml:space="preserve"> 17-этажный жилой дом со встроенными офисными помещениями в районе ул. Крестьянской в г. Уссурийске; реконструкция жилого дома, расположенного по адресу г. Владивосток, ул. Иртышская, 24; ж</w:t>
      </w:r>
      <w:r w:rsidRPr="00AB4BD9">
        <w:rPr>
          <w:rFonts w:ascii="Times New Roman" w:eastAsia="Calibri" w:hAnsi="Times New Roman" w:cs="Times New Roman"/>
          <w:sz w:val="20"/>
          <w:szCs w:val="20"/>
          <w:lang w:eastAsia="ru-RU"/>
        </w:rPr>
        <w:t>илой комплекс в микрорайоне № 80, 2 этап Блок-секции 6Б-1, кирпичные вставки ВИ-Б1, расположенные по адресу: Приморский край, г. Владивосток, ул. Пихтовая, 35.</w:t>
      </w:r>
    </w:p>
  </w:footnote>
  <w:footnote w:id="55">
    <w:p w14:paraId="0C49D073" w14:textId="77777777" w:rsidR="00F62D77" w:rsidRPr="00AB4BD9" w:rsidRDefault="00F62D77" w:rsidP="00AB4BD9">
      <w:pPr>
        <w:pStyle w:val="a6"/>
        <w:ind w:firstLine="142"/>
      </w:pPr>
      <w:r w:rsidRPr="00AB4BD9">
        <w:rPr>
          <w:rStyle w:val="a8"/>
        </w:rPr>
        <w:footnoteRef/>
      </w:r>
      <w:r w:rsidRPr="00AB4BD9">
        <w:t xml:space="preserve"> </w:t>
      </w:r>
      <w:r>
        <w:t>Г</w:t>
      </w:r>
      <w:r w:rsidRPr="00AB4BD9">
        <w:t xml:space="preserve">. Владивосток ул. Иртышская, 26 (застройщик ООО </w:t>
      </w:r>
      <w:r>
        <w:t>"</w:t>
      </w:r>
      <w:r w:rsidRPr="00AB4BD9">
        <w:t>ЖСК-Приморье</w:t>
      </w:r>
      <w:r>
        <w:t>"</w:t>
      </w:r>
      <w:r w:rsidRPr="00AB4BD9">
        <w:t xml:space="preserve">) в полном объеме </w:t>
      </w:r>
      <w:r>
        <w:t>–</w:t>
      </w:r>
      <w:r w:rsidRPr="00AB4BD9">
        <w:t xml:space="preserve"> 30 граждан; г. Владивосток ул. Пихтовая, 35 (2 этап) </w:t>
      </w:r>
      <w:r>
        <w:t>–</w:t>
      </w:r>
      <w:r w:rsidRPr="00AB4BD9">
        <w:t xml:space="preserve"> 31 участнику из 40 (застройщик ПК </w:t>
      </w:r>
      <w:r>
        <w:t>"</w:t>
      </w:r>
      <w:r w:rsidRPr="00AB4BD9">
        <w:t>ЖСК № 88</w:t>
      </w:r>
      <w:r>
        <w:t>"</w:t>
      </w:r>
      <w:r w:rsidRPr="00AB4BD9">
        <w:t>);</w:t>
      </w:r>
    </w:p>
  </w:footnote>
  <w:footnote w:id="56">
    <w:p w14:paraId="06CE88FF" w14:textId="77777777" w:rsidR="00F62D77" w:rsidRPr="00AB4BD9" w:rsidRDefault="00F62D77" w:rsidP="00AB4BD9">
      <w:pPr>
        <w:pStyle w:val="a6"/>
        <w:ind w:firstLine="142"/>
        <w:jc w:val="both"/>
      </w:pPr>
      <w:r w:rsidRPr="00AB4BD9">
        <w:rPr>
          <w:rStyle w:val="a8"/>
        </w:rPr>
        <w:footnoteRef/>
      </w:r>
      <w:r w:rsidRPr="00AB4BD9">
        <w:t xml:space="preserve"> Постановление Правительства Приморского края от 10.12.2021 № 792-пп "Об инфраструктурных проектах Приморского края, отобранных в соответствии с Постановлением Правительства Российской Федерации от 14 июля 2021 года № 1189 "Об утверждении Правил отбора инфраструктурных проектов, источником финансового обеспечения расходов на реализацию которых являются бюджетные кредиты из федерального бюджета бюджетам субъектов Российской Федерации на финансовое обеспечение реализации инфраструктурных проектов, и о внесении изменений в Положение о Правительственной комиссии по региональному развитию в Российской Федерации".</w:t>
      </w:r>
    </w:p>
  </w:footnote>
  <w:footnote w:id="57">
    <w:p w14:paraId="3C6A6179" w14:textId="77777777" w:rsidR="00F62D77" w:rsidRPr="00AB4BD9" w:rsidRDefault="00F62D77" w:rsidP="00AB4BD9">
      <w:pPr>
        <w:pStyle w:val="a6"/>
        <w:ind w:firstLine="142"/>
        <w:jc w:val="both"/>
      </w:pPr>
      <w:r w:rsidRPr="00AB4BD9">
        <w:rPr>
          <w:rStyle w:val="a8"/>
        </w:rPr>
        <w:footnoteRef/>
      </w:r>
      <w:r w:rsidRPr="00AB4BD9">
        <w:t xml:space="preserve"> </w:t>
      </w:r>
      <w:r w:rsidRPr="00AB4BD9">
        <w:rPr>
          <w:iCs/>
          <w:shd w:val="clear" w:color="auto" w:fill="FFFFFF"/>
        </w:rPr>
        <w:t xml:space="preserve">Бюджетные средства направлены </w:t>
      </w:r>
      <w:r w:rsidRPr="00AB4BD9">
        <w:t>в соответствии с постановлением Правительства Приморского края от 30.05.2022 № 366-пп "Об утверждении Порядка предоставления из краевого бюджета субсидий юридическим лицам на финансовое обеспечение затрат, связанных с технологическим присоединением к сетям инженерно-технического обеспечения в рамках реализации инфраструктурных проектов Приморского края за счет бюджетных кредитов из федерального бюджета"</w:t>
      </w:r>
      <w:r w:rsidRPr="00AB4BD9">
        <w:rPr>
          <w:iCs/>
          <w:shd w:val="clear" w:color="auto" w:fill="FFFFFF"/>
        </w:rPr>
        <w:t>,</w:t>
      </w:r>
      <w:r w:rsidRPr="00AB4BD9">
        <w:rPr>
          <w:rFonts w:eastAsia="SimSun"/>
          <w:iCs/>
        </w:rPr>
        <w:t xml:space="preserve"> в рамках постановления Правительства Приморского края от 10.12.2021 № 792-пп </w:t>
      </w:r>
      <w:r w:rsidRPr="00AB4BD9">
        <w:t>"Об инфраструктурных проектах Приморского края, отобранных в соответствии с Постановлением Правительства Российской Федерации от 14.07.2021 № 1189 "Об утверждении Правил отбора инфраструктурных проектов, источником финансового обеспечения расходов на реализацию которых являются бюджетные кредиты из федерального бюджета бюджетам субъектов Российской Федерации на финансовое обеспечение реализации инфраструктурных проектов, и о внесении изменений в Положение о Правительственной комиссии по региональному развитию в Российской Федерации".</w:t>
      </w:r>
    </w:p>
  </w:footnote>
  <w:footnote w:id="58">
    <w:p w14:paraId="582A39B2" w14:textId="77777777" w:rsidR="00F62D77" w:rsidRDefault="00F62D77" w:rsidP="00AB4BD9">
      <w:pPr>
        <w:spacing w:after="0" w:line="240" w:lineRule="auto"/>
        <w:ind w:firstLine="142"/>
        <w:jc w:val="both"/>
      </w:pPr>
      <w:r w:rsidRPr="00AB4BD9">
        <w:rPr>
          <w:rStyle w:val="a8"/>
          <w:rFonts w:ascii="Times New Roman" w:hAnsi="Times New Roman"/>
          <w:sz w:val="20"/>
          <w:szCs w:val="20"/>
        </w:rPr>
        <w:footnoteRef/>
      </w:r>
      <w:r w:rsidRPr="00AB4BD9">
        <w:rPr>
          <w:rFonts w:ascii="Times New Roman" w:hAnsi="Times New Roman" w:cs="Times New Roman"/>
          <w:sz w:val="20"/>
          <w:szCs w:val="20"/>
        </w:rPr>
        <w:t xml:space="preserve"> "Комплексная жилая застройка" с адресной привязкой: г. Владивосток, Ленинский район, улица </w:t>
      </w:r>
      <w:proofErr w:type="spellStart"/>
      <w:r w:rsidRPr="00AB4BD9">
        <w:rPr>
          <w:rFonts w:ascii="Times New Roman" w:hAnsi="Times New Roman" w:cs="Times New Roman"/>
          <w:sz w:val="20"/>
          <w:szCs w:val="20"/>
        </w:rPr>
        <w:t>Нейбута</w:t>
      </w:r>
      <w:proofErr w:type="spellEnd"/>
      <w:r w:rsidRPr="00AB4BD9">
        <w:rPr>
          <w:rFonts w:ascii="Times New Roman" w:hAnsi="Times New Roman" w:cs="Times New Roman"/>
          <w:sz w:val="20"/>
          <w:szCs w:val="20"/>
        </w:rPr>
        <w:t>, д. 141 (сети электроснабжения), (план 512,65 млн рублей, факт 396,14 млн рублей)</w:t>
      </w:r>
      <w:r w:rsidRPr="00AB4BD9">
        <w:rPr>
          <w:rFonts w:ascii="Times New Roman" w:eastAsia="Calibri" w:hAnsi="Times New Roman" w:cs="Times New Roman"/>
          <w:color w:val="000000"/>
          <w:sz w:val="20"/>
          <w:szCs w:val="20"/>
          <w:lang w:eastAsia="ru-RU"/>
        </w:rPr>
        <w:t xml:space="preserve">; </w:t>
      </w:r>
      <w:r w:rsidRPr="00AB4BD9">
        <w:rPr>
          <w:rFonts w:ascii="Times New Roman" w:hAnsi="Times New Roman" w:cs="Times New Roman"/>
          <w:sz w:val="20"/>
          <w:szCs w:val="20"/>
        </w:rPr>
        <w:t>Жилой комплекс "Победа". II очередь (сети электроснабжения)</w:t>
      </w:r>
      <w:r w:rsidRPr="00AB4BD9">
        <w:rPr>
          <w:rFonts w:ascii="Times New Roman" w:eastAsia="Calibri" w:hAnsi="Times New Roman" w:cs="Times New Roman"/>
          <w:color w:val="000000"/>
          <w:sz w:val="20"/>
          <w:szCs w:val="20"/>
          <w:lang w:eastAsia="ru-RU"/>
        </w:rPr>
        <w:t xml:space="preserve">. Мероприятие перенесено на 2025 год </w:t>
      </w:r>
      <w:r w:rsidRPr="00AB4BD9">
        <w:rPr>
          <w:rFonts w:ascii="Times New Roman" w:hAnsi="Times New Roman" w:cs="Times New Roman"/>
          <w:sz w:val="20"/>
          <w:szCs w:val="20"/>
        </w:rPr>
        <w:t>(план 140,74 млн рублей, факт 90,00</w:t>
      </w:r>
      <w:r>
        <w:rPr>
          <w:rFonts w:ascii="Times New Roman" w:hAnsi="Times New Roman" w:cs="Times New Roman"/>
          <w:sz w:val="20"/>
          <w:szCs w:val="20"/>
        </w:rPr>
        <w:t> </w:t>
      </w:r>
      <w:r w:rsidRPr="00AB4BD9">
        <w:rPr>
          <w:rFonts w:ascii="Times New Roman" w:hAnsi="Times New Roman" w:cs="Times New Roman"/>
          <w:sz w:val="20"/>
          <w:szCs w:val="20"/>
        </w:rPr>
        <w:t>млн рублей); Комплексная застройка "Комплекс многоквартирных жилых домов в районе Снеговая, 9 в г. Владивостоке</w:t>
      </w:r>
      <w:r>
        <w:rPr>
          <w:rFonts w:ascii="Times New Roman" w:hAnsi="Times New Roman" w:cs="Times New Roman"/>
          <w:sz w:val="20"/>
          <w:szCs w:val="20"/>
        </w:rPr>
        <w:t>" (сети водоотведения) (план 4,55 млн рублей, факт 2,42 млн рублей).</w:t>
      </w:r>
    </w:p>
  </w:footnote>
  <w:footnote w:id="59">
    <w:p w14:paraId="66F43A3A" w14:textId="1B85242D" w:rsidR="00F62D77" w:rsidRDefault="00F62D77" w:rsidP="001E22B7">
      <w:pPr>
        <w:pStyle w:val="a6"/>
        <w:ind w:firstLine="142"/>
        <w:jc w:val="both"/>
        <w:rPr>
          <w:rFonts w:eastAsia="Times New Roman"/>
          <w:color w:val="292C2F"/>
        </w:rPr>
      </w:pPr>
      <w:r>
        <w:rPr>
          <w:rStyle w:val="a8"/>
        </w:rPr>
        <w:footnoteRef/>
      </w:r>
      <w:r>
        <w:t xml:space="preserve"> </w:t>
      </w:r>
      <w:r>
        <w:rPr>
          <w:rFonts w:eastAsia="Times New Roman"/>
          <w:color w:val="292C2F"/>
        </w:rPr>
        <w:t>В паспорте ГП установлен показатель "</w:t>
      </w:r>
      <w:r>
        <w:t>Количество инфраструктурных проектов в целях обеспечения инвестиционных проектов</w:t>
      </w:r>
      <w:r>
        <w:rPr>
          <w:rFonts w:eastAsia="Times New Roman"/>
          <w:color w:val="292C2F"/>
        </w:rPr>
        <w:t>" на 2024 год в количественном значении 14, в том числе 2 министерством транспорта и дорожного хозяйства Приморского края.</w:t>
      </w:r>
    </w:p>
  </w:footnote>
  <w:footnote w:id="60">
    <w:p w14:paraId="426AB7BC" w14:textId="77777777" w:rsidR="00F62D77" w:rsidRDefault="00F62D77" w:rsidP="001E22B7">
      <w:pPr>
        <w:pStyle w:val="a6"/>
        <w:ind w:firstLine="142"/>
        <w:jc w:val="both"/>
      </w:pPr>
      <w:r>
        <w:rPr>
          <w:rStyle w:val="a8"/>
        </w:rPr>
        <w:footnoteRef/>
      </w:r>
      <w:r>
        <w:t xml:space="preserve"> Субсидии направлены МО: </w:t>
      </w:r>
      <w:proofErr w:type="spellStart"/>
      <w:r>
        <w:t>Арсеньевскому</w:t>
      </w:r>
      <w:proofErr w:type="spellEnd"/>
      <w:r>
        <w:t xml:space="preserve"> ГО – в полном объеме 39,48 млн рублей на предоставление подключения 117 земельных участков к сетям электроснабжения, в том числе 17 з/у к сетям холодного водоснабжения; Лесозаводскому ГО – 36,11 млн рублей, или 87,28 % (план 41,38 млн рублей  (40 земельных участков к сетям водоотведения, 62 земельных участка к сетям электроснабжения, водоснабжения); </w:t>
      </w:r>
      <w:proofErr w:type="spellStart"/>
      <w:r>
        <w:t>Шкотовскому</w:t>
      </w:r>
      <w:proofErr w:type="spellEnd"/>
      <w:r>
        <w:t xml:space="preserve"> МО – 7,74 млн рублей, или 91,60 % (8,45 млн рублей) (7 земельных участков к сетям электроснабжения, 5 земельных участков к сетям водоотведения).</w:t>
      </w:r>
    </w:p>
  </w:footnote>
  <w:footnote w:id="61">
    <w:p w14:paraId="13177A05" w14:textId="77777777" w:rsidR="00F62D77" w:rsidRDefault="00F62D77" w:rsidP="001051E1">
      <w:pPr>
        <w:spacing w:after="0" w:line="240" w:lineRule="auto"/>
        <w:ind w:firstLine="142"/>
        <w:jc w:val="both"/>
        <w:rPr>
          <w:rFonts w:ascii="Times New Roman" w:hAnsi="Times New Roman" w:cs="Times New Roman"/>
          <w:sz w:val="20"/>
          <w:szCs w:val="20"/>
        </w:rPr>
      </w:pPr>
      <w:r>
        <w:rPr>
          <w:rStyle w:val="a8"/>
          <w:rFonts w:ascii="Times New Roman" w:hAnsi="Times New Roman"/>
          <w:sz w:val="20"/>
          <w:szCs w:val="20"/>
        </w:rPr>
        <w:footnoteRef/>
      </w:r>
      <w:r>
        <w:rPr>
          <w:rFonts w:ascii="Times New Roman" w:hAnsi="Times New Roman" w:cs="Times New Roman"/>
          <w:sz w:val="20"/>
          <w:szCs w:val="20"/>
        </w:rPr>
        <w:t xml:space="preserve"> Молодые семьи – участники мероприятия ведомственной целевой программы привлекли в целях приобретения жилого помещения (строительства жилого дома, уплаты цены договора участия в долевом строительстве (договора уступки прав требований по договору участия в долевом строительстве) собственные средства, средства материнского (семейного) капитала, средства кредитов и займов, предоставляемых любыми организациями и (или) физическими лицами, собственные средства. </w:t>
      </w:r>
    </w:p>
  </w:footnote>
  <w:footnote w:id="62">
    <w:p w14:paraId="06B0D9AD" w14:textId="77777777" w:rsidR="00F62D77" w:rsidRDefault="00F62D77" w:rsidP="001051E1">
      <w:pPr>
        <w:pStyle w:val="a6"/>
        <w:ind w:firstLine="142"/>
        <w:jc w:val="both"/>
      </w:pPr>
      <w:r>
        <w:rPr>
          <w:rStyle w:val="a8"/>
        </w:rPr>
        <w:footnoteRef/>
      </w:r>
      <w:r>
        <w:t xml:space="preserve"> В 2024 году одна из заявок была отклонена в связи с несоответствием требованиям к подаваемым документам, еще одна семья получила сертификат 28.12.2024 (его реализация перенесена на 2025 год).</w:t>
      </w:r>
    </w:p>
  </w:footnote>
  <w:footnote w:id="63">
    <w:p w14:paraId="499B7CBE" w14:textId="7F6049C9" w:rsidR="00F62D77" w:rsidRDefault="00F62D77" w:rsidP="0006322E">
      <w:pPr>
        <w:pStyle w:val="a6"/>
        <w:snapToGrid w:val="0"/>
        <w:ind w:firstLine="142"/>
        <w:jc w:val="both"/>
      </w:pPr>
      <w:r>
        <w:rPr>
          <w:rStyle w:val="a8"/>
        </w:rPr>
        <w:footnoteRef/>
      </w:r>
      <w:r>
        <w:t xml:space="preserve"> В Закон Приморского края от 24.12.2018 № 433-КЗ "Об обеспечении жилыми помещениями детей-сирот, детей, оставшихся без попечения родителей, лиц из числа детей-сирот и детей, оставшихся без попечения родителей, на территории Приморского края" внесены изменения Законом от </w:t>
      </w:r>
      <w:r>
        <w:rPr>
          <w:lang w:eastAsia="zh-CN"/>
        </w:rPr>
        <w:t xml:space="preserve">26.09.2024 № 625-КЗ "О внесении изменений в отдельные законодательные акты Приморского края". Согласно изменениям, право на однократное предоставление свидетельства дается всем лицам из числа детей-сирот и детей, оставшихся без попечения родителей, состоящим в списке на обеспечение жилыми помещениями, достигшим возраста 23 лет и соответствующим установленным законом требованиям, до принятия закона это мерой могли воспользоваться только граждане, имеющие судебные решения в отношении Правительства Приморского края, и участники СВО. </w:t>
      </w:r>
      <w:r>
        <w:t xml:space="preserve"> </w:t>
      </w:r>
    </w:p>
  </w:footnote>
  <w:footnote w:id="64">
    <w:p w14:paraId="6D0D5605" w14:textId="77777777" w:rsidR="00F62D77" w:rsidRDefault="00F62D77" w:rsidP="00415F10">
      <w:pPr>
        <w:pStyle w:val="a6"/>
        <w:snapToGrid w:val="0"/>
        <w:ind w:firstLine="142"/>
        <w:jc w:val="both"/>
      </w:pPr>
      <w:r>
        <w:rPr>
          <w:rStyle w:val="a8"/>
        </w:rPr>
        <w:footnoteRef/>
      </w:r>
      <w:r>
        <w:t xml:space="preserve">По адресу: Приморский край, г. Владивосток, Народный проспект, д. 17, кв. 124 на сумму 0,59 млн рублей и по адресу: Приморский край, г. Уссурийск, ул. </w:t>
      </w:r>
      <w:proofErr w:type="spellStart"/>
      <w:r>
        <w:t>Губрия</w:t>
      </w:r>
      <w:proofErr w:type="spellEnd"/>
      <w:r>
        <w:t>, д. 17, кв. 428 на сумму 0,51 млн рублей.</w:t>
      </w:r>
    </w:p>
  </w:footnote>
  <w:footnote w:id="65">
    <w:p w14:paraId="33A9E538" w14:textId="77777777" w:rsidR="00F62D77" w:rsidRDefault="00F62D77" w:rsidP="00842371">
      <w:pPr>
        <w:pStyle w:val="a6"/>
        <w:snapToGrid w:val="0"/>
        <w:ind w:firstLine="142"/>
      </w:pPr>
      <w:r>
        <w:rPr>
          <w:rStyle w:val="a8"/>
        </w:rPr>
        <w:footnoteRef/>
      </w:r>
      <w:r>
        <w:t xml:space="preserve"> В том числе: производительностью 150 куб. м/сутки на очистные сооружения канализации с. </w:t>
      </w:r>
      <w:proofErr w:type="spellStart"/>
      <w:r>
        <w:t>Пуциловка</w:t>
      </w:r>
      <w:proofErr w:type="spellEnd"/>
      <w:r>
        <w:t xml:space="preserve"> (2,16 млн рублей); производительностью 300 куб. м/сутки на очистные сооружения канализации с. Заречное (2,34 млн рублей).</w:t>
      </w:r>
    </w:p>
  </w:footnote>
  <w:footnote w:id="66">
    <w:p w14:paraId="17CB624C" w14:textId="77777777" w:rsidR="00F62D77" w:rsidRPr="009A0A96" w:rsidRDefault="00F62D77" w:rsidP="000B0A97">
      <w:pPr>
        <w:pStyle w:val="a6"/>
        <w:ind w:firstLine="142"/>
        <w:jc w:val="both"/>
      </w:pPr>
      <w:r w:rsidRPr="009A0A96">
        <w:rPr>
          <w:rStyle w:val="a8"/>
        </w:rPr>
        <w:footnoteRef/>
      </w:r>
      <w:r w:rsidRPr="009A0A96">
        <w:t>Учреждением заключены: 5 государственных контрактов с ПАО "Ростелеком" (32,47 млн рублей); 2 контракта с АО "Научно-техническая лаборатория "НЭКСТ-ТЕХНИКА" (23,33 млн рублей); 1 контракт с ООО "Горизонт" (3,99 млн рублей); 2 контракта с ООО "Дальневосточный центр коммерческой безопасности "</w:t>
      </w:r>
      <w:proofErr w:type="spellStart"/>
      <w:r w:rsidRPr="009A0A96">
        <w:t>Спайдер</w:t>
      </w:r>
      <w:proofErr w:type="spellEnd"/>
      <w:r w:rsidRPr="009A0A96">
        <w:t xml:space="preserve">" (6,78 млн рублей); 1 контракт с ПАО "МТС" (0,82 млн рублей); 2 контракта с ООО "АКЦЕНТ" (10,19 млн рублей); 10 контрактов с индивидуальными предпринимателями и коммерческими организациями (10,62 млн рублей). </w:t>
      </w:r>
    </w:p>
    <w:p w14:paraId="7086C5FD" w14:textId="77777777" w:rsidR="00F62D77" w:rsidRDefault="00F62D77" w:rsidP="000B0A97">
      <w:pPr>
        <w:pStyle w:val="a6"/>
        <w:ind w:firstLine="142"/>
        <w:jc w:val="both"/>
      </w:pPr>
      <w:r w:rsidRPr="009A0A96">
        <w:t>В отчетном году оказаны услуги по предоставлению каналов связи для систем обеспечения вызовов экстренных оперативных служб по единому номеру "Системы-112", на техническое обслуживание системы-112, по эксплуатационно-техническому обслуживанию, обеспечению работоспособности и постоянной готовности к применению по назначению региональной автоматизированной системы централизованного оповещения населения Приморского края, по эксплуатационно</w:t>
      </w:r>
      <w:r w:rsidRPr="00597E36">
        <w:t xml:space="preserve">-техническому обслуживанию краевой системы противопожарного </w:t>
      </w:r>
      <w:proofErr w:type="spellStart"/>
      <w:r w:rsidRPr="00597E36">
        <w:t>радиомониторинга</w:t>
      </w:r>
      <w:proofErr w:type="spellEnd"/>
      <w:r w:rsidRPr="00597E36">
        <w:t xml:space="preserve"> и предоставлению доступа к сети Интернет для системы автоматического распознавания природных пожаров.</w:t>
      </w:r>
    </w:p>
  </w:footnote>
  <w:footnote w:id="67">
    <w:p w14:paraId="7D666694" w14:textId="77777777" w:rsidR="00F62D77" w:rsidRPr="00B24F12" w:rsidRDefault="00F62D77" w:rsidP="000B0A97">
      <w:pPr>
        <w:spacing w:after="0" w:line="240" w:lineRule="auto"/>
        <w:ind w:firstLine="142"/>
        <w:jc w:val="both"/>
        <w:rPr>
          <w:rFonts w:ascii="Times New Roman" w:hAnsi="Times New Roman" w:cs="Times New Roman"/>
          <w:sz w:val="20"/>
          <w:szCs w:val="20"/>
        </w:rPr>
      </w:pPr>
      <w:r w:rsidRPr="00B24F12">
        <w:rPr>
          <w:rStyle w:val="a8"/>
          <w:rFonts w:ascii="Times New Roman" w:hAnsi="Times New Roman"/>
          <w:sz w:val="20"/>
          <w:szCs w:val="20"/>
        </w:rPr>
        <w:footnoteRef/>
      </w:r>
      <w:r w:rsidRPr="00B24F12">
        <w:rPr>
          <w:rFonts w:ascii="Times New Roman" w:hAnsi="Times New Roman" w:cs="Times New Roman"/>
          <w:sz w:val="20"/>
          <w:szCs w:val="20"/>
        </w:rPr>
        <w:t xml:space="preserve">Учреждением заключены: 1 государственный контракт с ПАО "Ростелеком" </w:t>
      </w:r>
      <w:r>
        <w:rPr>
          <w:rFonts w:ascii="Times New Roman" w:hAnsi="Times New Roman" w:cs="Times New Roman"/>
          <w:sz w:val="20"/>
          <w:szCs w:val="20"/>
        </w:rPr>
        <w:t>(</w:t>
      </w:r>
      <w:r w:rsidRPr="00B24F12">
        <w:rPr>
          <w:rFonts w:ascii="Times New Roman" w:hAnsi="Times New Roman" w:cs="Times New Roman"/>
          <w:color w:val="000000"/>
          <w:sz w:val="20"/>
          <w:szCs w:val="20"/>
        </w:rPr>
        <w:t>74,14 млн рублей</w:t>
      </w:r>
      <w:r>
        <w:rPr>
          <w:rFonts w:ascii="Times New Roman" w:hAnsi="Times New Roman" w:cs="Times New Roman"/>
          <w:color w:val="000000"/>
          <w:sz w:val="20"/>
          <w:szCs w:val="20"/>
        </w:rPr>
        <w:t>)</w:t>
      </w:r>
      <w:r w:rsidRPr="00B24F12">
        <w:rPr>
          <w:rFonts w:ascii="Times New Roman" w:hAnsi="Times New Roman" w:cs="Times New Roman"/>
          <w:sz w:val="20"/>
          <w:szCs w:val="20"/>
        </w:rPr>
        <w:t xml:space="preserve"> и 2</w:t>
      </w:r>
      <w:r>
        <w:rPr>
          <w:rFonts w:ascii="Times New Roman" w:hAnsi="Times New Roman" w:cs="Times New Roman"/>
          <w:sz w:val="20"/>
          <w:szCs w:val="20"/>
        </w:rPr>
        <w:t> </w:t>
      </w:r>
      <w:r w:rsidRPr="00B24F12">
        <w:rPr>
          <w:rFonts w:ascii="Times New Roman" w:hAnsi="Times New Roman" w:cs="Times New Roman"/>
          <w:sz w:val="20"/>
          <w:szCs w:val="20"/>
        </w:rPr>
        <w:t xml:space="preserve">контракта с коммерческими организациями (3,81 млн рублей). В 2024 году поставлено оборудование для создания и дооснащения единой системы оповещения с условием монтажа и настройки оборудования в муниципальных образованиях Приморского края: в городах Арсеньеве, Артеме, Владивостоке, Лесозаводске, Спасске-Дальнем и Уссурийске, в селах </w:t>
      </w:r>
      <w:proofErr w:type="spellStart"/>
      <w:r w:rsidRPr="00B24F12">
        <w:rPr>
          <w:rFonts w:ascii="Times New Roman" w:hAnsi="Times New Roman" w:cs="Times New Roman"/>
          <w:sz w:val="20"/>
          <w:szCs w:val="20"/>
        </w:rPr>
        <w:t>Углекаменск</w:t>
      </w:r>
      <w:proofErr w:type="spellEnd"/>
      <w:r w:rsidRPr="00B24F12">
        <w:rPr>
          <w:rFonts w:ascii="Times New Roman" w:hAnsi="Times New Roman" w:cs="Times New Roman"/>
          <w:sz w:val="20"/>
          <w:szCs w:val="20"/>
        </w:rPr>
        <w:t xml:space="preserve">, </w:t>
      </w:r>
      <w:proofErr w:type="spellStart"/>
      <w:r w:rsidRPr="00B24F12">
        <w:rPr>
          <w:rFonts w:ascii="Times New Roman" w:hAnsi="Times New Roman" w:cs="Times New Roman"/>
          <w:sz w:val="20"/>
          <w:szCs w:val="20"/>
        </w:rPr>
        <w:t>Бровничи</w:t>
      </w:r>
      <w:proofErr w:type="spellEnd"/>
      <w:r w:rsidRPr="00B24F12">
        <w:rPr>
          <w:rFonts w:ascii="Times New Roman" w:hAnsi="Times New Roman" w:cs="Times New Roman"/>
          <w:sz w:val="20"/>
          <w:szCs w:val="20"/>
        </w:rPr>
        <w:t xml:space="preserve"> и Казанка Партизанского ГО, в селе Каменушка Уссурийского ГО; в селах Анучино, Гражданка и </w:t>
      </w:r>
      <w:proofErr w:type="spellStart"/>
      <w:r w:rsidRPr="00B24F12">
        <w:rPr>
          <w:rFonts w:ascii="Times New Roman" w:hAnsi="Times New Roman" w:cs="Times New Roman"/>
          <w:sz w:val="20"/>
          <w:szCs w:val="20"/>
        </w:rPr>
        <w:t>Чернышевка</w:t>
      </w:r>
      <w:proofErr w:type="spellEnd"/>
      <w:r w:rsidRPr="00B24F12">
        <w:rPr>
          <w:rFonts w:ascii="Times New Roman" w:hAnsi="Times New Roman" w:cs="Times New Roman"/>
          <w:sz w:val="20"/>
          <w:szCs w:val="20"/>
        </w:rPr>
        <w:t xml:space="preserve"> Анучинского МО; в селах Орехово и Рождественка Дальнереченского МР; в пос. Рудный Кавалеровского МО; в с. </w:t>
      </w:r>
      <w:proofErr w:type="spellStart"/>
      <w:r w:rsidRPr="00B24F12">
        <w:rPr>
          <w:rFonts w:ascii="Times New Roman" w:hAnsi="Times New Roman" w:cs="Times New Roman"/>
          <w:sz w:val="20"/>
          <w:szCs w:val="20"/>
        </w:rPr>
        <w:t>Павло</w:t>
      </w:r>
      <w:proofErr w:type="spellEnd"/>
      <w:r w:rsidRPr="00B24F12">
        <w:rPr>
          <w:rFonts w:ascii="Times New Roman" w:hAnsi="Times New Roman" w:cs="Times New Roman"/>
          <w:sz w:val="20"/>
          <w:szCs w:val="20"/>
        </w:rPr>
        <w:t xml:space="preserve">-Федоровка Кировского МР; в пгт </w:t>
      </w:r>
      <w:proofErr w:type="spellStart"/>
      <w:r w:rsidRPr="00B24F12">
        <w:rPr>
          <w:rFonts w:ascii="Times New Roman" w:hAnsi="Times New Roman" w:cs="Times New Roman"/>
          <w:sz w:val="20"/>
          <w:szCs w:val="20"/>
        </w:rPr>
        <w:t>Новошахтинский</w:t>
      </w:r>
      <w:proofErr w:type="spellEnd"/>
      <w:r w:rsidRPr="00B24F12">
        <w:rPr>
          <w:rFonts w:ascii="Times New Roman" w:hAnsi="Times New Roman" w:cs="Times New Roman"/>
          <w:sz w:val="20"/>
          <w:szCs w:val="20"/>
        </w:rPr>
        <w:t xml:space="preserve">, селах Михайловка, </w:t>
      </w:r>
      <w:proofErr w:type="spellStart"/>
      <w:r w:rsidRPr="00B24F12">
        <w:rPr>
          <w:rFonts w:ascii="Times New Roman" w:hAnsi="Times New Roman" w:cs="Times New Roman"/>
          <w:sz w:val="20"/>
          <w:szCs w:val="20"/>
        </w:rPr>
        <w:t>Кремово</w:t>
      </w:r>
      <w:proofErr w:type="spellEnd"/>
      <w:r w:rsidRPr="00B24F12">
        <w:rPr>
          <w:rFonts w:ascii="Times New Roman" w:hAnsi="Times New Roman" w:cs="Times New Roman"/>
          <w:sz w:val="20"/>
          <w:szCs w:val="20"/>
        </w:rPr>
        <w:t xml:space="preserve">, Абрамовка и Первомайское Михайловского МО; в селах Галенка, Заречное и </w:t>
      </w:r>
      <w:proofErr w:type="spellStart"/>
      <w:r w:rsidRPr="00B24F12">
        <w:rPr>
          <w:rFonts w:ascii="Times New Roman" w:hAnsi="Times New Roman" w:cs="Times New Roman"/>
          <w:sz w:val="20"/>
          <w:szCs w:val="20"/>
        </w:rPr>
        <w:t>Старореченское</w:t>
      </w:r>
      <w:proofErr w:type="spellEnd"/>
      <w:r w:rsidRPr="00B24F12">
        <w:rPr>
          <w:rFonts w:ascii="Times New Roman" w:hAnsi="Times New Roman" w:cs="Times New Roman"/>
          <w:sz w:val="20"/>
          <w:szCs w:val="20"/>
        </w:rPr>
        <w:t xml:space="preserve"> Октябрьского МО, в пгт Пластун и Светлая, селах </w:t>
      </w:r>
      <w:proofErr w:type="spellStart"/>
      <w:r w:rsidRPr="00B24F12">
        <w:rPr>
          <w:rFonts w:ascii="Times New Roman" w:hAnsi="Times New Roman" w:cs="Times New Roman"/>
          <w:sz w:val="20"/>
          <w:szCs w:val="20"/>
        </w:rPr>
        <w:t>Амгу</w:t>
      </w:r>
      <w:proofErr w:type="spellEnd"/>
      <w:r w:rsidRPr="00B24F12">
        <w:rPr>
          <w:rFonts w:ascii="Times New Roman" w:hAnsi="Times New Roman" w:cs="Times New Roman"/>
          <w:sz w:val="20"/>
          <w:szCs w:val="20"/>
        </w:rPr>
        <w:t xml:space="preserve"> и Малая </w:t>
      </w:r>
      <w:proofErr w:type="spellStart"/>
      <w:r w:rsidRPr="00B24F12">
        <w:rPr>
          <w:rFonts w:ascii="Times New Roman" w:hAnsi="Times New Roman" w:cs="Times New Roman"/>
          <w:sz w:val="20"/>
          <w:szCs w:val="20"/>
        </w:rPr>
        <w:t>Кема</w:t>
      </w:r>
      <w:proofErr w:type="spellEnd"/>
      <w:r w:rsidRPr="00B24F12">
        <w:rPr>
          <w:rFonts w:ascii="Times New Roman" w:hAnsi="Times New Roman" w:cs="Times New Roman"/>
          <w:sz w:val="20"/>
          <w:szCs w:val="20"/>
        </w:rPr>
        <w:t xml:space="preserve"> Тернейского МО; пгт Краскино Хасанского МО; в с. Благодатное Хорольского МО; в с. Монастырище Черниговского МО и в селах Яковлевка, Варфоломеевка и Яблоновка Яковлевского МО.</w:t>
      </w:r>
    </w:p>
  </w:footnote>
  <w:footnote w:id="68">
    <w:p w14:paraId="5C7A3CB7" w14:textId="77777777" w:rsidR="00F62D77" w:rsidRDefault="00F62D77" w:rsidP="00203920">
      <w:pPr>
        <w:tabs>
          <w:tab w:val="left" w:pos="0"/>
        </w:tabs>
        <w:spacing w:after="0" w:line="240" w:lineRule="auto"/>
        <w:ind w:firstLine="142"/>
        <w:jc w:val="both"/>
      </w:pPr>
      <w:r w:rsidRPr="00041AF6">
        <w:rPr>
          <w:rStyle w:val="a8"/>
          <w:rFonts w:ascii="Times New Roman" w:hAnsi="Times New Roman"/>
          <w:sz w:val="20"/>
          <w:szCs w:val="20"/>
        </w:rPr>
        <w:footnoteRef/>
      </w:r>
      <w:r w:rsidRPr="00041AF6">
        <w:rPr>
          <w:rFonts w:ascii="Times New Roman" w:hAnsi="Times New Roman" w:cs="Times New Roman"/>
          <w:sz w:val="20"/>
          <w:szCs w:val="20"/>
        </w:rPr>
        <w:t xml:space="preserve"> </w:t>
      </w:r>
      <w:r w:rsidRPr="00041AF6">
        <w:rPr>
          <w:rFonts w:ascii="Times New Roman" w:eastAsia="Times New Roman" w:hAnsi="Times New Roman" w:cs="Times New Roman"/>
          <w:color w:val="000000"/>
          <w:spacing w:val="-4"/>
          <w:sz w:val="20"/>
          <w:szCs w:val="20"/>
          <w:lang w:eastAsia="ru-RU"/>
        </w:rPr>
        <w:t xml:space="preserve">Концессионное соглашение между Правительством Приморского края и ООО "Приморье </w:t>
      </w:r>
      <w:proofErr w:type="spellStart"/>
      <w:r w:rsidRPr="00041AF6">
        <w:rPr>
          <w:rFonts w:ascii="Times New Roman" w:eastAsia="Times New Roman" w:hAnsi="Times New Roman" w:cs="Times New Roman"/>
          <w:color w:val="000000"/>
          <w:spacing w:val="-4"/>
          <w:sz w:val="20"/>
          <w:szCs w:val="20"/>
          <w:lang w:eastAsia="ru-RU"/>
        </w:rPr>
        <w:t>СпортОтельИнвест</w:t>
      </w:r>
      <w:proofErr w:type="spellEnd"/>
      <w:r w:rsidRPr="00041AF6">
        <w:rPr>
          <w:rFonts w:ascii="Times New Roman" w:eastAsia="Times New Roman" w:hAnsi="Times New Roman" w:cs="Times New Roman"/>
          <w:color w:val="000000"/>
          <w:spacing w:val="-4"/>
          <w:sz w:val="20"/>
          <w:szCs w:val="20"/>
          <w:lang w:eastAsia="ru-RU"/>
        </w:rPr>
        <w:t xml:space="preserve">" по реализации инвестиционного проекта "Проектирование, создание объекта для организации мероприятий по физической культуре и спорту, туризма и отдыха граждан в Приморском крае – современного круглогодичного семейного горнолыжного курорта "Арсеньев". Срок действия концессионного соглашения составляет 30 лет с даты заключения. </w:t>
      </w:r>
    </w:p>
  </w:footnote>
  <w:footnote w:id="69">
    <w:p w14:paraId="5878298C" w14:textId="77777777" w:rsidR="00F62D77" w:rsidRDefault="00F62D77" w:rsidP="00203920">
      <w:pPr>
        <w:pStyle w:val="a6"/>
        <w:ind w:firstLine="142"/>
        <w:jc w:val="both"/>
      </w:pPr>
      <w:r>
        <w:rPr>
          <w:rStyle w:val="a8"/>
        </w:rPr>
        <w:footnoteRef/>
      </w:r>
      <w:r>
        <w:t>М</w:t>
      </w:r>
      <w:r w:rsidRPr="00D65324">
        <w:t>инистерств</w:t>
      </w:r>
      <w:r>
        <w:t>ом</w:t>
      </w:r>
      <w:r w:rsidRPr="00D65324">
        <w:t xml:space="preserve"> физической культуры и спорта Приморского кра</w:t>
      </w:r>
      <w:r>
        <w:t xml:space="preserve">я направлено: на ремонт МБУ СШ "Гранит", г. Дальнегорск, ул. Спортивная 1А (фасад здания) (14,36 млн рублей); на создание плоскостного спортивного сооружение по адресу - г. Лесозаводск, в районе д. 55, по ул. 9 января 9,70 млн рублей; на создание </w:t>
      </w:r>
      <w:proofErr w:type="spellStart"/>
      <w:r>
        <w:t>скейт</w:t>
      </w:r>
      <w:proofErr w:type="spellEnd"/>
      <w:r>
        <w:t>-площадки в пгт Кавалерово и площадки для игры в городки в пгт Кавалерово (5,24 млн рублей); на капитальный ремонт части здания спорткомплекса, расположенного по адресу: Приморский край, пгт Пластун, ул. Лермонтова 28 (52,23 млн рублей); на капитальный ремонт помещений спортивного комплекса по адресу: Приморский край, пгт Ярославский, ул. Трудовая, 2 ДЮСШ (20,85 млн рублей); на создание спортивной площадки в Михайловском муниципальном районе, с. Ивановка, ул. Краснознаменная 24Б (3,83 млн рублей); на создание универсальной спортивной площадки по адресу: Пожарский муниципальный округ, с. Новостройка, ул. Заводская, д. 5 (13,72 млн рублей); на реализацию мероприятий, источником финансового обеспечения которых являются специальные казначейские кредиты из федерального бюджета средства (капитальный ремонт спортивного зала гимнастики в г. Владивостоке, реконструкция трибун стадиона "Водник" и капитальный ремонт приточно-вытяжной вентиляции МАУ СШ "</w:t>
      </w:r>
      <w:proofErr w:type="spellStart"/>
      <w:r>
        <w:t>Приморец</w:t>
      </w:r>
      <w:proofErr w:type="spellEnd"/>
      <w:r>
        <w:t>" в г. Находке) (128,0 млн рублей); на капитальный ремонт душевых комнат МАУ "Плавательный бассейн "Чайка" ул. Пушкина, д.36 (2,60 млн рублей).</w:t>
      </w:r>
    </w:p>
  </w:footnote>
  <w:footnote w:id="70">
    <w:p w14:paraId="14DEBD5F" w14:textId="77777777" w:rsidR="00F62D77" w:rsidRPr="00F27595" w:rsidRDefault="00F62D77" w:rsidP="009113EE">
      <w:pPr>
        <w:autoSpaceDE w:val="0"/>
        <w:autoSpaceDN w:val="0"/>
        <w:adjustRightInd w:val="0"/>
        <w:spacing w:after="0" w:line="240" w:lineRule="auto"/>
        <w:ind w:firstLine="142"/>
        <w:jc w:val="both"/>
        <w:rPr>
          <w:rFonts w:ascii="Times New Roman" w:hAnsi="Times New Roman" w:cs="Times New Roman"/>
          <w:sz w:val="20"/>
          <w:szCs w:val="20"/>
        </w:rPr>
      </w:pPr>
      <w:r w:rsidRPr="00F27595">
        <w:rPr>
          <w:rStyle w:val="a8"/>
          <w:rFonts w:ascii="Times New Roman" w:hAnsi="Times New Roman"/>
        </w:rPr>
        <w:footnoteRef/>
      </w:r>
      <w:r w:rsidRPr="00F27595">
        <w:rPr>
          <w:rFonts w:ascii="Times New Roman" w:hAnsi="Times New Roman" w:cs="Times New Roman"/>
        </w:rPr>
        <w:t xml:space="preserve"> </w:t>
      </w:r>
      <w:r w:rsidRPr="001D5FD3">
        <w:rPr>
          <w:rFonts w:ascii="Times New Roman" w:hAnsi="Times New Roman" w:cs="Times New Roman"/>
          <w:sz w:val="20"/>
          <w:szCs w:val="20"/>
        </w:rPr>
        <w:t>Министерством строительства Приморского края финансирование произведено в полном объеме на объекты: Реконструкция стадиона "Авангард" с трибунами на</w:t>
      </w:r>
      <w:r w:rsidRPr="00F27595">
        <w:rPr>
          <w:rFonts w:ascii="Times New Roman" w:hAnsi="Times New Roman" w:cs="Times New Roman"/>
          <w:sz w:val="20"/>
          <w:szCs w:val="20"/>
        </w:rPr>
        <w:t xml:space="preserve"> 2500 посадочных мест, расположенный по адресу: г. Арсеньев, ул. Ломоносова, д. 7/3 – 15,0 млн рублей; </w:t>
      </w:r>
      <w:r>
        <w:rPr>
          <w:rFonts w:ascii="Times New Roman" w:hAnsi="Times New Roman" w:cs="Times New Roman"/>
          <w:sz w:val="20"/>
          <w:szCs w:val="20"/>
        </w:rPr>
        <w:t>с</w:t>
      </w:r>
      <w:r w:rsidRPr="00F27595">
        <w:rPr>
          <w:rFonts w:ascii="Times New Roman" w:hAnsi="Times New Roman" w:cs="Times New Roman"/>
          <w:sz w:val="20"/>
          <w:szCs w:val="20"/>
        </w:rPr>
        <w:t>троительство физкультурно-оздоровительного комплекса в г. Находка – 136,60 млн рублей; Реконструкция стадиона, расположенного по адресу с.</w:t>
      </w:r>
      <w:r>
        <w:rPr>
          <w:rFonts w:ascii="Times New Roman" w:hAnsi="Times New Roman" w:cs="Times New Roman"/>
          <w:sz w:val="20"/>
          <w:szCs w:val="20"/>
        </w:rPr>
        <w:t> </w:t>
      </w:r>
      <w:r w:rsidRPr="00F27595">
        <w:rPr>
          <w:rFonts w:ascii="Times New Roman" w:hAnsi="Times New Roman" w:cs="Times New Roman"/>
          <w:sz w:val="20"/>
          <w:szCs w:val="20"/>
        </w:rPr>
        <w:t>Владимиро-Александровское, ул. Р. Зорге – 80,0 млн рублей</w:t>
      </w:r>
      <w:r>
        <w:rPr>
          <w:rFonts w:ascii="Times New Roman" w:hAnsi="Times New Roman" w:cs="Times New Roman"/>
          <w:sz w:val="20"/>
          <w:szCs w:val="20"/>
        </w:rPr>
        <w:t>;</w:t>
      </w:r>
    </w:p>
    <w:p w14:paraId="4013B35D" w14:textId="77777777" w:rsidR="00F62D77" w:rsidRPr="00F27595" w:rsidRDefault="00F62D77" w:rsidP="0091578A">
      <w:pPr>
        <w:pStyle w:val="a6"/>
        <w:jc w:val="both"/>
      </w:pPr>
    </w:p>
  </w:footnote>
  <w:footnote w:id="71">
    <w:p w14:paraId="4ED4C60F" w14:textId="77777777" w:rsidR="00F62D77" w:rsidRDefault="00F62D77" w:rsidP="00D500D2">
      <w:pPr>
        <w:pStyle w:val="a6"/>
        <w:ind w:firstLine="142"/>
        <w:jc w:val="both"/>
      </w:pPr>
      <w:r>
        <w:rPr>
          <w:rStyle w:val="a8"/>
        </w:rPr>
        <w:footnoteRef/>
      </w:r>
      <w:r>
        <w:t xml:space="preserve"> Общая численность участников превысила 1500 человек, в том числе около 1000 спортсменов, 300 волонтеров, 200 судей. Спортсмены участвовали в 8 видах спорта, разыграв 31 комплект наград. Приморские спортсмены завоевали 25 медалей различного достоинства. Сборная команда Владивостока заняла 2 общекомандное место, завоевав 16 наград.</w:t>
      </w:r>
    </w:p>
  </w:footnote>
  <w:footnote w:id="72">
    <w:p w14:paraId="53BF0E08" w14:textId="77777777" w:rsidR="00F62D77" w:rsidRDefault="00F62D77" w:rsidP="0091578A">
      <w:pPr>
        <w:pStyle w:val="a6"/>
        <w:jc w:val="both"/>
      </w:pPr>
      <w:r>
        <w:rPr>
          <w:rStyle w:val="a8"/>
        </w:rPr>
        <w:footnoteRef/>
      </w:r>
      <w:r>
        <w:t xml:space="preserve"> </w:t>
      </w:r>
      <w:r w:rsidRPr="004B32B3">
        <w:t xml:space="preserve">ГП </w:t>
      </w:r>
      <w:r>
        <w:t>"</w:t>
      </w:r>
      <w:r w:rsidRPr="004B32B3">
        <w:t>Развитие физической культуры и спорта Приморского края</w:t>
      </w:r>
      <w:r>
        <w:t xml:space="preserve">", и в ее структуре </w:t>
      </w:r>
      <w:r w:rsidRPr="004B32B3">
        <w:t xml:space="preserve">РП </w:t>
      </w:r>
      <w:r>
        <w:t>"</w:t>
      </w:r>
      <w:r w:rsidRPr="004B32B3">
        <w:t>Спорт - норма жизни</w:t>
      </w:r>
      <w:r>
        <w:t>" в целях реализации НП "Демография;</w:t>
      </w:r>
      <w:r w:rsidRPr="004B32B3">
        <w:t xml:space="preserve"> ГП Приморского края </w:t>
      </w:r>
      <w:r>
        <w:t>"</w:t>
      </w:r>
      <w:r w:rsidRPr="004B32B3">
        <w:t>Социальная поддержка населения Приморского края</w:t>
      </w:r>
      <w:r>
        <w:t>";</w:t>
      </w:r>
      <w:r w:rsidRPr="004B32B3">
        <w:t xml:space="preserve"> ГП </w:t>
      </w:r>
      <w:r>
        <w:t>"</w:t>
      </w:r>
      <w:r w:rsidRPr="004B32B3">
        <w:t>Патриотическое воспитание граждан, реализация государственной национальной политики и развитие институтов гражданского общества на территории Приморского края</w:t>
      </w:r>
      <w:r>
        <w:t>".</w:t>
      </w:r>
    </w:p>
  </w:footnote>
  <w:footnote w:id="73">
    <w:p w14:paraId="638A27EA" w14:textId="78ABC12F" w:rsidR="00F62D77" w:rsidRPr="000A6C99" w:rsidRDefault="00F62D77" w:rsidP="00B27B81">
      <w:pPr>
        <w:pStyle w:val="a6"/>
        <w:ind w:firstLine="142"/>
        <w:jc w:val="both"/>
      </w:pPr>
      <w:r w:rsidRPr="000A6C99">
        <w:rPr>
          <w:rStyle w:val="a8"/>
        </w:rPr>
        <w:footnoteRef/>
      </w:r>
      <w:r>
        <w:t xml:space="preserve">Контрольное мероприятие </w:t>
      </w:r>
      <w:r w:rsidRPr="000A6C99">
        <w:t>"Проверка законности и эффективности использования средств краевого бюджета, предоставленных министерству цифрового развития и связи Приморского края в отношении объекта концессионного соглашения, представляющего собой информационную систему "Информацион</w:t>
      </w:r>
      <w:r>
        <w:t>ная система "Цифровое Приморье".</w:t>
      </w:r>
    </w:p>
  </w:footnote>
  <w:footnote w:id="74">
    <w:p w14:paraId="462A2223" w14:textId="3C1390BA" w:rsidR="00F62D77" w:rsidRPr="009D2AD1" w:rsidRDefault="00F62D77" w:rsidP="009D2AD1">
      <w:pPr>
        <w:spacing w:after="0" w:line="240" w:lineRule="auto"/>
        <w:ind w:firstLine="142"/>
        <w:jc w:val="both"/>
        <w:rPr>
          <w:rFonts w:ascii="Times New Roman" w:hAnsi="Times New Roman" w:cs="Times New Roman"/>
          <w:sz w:val="20"/>
          <w:szCs w:val="20"/>
        </w:rPr>
      </w:pPr>
      <w:r w:rsidRPr="009D2AD1">
        <w:rPr>
          <w:rStyle w:val="a8"/>
          <w:rFonts w:ascii="Times New Roman" w:hAnsi="Times New Roman"/>
          <w:sz w:val="20"/>
          <w:szCs w:val="20"/>
        </w:rPr>
        <w:footnoteRef/>
      </w:r>
      <w:r w:rsidRPr="009D2AD1">
        <w:rPr>
          <w:rFonts w:ascii="Times New Roman" w:hAnsi="Times New Roman" w:cs="Times New Roman"/>
          <w:sz w:val="20"/>
          <w:szCs w:val="20"/>
        </w:rPr>
        <w:t xml:space="preserve"> В 2023 году показатель установленная тепловая мощность котельного оборудования, работающего на природном газе </w:t>
      </w:r>
      <w:r>
        <w:rPr>
          <w:rFonts w:ascii="Times New Roman" w:hAnsi="Times New Roman" w:cs="Times New Roman"/>
          <w:sz w:val="20"/>
          <w:szCs w:val="20"/>
        </w:rPr>
        <w:t>–</w:t>
      </w:r>
      <w:r w:rsidRPr="009D2AD1">
        <w:rPr>
          <w:rFonts w:ascii="Times New Roman" w:hAnsi="Times New Roman" w:cs="Times New Roman"/>
          <w:sz w:val="20"/>
          <w:szCs w:val="20"/>
        </w:rPr>
        <w:t xml:space="preserve"> 94,59 Гкал/час, или 100,63 % (план 94,17 Гкал/час). </w:t>
      </w:r>
      <w:r w:rsidRPr="009D2AD1">
        <w:rPr>
          <w:rFonts w:ascii="Times New Roman" w:hAnsi="Times New Roman" w:cs="Times New Roman"/>
          <w:spacing w:val="-1"/>
          <w:w w:val="105"/>
          <w:sz w:val="20"/>
          <w:szCs w:val="20"/>
        </w:rPr>
        <w:t>Увеличение показателя связано с тем, что разрешение на ввод в эксплуатацию Котельной № 72 Уссурийского городского округа получено 27.12.2023 при плановой сдаче в эксплуатацию в 2024 году</w:t>
      </w:r>
      <w:r w:rsidRPr="009D2AD1">
        <w:rPr>
          <w:rFonts w:ascii="Times New Roman" w:hAnsi="Times New Roman" w:cs="Times New Roman"/>
          <w:sz w:val="20"/>
          <w:szCs w:val="20"/>
        </w:rPr>
        <w:t>.</w:t>
      </w:r>
    </w:p>
  </w:footnote>
  <w:footnote w:id="75">
    <w:p w14:paraId="596C624B" w14:textId="77777777" w:rsidR="00F62D77" w:rsidRPr="00345B90" w:rsidRDefault="00F62D77" w:rsidP="009C59FC">
      <w:pPr>
        <w:autoSpaceDE w:val="0"/>
        <w:autoSpaceDN w:val="0"/>
        <w:adjustRightInd w:val="0"/>
        <w:spacing w:after="0" w:line="240" w:lineRule="auto"/>
        <w:ind w:firstLine="142"/>
        <w:jc w:val="both"/>
        <w:rPr>
          <w:sz w:val="20"/>
          <w:szCs w:val="20"/>
        </w:rPr>
      </w:pPr>
      <w:r w:rsidRPr="00EB7D8D">
        <w:rPr>
          <w:rStyle w:val="a8"/>
          <w:rFonts w:ascii="Times New Roman" w:hAnsi="Times New Roman"/>
          <w:sz w:val="20"/>
          <w:szCs w:val="20"/>
        </w:rPr>
        <w:footnoteRef/>
      </w:r>
      <w:r w:rsidRPr="00EB7D8D">
        <w:rPr>
          <w:rFonts w:ascii="Times New Roman" w:hAnsi="Times New Roman" w:cs="Times New Roman"/>
          <w:sz w:val="20"/>
          <w:szCs w:val="20"/>
        </w:rPr>
        <w:t xml:space="preserve"> Постановление Администрации Приморского края от 11.11.2016 № 523-па "О Порядке предоставления из краевого бюджета субсидии организациям, оказывающим на территории Приморского края услуги по теплоснабжению объектов жилищно-коммунального хозяйства, на проведение мероприятий </w:t>
      </w:r>
      <w:proofErr w:type="spellStart"/>
      <w:r w:rsidRPr="00EB7D8D">
        <w:rPr>
          <w:rFonts w:ascii="Times New Roman" w:hAnsi="Times New Roman" w:cs="Times New Roman"/>
          <w:sz w:val="20"/>
          <w:szCs w:val="20"/>
        </w:rPr>
        <w:t>энергоресурсосбережения</w:t>
      </w:r>
      <w:proofErr w:type="spellEnd"/>
      <w:r w:rsidRPr="00EB7D8D">
        <w:rPr>
          <w:rFonts w:ascii="Times New Roman" w:hAnsi="Times New Roman" w:cs="Times New Roman"/>
          <w:sz w:val="20"/>
          <w:szCs w:val="20"/>
        </w:rPr>
        <w:t xml:space="preserve"> и модернизации объектов коммунальной инфраструктуры Приморского края". Согласно порядку предоставления субсидий, результаты предоставления субсидий определены соглашением. </w:t>
      </w:r>
    </w:p>
  </w:footnote>
  <w:footnote w:id="76">
    <w:p w14:paraId="60CF9217" w14:textId="267598D4" w:rsidR="00F62D77" w:rsidRPr="00A22A37" w:rsidRDefault="00F62D77" w:rsidP="00153705">
      <w:pPr>
        <w:pStyle w:val="a6"/>
        <w:ind w:firstLine="142"/>
        <w:jc w:val="both"/>
      </w:pPr>
      <w:r>
        <w:rPr>
          <w:rStyle w:val="a8"/>
        </w:rPr>
        <w:footnoteRef/>
      </w:r>
      <w:r>
        <w:t> Б</w:t>
      </w:r>
      <w:r w:rsidRPr="00D27C2B">
        <w:t>юджетам МО</w:t>
      </w:r>
      <w:r>
        <w:t xml:space="preserve">: </w:t>
      </w:r>
      <w:r w:rsidRPr="00A22A37">
        <w:t>Владивостокскому ГО в полном объеме</w:t>
      </w:r>
      <w:r>
        <w:t xml:space="preserve"> 28,28 млн рублей</w:t>
      </w:r>
      <w:r w:rsidRPr="00A22A37">
        <w:t>, Находкинскому ГО – 55</w:t>
      </w:r>
      <w:r>
        <w:t>,</w:t>
      </w:r>
      <w:r w:rsidRPr="00A22A37">
        <w:t>60</w:t>
      </w:r>
      <w:r>
        <w:t xml:space="preserve"> млн рублей</w:t>
      </w:r>
      <w:r w:rsidRPr="00A22A37">
        <w:t>, или 71,51</w:t>
      </w:r>
      <w:r>
        <w:t> </w:t>
      </w:r>
      <w:r w:rsidRPr="00A22A37">
        <w:t>% (77</w:t>
      </w:r>
      <w:r>
        <w:t>,</w:t>
      </w:r>
      <w:r w:rsidRPr="00A22A37">
        <w:t>75</w:t>
      </w:r>
      <w:r>
        <w:t xml:space="preserve"> млн</w:t>
      </w:r>
      <w:r w:rsidRPr="00A22A37">
        <w:t xml:space="preserve"> рублей), Пожарскому МО – 2</w:t>
      </w:r>
      <w:r>
        <w:t>,</w:t>
      </w:r>
      <w:r w:rsidRPr="00A22A37">
        <w:t>75</w:t>
      </w:r>
      <w:r>
        <w:t xml:space="preserve"> млн</w:t>
      </w:r>
      <w:r w:rsidRPr="00A22A37">
        <w:t xml:space="preserve"> рублей, или 99,37 % (2</w:t>
      </w:r>
      <w:r>
        <w:t>,</w:t>
      </w:r>
      <w:r w:rsidRPr="00A22A37">
        <w:t>7</w:t>
      </w:r>
      <w:r>
        <w:t>0 млн</w:t>
      </w:r>
      <w:r w:rsidRPr="00A22A37">
        <w:t xml:space="preserve"> рублей</w:t>
      </w:r>
      <w:r>
        <w:t>).</w:t>
      </w:r>
    </w:p>
  </w:footnote>
  <w:footnote w:id="77">
    <w:p w14:paraId="16246C60" w14:textId="4C1A19F7" w:rsidR="00F62D77" w:rsidRPr="005E4B2B" w:rsidRDefault="00F62D77" w:rsidP="00AB3579">
      <w:pPr>
        <w:pStyle w:val="a6"/>
        <w:ind w:firstLine="142"/>
        <w:jc w:val="both"/>
      </w:pPr>
      <w:r>
        <w:rPr>
          <w:rStyle w:val="a8"/>
        </w:rPr>
        <w:footnoteRef/>
      </w:r>
      <w:r>
        <w:t> Постановление</w:t>
      </w:r>
      <w:r w:rsidRPr="005E4B2B">
        <w:t xml:space="preserve"> Правительства Российской Федерации от 23.11.2020 № 1899</w:t>
      </w:r>
      <w:r>
        <w:t xml:space="preserve"> </w:t>
      </w:r>
      <w:r w:rsidRPr="005E4B2B">
        <w:rPr>
          <w:rFonts w:eastAsiaTheme="minorHAnsi"/>
          <w:lang w:eastAsia="en-US"/>
        </w:rPr>
        <w:t>"Об утверждении Правил предоставления и распределения иных межбюджетных трансфертов, имеющих целевое назначение, из федерального бюджета бюджетам субъектов Российской Федерации, входящих в состав Дальневосточного федерального округа, в целях софинансирования расходных обязательств указанных субъектов Российской Федерации по возмещению части прямых понесенных затрат на создание и (или) модернизацию тепличных комплексов для производства овощей в защищенном грунте в Дальневосточном федера</w:t>
      </w:r>
      <w:r>
        <w:rPr>
          <w:rFonts w:eastAsiaTheme="minorHAnsi"/>
          <w:lang w:eastAsia="en-US"/>
        </w:rPr>
        <w:t>льном округе".</w:t>
      </w:r>
      <w:r w:rsidRPr="00924852">
        <w:t xml:space="preserve"> </w:t>
      </w:r>
      <w:r w:rsidRPr="00924852">
        <w:rPr>
          <w:rFonts w:eastAsiaTheme="minorHAnsi"/>
          <w:lang w:eastAsia="en-US"/>
        </w:rPr>
        <w:t xml:space="preserve">Документ утратил силу в связи с изданием Постановления Правительства </w:t>
      </w:r>
      <w:r>
        <w:rPr>
          <w:rFonts w:eastAsiaTheme="minorHAnsi"/>
          <w:lang w:eastAsia="en-US"/>
        </w:rPr>
        <w:t xml:space="preserve">Российской Федерации </w:t>
      </w:r>
      <w:r w:rsidRPr="00924852">
        <w:rPr>
          <w:rFonts w:eastAsiaTheme="minorHAnsi"/>
          <w:lang w:eastAsia="en-US"/>
        </w:rPr>
        <w:t xml:space="preserve">от 28.11.2024 </w:t>
      </w:r>
      <w:r>
        <w:rPr>
          <w:rFonts w:eastAsiaTheme="minorHAnsi"/>
          <w:lang w:eastAsia="en-US"/>
        </w:rPr>
        <w:t>№</w:t>
      </w:r>
      <w:r w:rsidRPr="00924852">
        <w:rPr>
          <w:rFonts w:eastAsiaTheme="minorHAnsi"/>
          <w:lang w:eastAsia="en-US"/>
        </w:rPr>
        <w:t xml:space="preserve"> 1647, вступившего в силу </w:t>
      </w:r>
      <w:r>
        <w:rPr>
          <w:rFonts w:eastAsiaTheme="minorHAnsi"/>
          <w:lang w:eastAsia="en-US"/>
        </w:rPr>
        <w:t>29.11.2024</w:t>
      </w:r>
      <w:r w:rsidRPr="00924852">
        <w:rPr>
          <w:rFonts w:eastAsiaTheme="minorHAnsi"/>
          <w:lang w:eastAsia="en-US"/>
        </w:rPr>
        <w:t>.</w:t>
      </w:r>
    </w:p>
  </w:footnote>
  <w:footnote w:id="78">
    <w:p w14:paraId="4E93C0A0" w14:textId="5D8AEA78" w:rsidR="00F62D77" w:rsidRDefault="00F62D77" w:rsidP="00AB3579">
      <w:pPr>
        <w:pStyle w:val="a6"/>
        <w:ind w:firstLine="142"/>
        <w:jc w:val="both"/>
      </w:pPr>
      <w:r>
        <w:rPr>
          <w:rStyle w:val="a8"/>
        </w:rPr>
        <w:footnoteRef/>
      </w:r>
      <w:r>
        <w:t xml:space="preserve"> Контрольное мероприятие "Проверка целевого и эффективного использования бюджетных средств, предоставленных на реализацию подпрограммы № 1 "Техническая и технологическая модернизация агропромышленного комплекса" государственной программы Приморского края "Развитие сельского хозяйства и регулирование рынков сельскохозяйственной продукции, сырья и продовольствия» за 2023 год и истекший период 2024 года".</w:t>
      </w:r>
    </w:p>
  </w:footnote>
  <w:footnote w:id="79">
    <w:p w14:paraId="0E5E678F" w14:textId="60253389" w:rsidR="00F62D77" w:rsidRDefault="00F62D77" w:rsidP="00C82FFD">
      <w:pPr>
        <w:pStyle w:val="a6"/>
        <w:ind w:firstLine="142"/>
        <w:jc w:val="both"/>
      </w:pPr>
      <w:r>
        <w:rPr>
          <w:rStyle w:val="a8"/>
        </w:rPr>
        <w:footnoteRef/>
      </w:r>
      <w:r>
        <w:t> П</w:t>
      </w:r>
      <w:r w:rsidRPr="00826DD8">
        <w:t xml:space="preserve">остановление Правительства Приморского края от 31.07.2024 №550-пп </w:t>
      </w:r>
      <w:r w:rsidRPr="00332915">
        <w:t>"Об утверждении распределения субсидий из краевого бюджета бюджетам муниципальных образований Приморского края на проведение работ по землеустройству земель сельскохозяйственного назначения на 2024 год"</w:t>
      </w:r>
      <w:r>
        <w:t>.</w:t>
      </w:r>
    </w:p>
  </w:footnote>
  <w:footnote w:id="80">
    <w:p w14:paraId="56B793C4" w14:textId="659E386E" w:rsidR="00F62D77" w:rsidRDefault="00F62D77" w:rsidP="00C82FFD">
      <w:pPr>
        <w:pStyle w:val="a6"/>
        <w:ind w:firstLine="142"/>
        <w:jc w:val="both"/>
      </w:pPr>
      <w:r>
        <w:rPr>
          <w:rStyle w:val="a8"/>
        </w:rPr>
        <w:footnoteRef/>
      </w:r>
      <w:r>
        <w:t> П</w:t>
      </w:r>
      <w:r w:rsidRPr="00B66A29">
        <w:t>остановление Правительства Приморского края от 20.05.2024 № 327-пп</w:t>
      </w:r>
      <w:r>
        <w:t xml:space="preserve"> </w:t>
      </w:r>
      <w:r w:rsidRPr="00CA4FB0">
        <w:t>"Об утверждении распределения субсидий из краевого бюджета бюджетам муниципальных образований Приморского края на проведение работ по межеванию, паспортизации и постановке на кадастровый учёт земельного участка, мелиоративных систем и отдельно стоящих гидротехнических сооружений Приморского края на 2024 год".</w:t>
      </w:r>
    </w:p>
  </w:footnote>
  <w:footnote w:id="81">
    <w:p w14:paraId="5BACB698" w14:textId="01E7CF5F" w:rsidR="00F62D77" w:rsidRPr="00332915" w:rsidRDefault="00F62D77" w:rsidP="00C82FFD">
      <w:pPr>
        <w:pStyle w:val="a6"/>
        <w:ind w:firstLine="142"/>
        <w:jc w:val="both"/>
      </w:pPr>
      <w:r>
        <w:rPr>
          <w:rStyle w:val="a8"/>
        </w:rPr>
        <w:footnoteRef/>
      </w:r>
      <w:r>
        <w:t> П</w:t>
      </w:r>
      <w:r w:rsidRPr="00252D36">
        <w:t xml:space="preserve">остановление Правительства Приморского края от 18.01.2024 № 17-пп </w:t>
      </w:r>
      <w:r w:rsidRPr="00332915">
        <w:t>"Об утверждении распределения субсидии из краевого бюджета бюджетам муниципальных образований Приморского края на реализацию мероприятий по благоустройству сельских территорий на 2024 год"</w:t>
      </w:r>
      <w:r>
        <w:t>.</w:t>
      </w:r>
    </w:p>
  </w:footnote>
  <w:footnote w:id="82">
    <w:p w14:paraId="0BE5D0BF" w14:textId="484D7CA9" w:rsidR="00F62D77" w:rsidRPr="00AB0F93" w:rsidRDefault="00F62D77" w:rsidP="002F3A75">
      <w:pPr>
        <w:pStyle w:val="a6"/>
        <w:ind w:firstLine="142"/>
        <w:jc w:val="both"/>
      </w:pPr>
      <w:r w:rsidRPr="00AB0F93">
        <w:rPr>
          <w:rStyle w:val="a8"/>
        </w:rPr>
        <w:footnoteRef/>
      </w:r>
      <w:r>
        <w:t> Д</w:t>
      </w:r>
      <w:r w:rsidRPr="00AB0F93">
        <w:t>о 01.01.2024 – агентство по рыболовству Приморского края, после его упразднения с 01.01.2024 полномочия переданы министерству лесного хозяйства, охраны окружающей среды, животного мира и природных ресурсов Приморского края</w:t>
      </w:r>
      <w:r>
        <w:t>.</w:t>
      </w:r>
    </w:p>
  </w:footnote>
  <w:footnote w:id="83">
    <w:p w14:paraId="4320CDBD" w14:textId="1B087348" w:rsidR="00F62D77" w:rsidRDefault="00F62D77" w:rsidP="009C59FC">
      <w:pPr>
        <w:pStyle w:val="a6"/>
        <w:ind w:firstLine="142"/>
        <w:jc w:val="both"/>
      </w:pPr>
      <w:r>
        <w:rPr>
          <w:rStyle w:val="a8"/>
        </w:rPr>
        <w:footnoteRef/>
      </w:r>
      <w:r>
        <w:t>Контрольное мероприятие "</w:t>
      </w:r>
      <w:r w:rsidRPr="007D6D55">
        <w:t xml:space="preserve">Проверка целевого и эффективного использования средств, выделенных из краевого бюджета в виде субсидий на возмещение части затрат организациям на развитие </w:t>
      </w:r>
      <w:proofErr w:type="spellStart"/>
      <w:r w:rsidRPr="007D6D55">
        <w:t>рыбоперерабатывающих</w:t>
      </w:r>
      <w:proofErr w:type="spellEnd"/>
      <w:r w:rsidRPr="007D6D55">
        <w:t xml:space="preserve"> и холодильных мощностей в Приморском крае</w:t>
      </w:r>
      <w:r>
        <w:t>"</w:t>
      </w:r>
      <w:r w:rsidRPr="007D6D55">
        <w:t xml:space="preserve"> за 2022–2024 годы</w:t>
      </w:r>
      <w:r>
        <w:t>"</w:t>
      </w:r>
      <w:r w:rsidRPr="007D6D55">
        <w:t>.</w:t>
      </w:r>
    </w:p>
  </w:footnote>
  <w:footnote w:id="84">
    <w:p w14:paraId="6E4F5736" w14:textId="0779510F" w:rsidR="00F62D77" w:rsidRDefault="00F62D77" w:rsidP="00D1367A">
      <w:pPr>
        <w:pStyle w:val="a6"/>
        <w:ind w:firstLine="142"/>
        <w:jc w:val="both"/>
      </w:pPr>
      <w:r>
        <w:rPr>
          <w:rStyle w:val="a8"/>
        </w:rPr>
        <w:footnoteRef/>
      </w:r>
      <w:r>
        <w:t xml:space="preserve"> Контрольное мероприятие "Проверка законности и эффективности использования средств краевого бюджета, представленных министерством промышленности и торговли Приморского края в виде субсидии </w:t>
      </w:r>
      <w:proofErr w:type="spellStart"/>
      <w:r>
        <w:t>Микрокредитной</w:t>
      </w:r>
      <w:proofErr w:type="spellEnd"/>
      <w:r>
        <w:t xml:space="preserve"> компании "Фонд развития предпринимательства и промышленности Приморского края" для оказания финансовой поддержки в виде займов промышленным предприятиям Приморского края".</w:t>
      </w:r>
    </w:p>
  </w:footnote>
  <w:footnote w:id="85">
    <w:p w14:paraId="0A85D59B" w14:textId="429C867E" w:rsidR="00F62D77" w:rsidRDefault="00F62D77" w:rsidP="0012451A">
      <w:pPr>
        <w:pStyle w:val="a6"/>
        <w:ind w:firstLine="142"/>
        <w:jc w:val="both"/>
      </w:pPr>
      <w:r>
        <w:rPr>
          <w:rStyle w:val="a8"/>
        </w:rPr>
        <w:footnoteRef/>
      </w:r>
      <w:r>
        <w:t> Соисполнители: министерство транспорта и дорожного хозяйства Приморского края, министерство здравоохранения Приморского края, департамент информационной политики Приморского края, агентство по делам молодежи Приморского края, министерство труда и социальной политики Приморского края, Правительство Приморского края, министерство культуры и архивного дела Приморского края, министерство строительства Приморского края, министерство образования Приморского края.</w:t>
      </w:r>
    </w:p>
  </w:footnote>
  <w:footnote w:id="86">
    <w:p w14:paraId="4B6040D9" w14:textId="77777777" w:rsidR="00F62D77" w:rsidRDefault="00F62D77" w:rsidP="00695138">
      <w:pPr>
        <w:pStyle w:val="a6"/>
        <w:ind w:firstLine="142"/>
      </w:pPr>
      <w:r>
        <w:rPr>
          <w:rStyle w:val="a8"/>
        </w:rPr>
        <w:footnoteRef/>
      </w:r>
      <w:r>
        <w:t xml:space="preserve"> Порядком установлены следующие значения результатов использования субсидий на 2024 год:</w:t>
      </w:r>
    </w:p>
    <w:p w14:paraId="46A49EBF" w14:textId="77777777" w:rsidR="00F62D77" w:rsidRDefault="00F62D77" w:rsidP="00695138">
      <w:pPr>
        <w:pStyle w:val="a6"/>
        <w:ind w:firstLine="142"/>
        <w:jc w:val="both"/>
      </w:pPr>
      <w:r>
        <w:t>доля площади обследованных кладбищ, стен скорби, крематориев, а также мест захоронений на кладбищах и в стенах скорби, от общей площади кладбищ, стен скорби, крематориев, а также мест захоронений на кладбищах и в стенах скорби на территории Приморского края – 50 процентов;</w:t>
      </w:r>
    </w:p>
    <w:p w14:paraId="346ADE07" w14:textId="77777777" w:rsidR="00F62D77" w:rsidRDefault="00F62D77" w:rsidP="00695138">
      <w:pPr>
        <w:pStyle w:val="a6"/>
        <w:ind w:firstLine="142"/>
        <w:jc w:val="both"/>
      </w:pPr>
      <w:r>
        <w:t>доля сведений о существующих кладбищах, стенах скорби, крематориях, а также местах захоронений на кладбищах и в стенах скорби, включенных в электронные реестры и размещенных на региональных порталах государственных и муниципальных услуг, от общего количества существующих кладбищ, стен скорби, крематориев, а также мест захоронений на кладбищах и в стенах скорби на территории Приморского края – 50 процентов.</w:t>
      </w:r>
    </w:p>
  </w:footnote>
  <w:footnote w:id="87">
    <w:p w14:paraId="02D487D1" w14:textId="77777777" w:rsidR="00F62D77" w:rsidRPr="0084265D" w:rsidRDefault="00F62D77" w:rsidP="00590741">
      <w:pPr>
        <w:pStyle w:val="a6"/>
        <w:ind w:firstLine="142"/>
        <w:jc w:val="both"/>
      </w:pPr>
      <w:r w:rsidRPr="0084265D">
        <w:rPr>
          <w:rStyle w:val="a8"/>
        </w:rPr>
        <w:footnoteRef/>
      </w:r>
      <w:r w:rsidRPr="0084265D">
        <w:t xml:space="preserve"> Постановление Правительства Приморского края от 01.08.2023 № 530-пп «Об утверждении Типового порядка проведения инвентаризации кладбищ, стен скорби, крематориев, а также мест захоронений на кладбищах и в стенах скорби, расположенных на территории Приморского края».</w:t>
      </w:r>
    </w:p>
  </w:footnote>
  <w:footnote w:id="88">
    <w:p w14:paraId="2E6B052A" w14:textId="77777777" w:rsidR="00F62D77" w:rsidRPr="00204A78" w:rsidRDefault="00F62D77" w:rsidP="00590741">
      <w:pPr>
        <w:autoSpaceDE w:val="0"/>
        <w:autoSpaceDN w:val="0"/>
        <w:adjustRightInd w:val="0"/>
        <w:spacing w:after="0" w:line="240" w:lineRule="auto"/>
        <w:ind w:firstLine="142"/>
        <w:jc w:val="both"/>
        <w:rPr>
          <w:rFonts w:ascii="Times New Roman" w:hAnsi="Times New Roman" w:cs="Times New Roman"/>
          <w:sz w:val="20"/>
          <w:szCs w:val="20"/>
        </w:rPr>
      </w:pPr>
      <w:r w:rsidRPr="0084265D">
        <w:rPr>
          <w:rStyle w:val="a8"/>
          <w:sz w:val="20"/>
          <w:szCs w:val="20"/>
        </w:rPr>
        <w:footnoteRef/>
      </w:r>
      <w:r w:rsidRPr="0084265D">
        <w:rPr>
          <w:sz w:val="20"/>
          <w:szCs w:val="20"/>
        </w:rPr>
        <w:t xml:space="preserve"> </w:t>
      </w:r>
      <w:r w:rsidRPr="0084265D">
        <w:rPr>
          <w:rFonts w:ascii="Times New Roman" w:hAnsi="Times New Roman" w:cs="Times New Roman"/>
          <w:sz w:val="20"/>
          <w:szCs w:val="20"/>
        </w:rPr>
        <w:t>https://gosuslugi.primorsky.ru/pgu/department/list.htm</w:t>
      </w:r>
    </w:p>
  </w:footnote>
  <w:footnote w:id="89">
    <w:p w14:paraId="5AB1E47D" w14:textId="5ADCE735" w:rsidR="00F62D77" w:rsidRDefault="00F62D77" w:rsidP="00590741">
      <w:pPr>
        <w:pStyle w:val="a6"/>
        <w:ind w:firstLine="142"/>
        <w:jc w:val="both"/>
      </w:pPr>
      <w:r>
        <w:rPr>
          <w:rStyle w:val="a8"/>
        </w:rPr>
        <w:footnoteRef/>
      </w:r>
      <w:r>
        <w:t>С</w:t>
      </w:r>
      <w:r w:rsidRPr="00D26F11">
        <w:t xml:space="preserve">оглашение заключено 07.06.2024, то есть с нарушением срока, установленного абзацем </w:t>
      </w:r>
      <w:r>
        <w:t>2</w:t>
      </w:r>
      <w:r w:rsidRPr="00D26F11">
        <w:t xml:space="preserve"> пункта 4.1 статьи 139 Бюджетного кодекса Российской Федерации (не позднее 30 дней после дня вступления в силу закона субъекта Российской Федерации о внесении изменений в закон бюджета субъекта Российской Федерации) и пунктом 8 Порядка предоставления и расходования субсидий, из краевого бюджета бюджетам муниципальных образований Приморского края на мероприятия по строительству объектов ритуального назначения некапитального характера на общественных кладбищах, расположенных на территории муниципальных образований, и обустройству прилегающей к ним территории (приложение № 28 к паспорту ГП).</w:t>
      </w:r>
    </w:p>
  </w:footnote>
  <w:footnote w:id="90">
    <w:p w14:paraId="75978425" w14:textId="15D02729" w:rsidR="00F62D77" w:rsidRPr="00B90D59" w:rsidRDefault="00F62D77" w:rsidP="00F022E0">
      <w:pPr>
        <w:autoSpaceDE w:val="0"/>
        <w:autoSpaceDN w:val="0"/>
        <w:adjustRightInd w:val="0"/>
        <w:spacing w:after="0" w:line="240" w:lineRule="auto"/>
        <w:ind w:firstLine="142"/>
        <w:jc w:val="both"/>
        <w:rPr>
          <w:rFonts w:ascii="Times New Roman" w:hAnsi="Times New Roman" w:cs="Times New Roman"/>
          <w:sz w:val="20"/>
          <w:szCs w:val="20"/>
        </w:rPr>
      </w:pPr>
      <w:r w:rsidRPr="00B90D59">
        <w:rPr>
          <w:rStyle w:val="a8"/>
          <w:rFonts w:ascii="Times New Roman" w:hAnsi="Times New Roman"/>
          <w:sz w:val="20"/>
          <w:szCs w:val="20"/>
        </w:rPr>
        <w:footnoteRef/>
      </w:r>
      <w:r w:rsidRPr="00B90D59">
        <w:rPr>
          <w:rFonts w:ascii="Times New Roman" w:hAnsi="Times New Roman" w:cs="Times New Roman"/>
          <w:sz w:val="20"/>
          <w:szCs w:val="20"/>
        </w:rPr>
        <w:t xml:space="preserve"> Федеральный закон от 12.01.1996 № 8-ФЗ "О погребении и похоронном деле",</w:t>
      </w:r>
      <w:r>
        <w:rPr>
          <w:rFonts w:ascii="Times New Roman" w:hAnsi="Times New Roman" w:cs="Times New Roman"/>
          <w:sz w:val="20"/>
          <w:szCs w:val="20"/>
        </w:rPr>
        <w:t xml:space="preserve"> За</w:t>
      </w:r>
      <w:r w:rsidRPr="00B90D59">
        <w:rPr>
          <w:rFonts w:ascii="Times New Roman" w:hAnsi="Times New Roman" w:cs="Times New Roman"/>
          <w:sz w:val="20"/>
          <w:szCs w:val="20"/>
        </w:rPr>
        <w:t xml:space="preserve">кон Приморского края </w:t>
      </w:r>
      <w:r w:rsidRPr="00B90D59">
        <w:rPr>
          <w:rFonts w:ascii="Times New Roman" w:hAnsi="Times New Roman" w:cs="Times New Roman"/>
          <w:sz w:val="20"/>
          <w:szCs w:val="20"/>
        </w:rPr>
        <w:br/>
        <w:t>от 23.12.2005 № 332-КЗ (ред. от 06.03.2024) "О погребении и похоронном деле в Приморском крае".</w:t>
      </w:r>
    </w:p>
  </w:footnote>
  <w:footnote w:id="91">
    <w:p w14:paraId="50B57F7E" w14:textId="23120720" w:rsidR="00F62D77" w:rsidRPr="00B90D59" w:rsidRDefault="00F62D77" w:rsidP="00F022E0">
      <w:pPr>
        <w:pStyle w:val="a6"/>
        <w:ind w:firstLine="142"/>
        <w:jc w:val="both"/>
      </w:pPr>
      <w:r w:rsidRPr="00B90D59">
        <w:rPr>
          <w:rStyle w:val="a8"/>
        </w:rPr>
        <w:footnoteRef/>
      </w:r>
      <w:r w:rsidRPr="00B90D59">
        <w:t xml:space="preserve"> Распоряжение Правительства РФ от 31.10.2022 </w:t>
      </w:r>
      <w:r>
        <w:t>№</w:t>
      </w:r>
      <w:r w:rsidRPr="00B90D59">
        <w:t xml:space="preserve"> 3268-р (ред. от 21.10.2024) "Об утверждении Стратегии развития строительной отрасли и жилищно-коммунального хозяйства Российской Федерации на период до 2030 года с прогнозом до 2035 года".</w:t>
      </w:r>
    </w:p>
  </w:footnote>
  <w:footnote w:id="92">
    <w:p w14:paraId="5DE8EEF2" w14:textId="7A455FAC" w:rsidR="00F62D77" w:rsidRPr="00B90D59" w:rsidRDefault="00F62D77" w:rsidP="00F022E0">
      <w:pPr>
        <w:pStyle w:val="a6"/>
        <w:ind w:firstLine="142"/>
        <w:jc w:val="both"/>
      </w:pPr>
      <w:r w:rsidRPr="00B90D59">
        <w:rPr>
          <w:rStyle w:val="a8"/>
        </w:rPr>
        <w:footnoteRef/>
      </w:r>
      <w:r w:rsidRPr="00B90D59">
        <w:t xml:space="preserve">Распоряжение Правительства РФ от 02.09.2021 </w:t>
      </w:r>
      <w:r>
        <w:t>№</w:t>
      </w:r>
      <w:r w:rsidRPr="00B90D59">
        <w:t xml:space="preserve"> 2424-р (ред. от 28.03.2025) "Об утверждении Национального плана ("дорожной карты") развития конкуренции в Российской Федерации на 2021 - 2025 годы"</w:t>
      </w:r>
      <w:r>
        <w:t>.</w:t>
      </w:r>
    </w:p>
  </w:footnote>
  <w:footnote w:id="93">
    <w:p w14:paraId="4C23A283" w14:textId="24314FAD" w:rsidR="00F62D77" w:rsidRPr="006E237A" w:rsidRDefault="00F62D77" w:rsidP="00A86B54">
      <w:pPr>
        <w:pStyle w:val="a6"/>
        <w:ind w:firstLine="142"/>
        <w:rPr>
          <w:sz w:val="22"/>
          <w:szCs w:val="22"/>
        </w:rPr>
      </w:pPr>
      <w:r>
        <w:rPr>
          <w:rStyle w:val="a8"/>
        </w:rPr>
        <w:footnoteRef/>
      </w:r>
      <w:r>
        <w:t xml:space="preserve"> З</w:t>
      </w:r>
      <w:r w:rsidRPr="006E237A">
        <w:rPr>
          <w:sz w:val="22"/>
          <w:szCs w:val="22"/>
        </w:rPr>
        <w:t>акон Приморского края от 06.10.2011 № 819</w:t>
      </w:r>
      <w:r>
        <w:rPr>
          <w:sz w:val="22"/>
          <w:szCs w:val="22"/>
        </w:rPr>
        <w:t>-</w:t>
      </w:r>
      <w:r w:rsidRPr="006E237A">
        <w:rPr>
          <w:sz w:val="22"/>
          <w:szCs w:val="22"/>
        </w:rPr>
        <w:t>КЗ "О дорожном фонде Приморского края".</w:t>
      </w:r>
    </w:p>
  </w:footnote>
  <w:footnote w:id="94">
    <w:p w14:paraId="0E1E6B50" w14:textId="77777777" w:rsidR="00F62D77" w:rsidRPr="00920B98" w:rsidRDefault="00F62D77" w:rsidP="00A20FFC">
      <w:pPr>
        <w:pStyle w:val="a6"/>
        <w:ind w:firstLine="142"/>
        <w:jc w:val="both"/>
      </w:pPr>
      <w:r w:rsidRPr="00920B98">
        <w:rPr>
          <w:rStyle w:val="a8"/>
        </w:rPr>
        <w:footnoteRef/>
      </w:r>
      <w:r w:rsidRPr="00920B98">
        <w:t xml:space="preserve"> Реконструкция автомобильной дороги местного значения от с. Петровка до территории Приморского металлургического завода в сумме 49,90 млн рублей</w:t>
      </w:r>
      <w:r>
        <w:t xml:space="preserve">; </w:t>
      </w:r>
      <w:r w:rsidRPr="0019496E">
        <w:t>Реконструкция автомобильной дороги от ул. Маслакова вдоль Судостроительного комплекса "Звезда" до территории Приморского металлургического завода</w:t>
      </w:r>
      <w:r>
        <w:t xml:space="preserve"> – 46,44 млн рублей.</w:t>
      </w:r>
    </w:p>
  </w:footnote>
  <w:footnote w:id="95">
    <w:p w14:paraId="7D09B6A7" w14:textId="455583D1" w:rsidR="00F62D77" w:rsidRDefault="00F62D77" w:rsidP="005A18F7">
      <w:pPr>
        <w:pStyle w:val="a6"/>
        <w:ind w:firstLine="142"/>
        <w:jc w:val="both"/>
      </w:pPr>
      <w:r>
        <w:rPr>
          <w:rStyle w:val="a8"/>
        </w:rPr>
        <w:footnoteRef/>
      </w:r>
      <w:r>
        <w:t xml:space="preserve"> ООО «РСК» письмом от 18.03.2025 № 03/25-358 (далее – письмо ООО «РСК») сообщило министерству о том, что находится в тяжелом материальном положении и о невозможности продолжения выполнения работ на Объекте. Учитывая, что ООО «РСК» с 19.11.2024 остановлены все строительно-монтажные работы на Объекте и обстоятельства, указанные в письме ООО «РСК», и очевидность того факта, что ввод Объекта в эксплуатацию невозможен в установленные контрактом сроки, министерство в одностороннем порядке расторгло контракт – Решение Заказчика об одностороннем отказе от исполнения контракта от 01.04.2025 № 16/3091/8. Решение вступило в силу и Контракт считается расторгнутым 15.04.2025.</w:t>
      </w:r>
    </w:p>
  </w:footnote>
  <w:footnote w:id="96">
    <w:p w14:paraId="400788DF" w14:textId="77777777" w:rsidR="00F62D77" w:rsidRDefault="00F62D77" w:rsidP="005A18F7">
      <w:pPr>
        <w:pStyle w:val="a6"/>
        <w:ind w:firstLine="142"/>
        <w:jc w:val="both"/>
      </w:pPr>
      <w:r>
        <w:rPr>
          <w:rStyle w:val="a8"/>
        </w:rPr>
        <w:footnoteRef/>
      </w:r>
      <w:r>
        <w:t xml:space="preserve"> мостовой переход через р. Петровка на км 69+310 автомобильной дороги Артем - Находка - порт Восточный; мостовой переход через р. </w:t>
      </w:r>
      <w:proofErr w:type="spellStart"/>
      <w:r>
        <w:t>Арзамазовка</w:t>
      </w:r>
      <w:proofErr w:type="spellEnd"/>
      <w:r>
        <w:t xml:space="preserve"> на км 317+420 автомобильной дороги Находка - Лазо - Ольга - Кавалерово; мостовой переход через р. </w:t>
      </w:r>
      <w:proofErr w:type="spellStart"/>
      <w:r>
        <w:t>Царевка</w:t>
      </w:r>
      <w:proofErr w:type="spellEnd"/>
      <w:r>
        <w:t xml:space="preserve"> на км 62+450 автомобильной дороги Артем - Находка - порт Восточный; </w:t>
      </w:r>
      <w:r>
        <w:rPr>
          <w:color w:val="000000"/>
        </w:rPr>
        <w:t xml:space="preserve">мостового перехода через р. Илистая на км 8+212 автомобильной дороги </w:t>
      </w:r>
      <w:proofErr w:type="spellStart"/>
      <w:r>
        <w:rPr>
          <w:color w:val="000000"/>
        </w:rPr>
        <w:t>Сибирцево</w:t>
      </w:r>
      <w:proofErr w:type="spellEnd"/>
      <w:r>
        <w:rPr>
          <w:color w:val="000000"/>
        </w:rPr>
        <w:t>-</w:t>
      </w:r>
      <w:proofErr w:type="spellStart"/>
      <w:r>
        <w:rPr>
          <w:color w:val="000000"/>
        </w:rPr>
        <w:t>Жариково</w:t>
      </w:r>
      <w:proofErr w:type="spellEnd"/>
      <w:r>
        <w:rPr>
          <w:color w:val="000000"/>
        </w:rPr>
        <w:t>-Комиссарово в Приморском крае.</w:t>
      </w:r>
    </w:p>
  </w:footnote>
  <w:footnote w:id="97">
    <w:p w14:paraId="7C1A9E50" w14:textId="06C164EA" w:rsidR="00F62D77" w:rsidRPr="007A4E97" w:rsidRDefault="00F62D77" w:rsidP="00A86B54">
      <w:pPr>
        <w:autoSpaceDE w:val="0"/>
        <w:autoSpaceDN w:val="0"/>
        <w:adjustRightInd w:val="0"/>
        <w:spacing w:after="0" w:line="240" w:lineRule="auto"/>
        <w:ind w:firstLine="142"/>
        <w:jc w:val="both"/>
        <w:rPr>
          <w:rFonts w:ascii="Times New Roman" w:eastAsia="Times New Roman" w:hAnsi="Times New Roman" w:cs="Times New Roman"/>
          <w:sz w:val="20"/>
          <w:szCs w:val="20"/>
          <w:lang w:eastAsia="ru-RU"/>
        </w:rPr>
      </w:pPr>
      <w:r w:rsidRPr="007A4E97">
        <w:rPr>
          <w:rStyle w:val="a8"/>
          <w:rFonts w:ascii="Times New Roman" w:hAnsi="Times New Roman"/>
          <w:sz w:val="20"/>
          <w:szCs w:val="20"/>
        </w:rPr>
        <w:footnoteRef/>
      </w:r>
      <w:r w:rsidRPr="007A4E97">
        <w:rPr>
          <w:rFonts w:ascii="Times New Roman" w:hAnsi="Times New Roman" w:cs="Times New Roman"/>
          <w:sz w:val="20"/>
          <w:szCs w:val="20"/>
        </w:rPr>
        <w:t xml:space="preserve"> </w:t>
      </w:r>
      <w:r w:rsidRPr="007A4E97">
        <w:rPr>
          <w:rFonts w:ascii="Times New Roman" w:eastAsia="Times New Roman" w:hAnsi="Times New Roman" w:cs="Times New Roman"/>
          <w:sz w:val="20"/>
          <w:szCs w:val="20"/>
          <w:lang w:eastAsia="ru-RU"/>
        </w:rPr>
        <w:t xml:space="preserve">Ниже законодательно установленного объема дорожного фонда на </w:t>
      </w:r>
      <w:r>
        <w:rPr>
          <w:rFonts w:ascii="Times New Roman" w:hAnsi="Times New Roman" w:cs="Times New Roman"/>
          <w:sz w:val="20"/>
          <w:szCs w:val="20"/>
        </w:rPr>
        <w:t>133,72</w:t>
      </w:r>
      <w:r w:rsidRPr="007A4E97">
        <w:rPr>
          <w:rFonts w:ascii="Times New Roman" w:hAnsi="Times New Roman" w:cs="Times New Roman"/>
          <w:sz w:val="20"/>
          <w:szCs w:val="20"/>
        </w:rPr>
        <w:t xml:space="preserve"> млн рублей</w:t>
      </w:r>
      <w:r w:rsidRPr="007A4E97">
        <w:rPr>
          <w:sz w:val="20"/>
          <w:szCs w:val="20"/>
        </w:rPr>
        <w:t xml:space="preserve"> </w:t>
      </w:r>
      <w:r w:rsidRPr="007A4E97">
        <w:rPr>
          <w:rFonts w:ascii="Times New Roman" w:eastAsia="Times New Roman" w:hAnsi="Times New Roman" w:cs="Times New Roman"/>
          <w:sz w:val="20"/>
          <w:szCs w:val="20"/>
          <w:lang w:eastAsia="ru-RU"/>
        </w:rPr>
        <w:t xml:space="preserve"> (</w:t>
      </w:r>
      <w:r w:rsidRPr="007A4E97">
        <w:rPr>
          <w:rFonts w:ascii="Times New Roman" w:hAnsi="Times New Roman" w:cs="Times New Roman"/>
          <w:sz w:val="20"/>
          <w:szCs w:val="20"/>
        </w:rPr>
        <w:t xml:space="preserve">в размере </w:t>
      </w:r>
      <w:r w:rsidRPr="007A4E97">
        <w:rPr>
          <w:rFonts w:ascii="Times New Roman" w:hAnsi="Times New Roman" w:cs="Times New Roman"/>
          <w:b/>
          <w:sz w:val="20"/>
          <w:szCs w:val="20"/>
        </w:rPr>
        <w:t>не менее 5 % объема</w:t>
      </w:r>
      <w:r w:rsidRPr="007A4E97">
        <w:rPr>
          <w:rFonts w:ascii="Times New Roman" w:hAnsi="Times New Roman" w:cs="Times New Roman"/>
          <w:sz w:val="20"/>
          <w:szCs w:val="20"/>
        </w:rPr>
        <w:t xml:space="preserve"> бюджетных ассигнований дорожного фонда, формируемого за счет доходов краевого бюджета от акцизов на автомобильный бензин, прямогонный бензин, дизельное топливо, моторные масла для дизельных и (или) карбюраторных (</w:t>
      </w:r>
      <w:proofErr w:type="spellStart"/>
      <w:r w:rsidRPr="007A4E97">
        <w:rPr>
          <w:rFonts w:ascii="Times New Roman" w:hAnsi="Times New Roman" w:cs="Times New Roman"/>
          <w:sz w:val="20"/>
          <w:szCs w:val="20"/>
        </w:rPr>
        <w:t>инжекторных</w:t>
      </w:r>
      <w:proofErr w:type="spellEnd"/>
      <w:r w:rsidRPr="007A4E97">
        <w:rPr>
          <w:rFonts w:ascii="Times New Roman" w:hAnsi="Times New Roman" w:cs="Times New Roman"/>
          <w:sz w:val="20"/>
          <w:szCs w:val="20"/>
        </w:rPr>
        <w:t>) двигателей, производимые на территории Российской Федерации, подлежащих зачислению в краевой бюджет, а также транспортного налога, в том числе в виде субсидий местным бюджетам на указанную дорожную деятельность в отношении автомобильных дорог общего пользования местного значения (</w:t>
      </w:r>
      <w:r>
        <w:rPr>
          <w:rFonts w:ascii="Times New Roman" w:hAnsi="Times New Roman" w:cs="Times New Roman"/>
          <w:sz w:val="20"/>
          <w:szCs w:val="20"/>
        </w:rPr>
        <w:t>698,50</w:t>
      </w:r>
      <w:r w:rsidRPr="007A4E97">
        <w:rPr>
          <w:rFonts w:ascii="Times New Roman" w:hAnsi="Times New Roman" w:cs="Times New Roman"/>
          <w:sz w:val="20"/>
          <w:szCs w:val="20"/>
        </w:rPr>
        <w:t xml:space="preserve"> млн рублей, или 5 %</w:t>
      </w:r>
      <w:r>
        <w:rPr>
          <w:rFonts w:ascii="Times New Roman" w:hAnsi="Times New Roman" w:cs="Times New Roman"/>
          <w:sz w:val="20"/>
          <w:szCs w:val="20"/>
        </w:rPr>
        <w:t>,</w:t>
      </w:r>
      <w:r w:rsidRPr="007A4E97">
        <w:rPr>
          <w:rFonts w:ascii="Times New Roman" w:hAnsi="Times New Roman" w:cs="Times New Roman"/>
          <w:sz w:val="20"/>
          <w:szCs w:val="20"/>
        </w:rPr>
        <w:t xml:space="preserve"> от планового объема бюджетных ассигнований дорожного фонда</w:t>
      </w:r>
      <w:r>
        <w:rPr>
          <w:rFonts w:ascii="Times New Roman" w:hAnsi="Times New Roman" w:cs="Times New Roman"/>
          <w:sz w:val="20"/>
          <w:szCs w:val="20"/>
        </w:rPr>
        <w:t>,</w:t>
      </w:r>
      <w:r w:rsidRPr="007A4E97">
        <w:rPr>
          <w:rFonts w:ascii="Times New Roman" w:hAnsi="Times New Roman" w:cs="Times New Roman"/>
          <w:sz w:val="20"/>
          <w:szCs w:val="20"/>
        </w:rPr>
        <w:t xml:space="preserve"> – </w:t>
      </w:r>
      <w:r>
        <w:rPr>
          <w:rFonts w:ascii="Times New Roman" w:hAnsi="Times New Roman" w:cs="Times New Roman"/>
          <w:sz w:val="20"/>
          <w:szCs w:val="20"/>
        </w:rPr>
        <w:t>13970,08</w:t>
      </w:r>
      <w:r w:rsidRPr="007A4E97">
        <w:rPr>
          <w:rFonts w:ascii="Times New Roman" w:hAnsi="Times New Roman" w:cs="Times New Roman"/>
          <w:sz w:val="20"/>
          <w:szCs w:val="20"/>
        </w:rPr>
        <w:t xml:space="preserve"> млн рублей)</w:t>
      </w:r>
      <w:r w:rsidRPr="007A4E97">
        <w:rPr>
          <w:rFonts w:ascii="Times New Roman" w:eastAsia="Times New Roman" w:hAnsi="Times New Roman" w:cs="Times New Roman"/>
          <w:sz w:val="20"/>
          <w:szCs w:val="20"/>
          <w:lang w:eastAsia="ru-RU"/>
        </w:rPr>
        <w:t>.</w:t>
      </w:r>
    </w:p>
  </w:footnote>
  <w:footnote w:id="98">
    <w:p w14:paraId="243851F5" w14:textId="375D4DEE" w:rsidR="00F62D77" w:rsidRPr="00E27A4E" w:rsidRDefault="00F62D77" w:rsidP="00A86B54">
      <w:pPr>
        <w:spacing w:after="0" w:line="240" w:lineRule="auto"/>
        <w:ind w:firstLine="142"/>
        <w:jc w:val="both"/>
        <w:rPr>
          <w:rFonts w:ascii="Times New Roman" w:hAnsi="Times New Roman" w:cs="Times New Roman"/>
          <w:sz w:val="20"/>
          <w:szCs w:val="20"/>
        </w:rPr>
      </w:pPr>
      <w:r w:rsidRPr="00C0732F">
        <w:rPr>
          <w:rStyle w:val="a8"/>
          <w:rFonts w:ascii="Times New Roman" w:hAnsi="Times New Roman"/>
          <w:sz w:val="20"/>
          <w:szCs w:val="20"/>
        </w:rPr>
        <w:footnoteRef/>
      </w:r>
      <w:r w:rsidRPr="00C0732F">
        <w:rPr>
          <w:rFonts w:ascii="Times New Roman" w:hAnsi="Times New Roman" w:cs="Times New Roman"/>
          <w:sz w:val="20"/>
          <w:szCs w:val="20"/>
        </w:rPr>
        <w:t xml:space="preserve"> Поступили в 2022 году </w:t>
      </w:r>
      <w:r w:rsidRPr="00C0732F">
        <w:rPr>
          <w:rFonts w:ascii="Times New Roman" w:hAnsi="Times New Roman" w:cs="Times New Roman"/>
          <w:color w:val="000000"/>
          <w:sz w:val="20"/>
          <w:szCs w:val="20"/>
        </w:rPr>
        <w:t xml:space="preserve">от АО </w:t>
      </w:r>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Газстройпром</w:t>
      </w:r>
      <w:proofErr w:type="spellEnd"/>
      <w:r>
        <w:rPr>
          <w:rFonts w:ascii="Times New Roman" w:hAnsi="Times New Roman" w:cs="Times New Roman"/>
          <w:color w:val="000000"/>
          <w:sz w:val="20"/>
          <w:szCs w:val="20"/>
        </w:rPr>
        <w:t>"</w:t>
      </w:r>
      <w:r w:rsidRPr="00C0732F">
        <w:rPr>
          <w:rFonts w:ascii="Times New Roman" w:hAnsi="Times New Roman" w:cs="Times New Roman"/>
          <w:color w:val="000000"/>
          <w:sz w:val="20"/>
          <w:szCs w:val="20"/>
        </w:rPr>
        <w:t xml:space="preserve"> в сумме 294,58 млн рублей в целях компенсации за пользование автомобильными дорогами общего пользования регионального или межмуниципального значения Приморского края, мостовых сооружений, искусственных дорожных сооружений, расположенных на данных автомобильных дорогах, являющихся собственностью Приморского края и используемых для</w:t>
      </w:r>
      <w:r w:rsidRPr="00E27A4E">
        <w:rPr>
          <w:rFonts w:ascii="Times New Roman" w:hAnsi="Times New Roman" w:cs="Times New Roman"/>
          <w:color w:val="000000"/>
          <w:sz w:val="20"/>
          <w:szCs w:val="20"/>
        </w:rPr>
        <w:t xml:space="preserve"> доставки грузов за весь период выполнения работ, а также до и после строительства объекта «Газопровод-отвод и ГРС Врангель Приморского края» по соглашению № ГСП-22-02180/15 от 28.10.2022.</w:t>
      </w:r>
    </w:p>
  </w:footnote>
  <w:footnote w:id="99">
    <w:p w14:paraId="1FACF740" w14:textId="504DBCD9" w:rsidR="00F62D77" w:rsidRDefault="00F62D77" w:rsidP="00A02C43">
      <w:pPr>
        <w:pStyle w:val="a6"/>
        <w:ind w:firstLine="142"/>
        <w:jc w:val="both"/>
      </w:pPr>
      <w:r>
        <w:rPr>
          <w:rStyle w:val="a8"/>
        </w:rPr>
        <w:footnoteRef/>
      </w:r>
      <w:r>
        <w:t> Согласно п</w:t>
      </w:r>
      <w:r w:rsidRPr="00736EA0">
        <w:t>остановлени</w:t>
      </w:r>
      <w:r>
        <w:t>ю</w:t>
      </w:r>
      <w:r w:rsidRPr="00736EA0">
        <w:t xml:space="preserve"> Правительства Приморского края от 28.12.2023 </w:t>
      </w:r>
      <w:r>
        <w:t>№</w:t>
      </w:r>
      <w:r w:rsidRPr="00736EA0">
        <w:t xml:space="preserve"> 960-пп "Об утверждении перечней главных администраторов доходов краевого бюджета, главных администраторов доходов бюджета территориального фонда обязательного медицинского страхования Приморского края, главных администраторов источников финансирования дефицита краевого бюджета, главных администраторов источников финансирования дефицита бюджета территориального фонда обязательного медицинского страхования Приморского края на 2024 год"</w:t>
      </w:r>
      <w:r>
        <w:t>.</w:t>
      </w:r>
    </w:p>
  </w:footnote>
  <w:footnote w:id="100">
    <w:p w14:paraId="49962485" w14:textId="77777777" w:rsidR="00F62D77" w:rsidRPr="007660CE" w:rsidRDefault="00F62D77" w:rsidP="00A02C43">
      <w:pPr>
        <w:pStyle w:val="a6"/>
        <w:ind w:firstLine="142"/>
        <w:jc w:val="both"/>
      </w:pPr>
      <w:r w:rsidRPr="007660CE">
        <w:rPr>
          <w:rStyle w:val="a8"/>
        </w:rPr>
        <w:footnoteRef/>
      </w:r>
      <w:r w:rsidRPr="007660CE">
        <w:t xml:space="preserve"> Официальный сайт Минфина России: Сведения об объеме и структуре государственного долга субъектов РФ на отчетную дату </w:t>
      </w:r>
      <w:hyperlink r:id="rId3" w:history="1">
        <w:r w:rsidRPr="007660CE">
          <w:rPr>
            <w:rStyle w:val="afd"/>
            <w:color w:val="171717" w:themeColor="background2" w:themeShade="1A"/>
          </w:rPr>
          <w:t>https://minfin.gov.ru/ru/perfomance/public_debt/subj/subdbt/</w:t>
        </w:r>
      </w:hyperlink>
      <w:r w:rsidRPr="007660CE">
        <w:rPr>
          <w:color w:val="171717" w:themeColor="background2" w:themeShade="1A"/>
        </w:rPr>
        <w:t xml:space="preserve"> </w:t>
      </w:r>
    </w:p>
  </w:footnote>
  <w:footnote w:id="101">
    <w:p w14:paraId="2003ED17" w14:textId="5E6032D0" w:rsidR="00F62D77" w:rsidRPr="007660CE" w:rsidRDefault="00F62D77" w:rsidP="00A02C43">
      <w:pPr>
        <w:pStyle w:val="a6"/>
        <w:ind w:firstLine="142"/>
        <w:jc w:val="both"/>
        <w:rPr>
          <w:color w:val="171717" w:themeColor="background2" w:themeShade="1A"/>
        </w:rPr>
      </w:pPr>
      <w:r w:rsidRPr="007660CE">
        <w:rPr>
          <w:rStyle w:val="a8"/>
        </w:rPr>
        <w:footnoteRef/>
      </w:r>
      <w:r w:rsidRPr="007660CE">
        <w:t xml:space="preserve">Официальный сайт Минфина России. Сведения об объеме и структуре государственного долга субъектов РФ на отчетную дату </w:t>
      </w:r>
      <w:hyperlink r:id="rId4" w:history="1">
        <w:r w:rsidRPr="007660CE">
          <w:rPr>
            <w:rStyle w:val="afd"/>
            <w:color w:val="171717" w:themeColor="background2" w:themeShade="1A"/>
          </w:rPr>
          <w:t>https://minfin.gov.ru/ru/perfomance/public_debt/subj/subdbt?id_57=310725-obem_i_struktura_gosudarstvennogo_dolga_subektov_rossiiskoi_federatsii_i_dolga_munitsipalnykh_obrazovanii_na_1_yanvarya_2025_g</w:t>
        </w:r>
      </w:hyperlink>
    </w:p>
  </w:footnote>
  <w:footnote w:id="102">
    <w:p w14:paraId="51AB5EFA" w14:textId="77777777" w:rsidR="00F62D77" w:rsidRPr="00FE0415" w:rsidRDefault="00F62D77" w:rsidP="00F22C9F">
      <w:pPr>
        <w:pStyle w:val="a6"/>
        <w:ind w:firstLine="142"/>
      </w:pPr>
      <w:r w:rsidRPr="00FE0415">
        <w:rPr>
          <w:rStyle w:val="a8"/>
        </w:rPr>
        <w:footnoteRef/>
      </w:r>
      <w:r w:rsidRPr="00FE0415">
        <w:t xml:space="preserve"> </w:t>
      </w:r>
      <w:hyperlink r:id="rId5" w:history="1">
        <w:r w:rsidRPr="00FE0415">
          <w:rPr>
            <w:rStyle w:val="afd"/>
            <w:color w:val="auto"/>
          </w:rPr>
          <w:t>https://riarating.ru/images/63027/75/630277583.pdf</w:t>
        </w:r>
      </w:hyperlink>
    </w:p>
  </w:footnote>
  <w:footnote w:id="103">
    <w:p w14:paraId="36676B92" w14:textId="42F8D0AB" w:rsidR="00F62D77" w:rsidRDefault="00F62D77" w:rsidP="00F22C9F">
      <w:pPr>
        <w:pStyle w:val="a6"/>
        <w:ind w:firstLine="142"/>
        <w:jc w:val="both"/>
      </w:pPr>
      <w:r w:rsidRPr="00FE0415">
        <w:rPr>
          <w:rStyle w:val="a8"/>
        </w:rPr>
        <w:footnoteRef/>
      </w:r>
      <w:r w:rsidRPr="00FE0415">
        <w:t xml:space="preserve"> </w:t>
      </w:r>
      <w:bookmarkStart w:id="27" w:name="_Hlk198046723"/>
      <w:r w:rsidRPr="00FE0415">
        <w:t>По информации из отчета о контрольном мероприятии Контрольно</w:t>
      </w:r>
      <w:r>
        <w:t>-счетной палаты Приморского края "</w:t>
      </w:r>
      <w:r w:rsidRPr="000B37BD">
        <w:rPr>
          <w:bCs/>
        </w:rPr>
        <w:t>Оценка состояния государственного долга Приморского края, долга муниципальных образований Приморского края. Долговые обязательства юридических лиц по бюджетным кредитам по состоянию на 01.01.2025</w:t>
      </w:r>
      <w:r>
        <w:rPr>
          <w:bCs/>
        </w:rPr>
        <w:t>"</w:t>
      </w:r>
      <w:bookmarkEnd w:id="27"/>
      <w:r>
        <w:rPr>
          <w:bCs/>
        </w:rPr>
        <w:t>.</w:t>
      </w:r>
    </w:p>
  </w:footnote>
  <w:footnote w:id="104">
    <w:p w14:paraId="38969635" w14:textId="77777777" w:rsidR="00F62D77" w:rsidRDefault="00F62D77" w:rsidP="00A02C43">
      <w:pPr>
        <w:pStyle w:val="a6"/>
        <w:jc w:val="both"/>
      </w:pPr>
      <w:r>
        <w:rPr>
          <w:rStyle w:val="a8"/>
        </w:rPr>
        <w:footnoteRef/>
      </w:r>
      <w:r>
        <w:t>Согласно отчету о контрольном мероприятии Контрольно-счетной палаты Приморского края "</w:t>
      </w:r>
      <w:r w:rsidRPr="000B37BD">
        <w:rPr>
          <w:bCs/>
        </w:rPr>
        <w:t>Оценка состояния государственного долга Приморского края, долга муниципальных образований Приморского края. Долговые обязательства юридических лиц по бюджетным кредитам по состоянию на 01.01.2025</w:t>
      </w:r>
      <w:r>
        <w:rPr>
          <w:bCs/>
        </w:rPr>
        <w:t>".</w:t>
      </w:r>
    </w:p>
  </w:footnote>
  <w:footnote w:id="105">
    <w:p w14:paraId="040D44C0" w14:textId="77777777" w:rsidR="00F62D77" w:rsidRDefault="00F62D77" w:rsidP="00995D97">
      <w:pPr>
        <w:pStyle w:val="a6"/>
        <w:ind w:firstLine="142"/>
        <w:jc w:val="both"/>
      </w:pPr>
      <w:r>
        <w:rPr>
          <w:rStyle w:val="a8"/>
        </w:rPr>
        <w:footnoteRef/>
      </w:r>
      <w:r>
        <w:t xml:space="preserve"> Приказы Минфина России от 01.09.2021 № 120н "Об утверждении федерального стандарта внутреннего финансового аудита "Осуществление внутреннего финансового аудита в целях подтверждения достоверности бюджетной отчетности и соответствия порядка ведения бюджетного учета единой методологии бюджетного учета, составления, представления и утверждения бюджетной отчетности" и о внесении изменений в некоторые приказы Министерства финансов Российской Федерации по вопросам осуществления внутреннего финансового аудита" и от 18.12.2019 № 237н "Об утверждении федерального стандарта внутреннего финансового аудита "Основания и порядок организации, случаи и порядок передачи полномочий по осуществлению внутреннего финансового аудита".</w:t>
      </w:r>
    </w:p>
  </w:footnote>
  <w:footnote w:id="106">
    <w:p w14:paraId="0C1336E5" w14:textId="77777777" w:rsidR="00F62D77" w:rsidRPr="00D62C3A" w:rsidRDefault="00F62D77" w:rsidP="005B6095">
      <w:pPr>
        <w:pStyle w:val="a6"/>
        <w:tabs>
          <w:tab w:val="left" w:pos="567"/>
        </w:tabs>
        <w:ind w:firstLine="142"/>
        <w:jc w:val="both"/>
      </w:pPr>
      <w:r w:rsidRPr="00D62C3A">
        <w:rPr>
          <w:rStyle w:val="a8"/>
        </w:rPr>
        <w:footnoteRef/>
      </w:r>
      <w:r w:rsidRPr="00D62C3A">
        <w:t xml:space="preserve"> Постановление Губернатора Приморского края от 06.08.2019 № 52-пг "Об утверждении структуры органов исполнительной власти Приморского края" (в редакции от 16.12.2024 N 91-пг).</w:t>
      </w:r>
    </w:p>
  </w:footnote>
  <w:footnote w:id="107">
    <w:p w14:paraId="582DAB0F" w14:textId="5F340755" w:rsidR="00F62D77" w:rsidRPr="00EF4850" w:rsidRDefault="00F62D77" w:rsidP="008D0E1B">
      <w:pPr>
        <w:pStyle w:val="a6"/>
        <w:ind w:firstLine="142"/>
        <w:jc w:val="both"/>
      </w:pPr>
      <w:r w:rsidRPr="00EF4850">
        <w:rPr>
          <w:rStyle w:val="a8"/>
          <w:sz w:val="18"/>
          <w:szCs w:val="18"/>
        </w:rPr>
        <w:footnoteRef/>
      </w:r>
      <w:r w:rsidRPr="00EF4850">
        <w:rPr>
          <w:sz w:val="18"/>
          <w:szCs w:val="18"/>
        </w:rPr>
        <w:t xml:space="preserve"> </w:t>
      </w:r>
      <w:r w:rsidRPr="008E46C0">
        <w:rPr>
          <w:sz w:val="18"/>
          <w:szCs w:val="18"/>
        </w:rPr>
        <w:t>Приказ Минфина России от 27.02.2018 N 32н (ред. от 16.12.2019) "Об утверждении федерального стандарта бухгалтерского учета для организаций государственного сектора "Доходы"</w:t>
      </w:r>
      <w:r>
        <w:rPr>
          <w:sz w:val="18"/>
          <w:szCs w:val="18"/>
        </w:rPr>
        <w:t>.</w:t>
      </w:r>
      <w:r w:rsidRPr="008E46C0">
        <w:rPr>
          <w:sz w:val="18"/>
          <w:szCs w:val="18"/>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42621184"/>
      <w:docPartObj>
        <w:docPartGallery w:val="Page Numbers (Top of Page)"/>
        <w:docPartUnique/>
      </w:docPartObj>
    </w:sdtPr>
    <w:sdtContent>
      <w:p w14:paraId="478859A6" w14:textId="77777777" w:rsidR="00F62D77" w:rsidRDefault="00F62D77">
        <w:pPr>
          <w:pStyle w:val="a3"/>
          <w:jc w:val="center"/>
        </w:pPr>
        <w:r>
          <w:fldChar w:fldCharType="begin"/>
        </w:r>
        <w:r>
          <w:instrText>PAGE   \* MERGEFORMAT</w:instrText>
        </w:r>
        <w:r>
          <w:fldChar w:fldCharType="separate"/>
        </w:r>
        <w:r w:rsidR="00D67E45" w:rsidRPr="00D67E45">
          <w:rPr>
            <w:noProof/>
            <w:lang w:val="ru-RU"/>
          </w:rPr>
          <w:t>6</w:t>
        </w:r>
        <w:r>
          <w:fldChar w:fldCharType="end"/>
        </w:r>
      </w:p>
    </w:sdtContent>
  </w:sdt>
  <w:p w14:paraId="54E40C4C" w14:textId="77777777" w:rsidR="00F62D77" w:rsidRDefault="00F62D77">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E23B6"/>
    <w:multiLevelType w:val="singleLevel"/>
    <w:tmpl w:val="FFFE23B6"/>
    <w:lvl w:ilvl="0">
      <w:start w:val="1"/>
      <w:numFmt w:val="decimal"/>
      <w:suff w:val="space"/>
      <w:lvlText w:val="%1)"/>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6C15D02"/>
    <w:multiLevelType w:val="hybridMultilevel"/>
    <w:tmpl w:val="27D44E76"/>
    <w:lvl w:ilvl="0" w:tplc="74B0F574">
      <w:start w:val="1"/>
      <w:numFmt w:val="decimal"/>
      <w:pStyle w:val="-1"/>
      <w:lvlText w:val="%1."/>
      <w:lvlJc w:val="left"/>
      <w:pPr>
        <w:ind w:left="984" w:hanging="360"/>
      </w:pPr>
      <w:rPr>
        <w:b/>
      </w:rPr>
    </w:lvl>
    <w:lvl w:ilvl="1" w:tplc="04190019">
      <w:start w:val="1"/>
      <w:numFmt w:val="lowerLetter"/>
      <w:lvlText w:val="%2."/>
      <w:lvlJc w:val="left"/>
      <w:pPr>
        <w:ind w:left="644" w:hanging="360"/>
      </w:pPr>
    </w:lvl>
    <w:lvl w:ilvl="2" w:tplc="0419001B">
      <w:start w:val="1"/>
      <w:numFmt w:val="lowerRoman"/>
      <w:lvlText w:val="%3."/>
      <w:lvlJc w:val="right"/>
      <w:pPr>
        <w:ind w:left="2160" w:hanging="180"/>
      </w:pPr>
    </w:lvl>
    <w:lvl w:ilvl="3" w:tplc="24A8A756">
      <w:start w:val="1"/>
      <w:numFmt w:val="decimal"/>
      <w:lvlText w:val="%4."/>
      <w:lvlJc w:val="left"/>
      <w:pPr>
        <w:ind w:left="502" w:hanging="360"/>
      </w:pPr>
      <w:rPr>
        <w:b/>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0EC711A4"/>
    <w:multiLevelType w:val="multilevel"/>
    <w:tmpl w:val="D958B422"/>
    <w:lvl w:ilvl="0">
      <w:start w:val="2021"/>
      <w:numFmt w:val="decimal"/>
      <w:lvlText w:val="14.01.%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37F290D"/>
    <w:multiLevelType w:val="hybridMultilevel"/>
    <w:tmpl w:val="44E8DB6E"/>
    <w:lvl w:ilvl="0" w:tplc="55E242CE">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 w15:restartNumberingAfterBreak="0">
    <w:nsid w:val="186C09A4"/>
    <w:multiLevelType w:val="multilevel"/>
    <w:tmpl w:val="2F30A9C0"/>
    <w:lvl w:ilvl="0">
      <w:start w:val="1"/>
      <w:numFmt w:val="decimal"/>
      <w:lvlText w:val="1.5.%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C8D7872"/>
    <w:multiLevelType w:val="hybridMultilevel"/>
    <w:tmpl w:val="7C0A20F2"/>
    <w:lvl w:ilvl="0" w:tplc="71123FE4">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7" w15:restartNumberingAfterBreak="0">
    <w:nsid w:val="209F28B4"/>
    <w:multiLevelType w:val="hybridMultilevel"/>
    <w:tmpl w:val="8550D8F2"/>
    <w:lvl w:ilvl="0" w:tplc="4978CF84">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216B4FED"/>
    <w:multiLevelType w:val="hybridMultilevel"/>
    <w:tmpl w:val="0B5C4C9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2694DD5"/>
    <w:multiLevelType w:val="multilevel"/>
    <w:tmpl w:val="35AA02C2"/>
    <w:lvl w:ilvl="0">
      <w:start w:val="2019"/>
      <w:numFmt w:val="decimal"/>
      <w:lvlText w:val="23.08.%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5F56215"/>
    <w:multiLevelType w:val="multilevel"/>
    <w:tmpl w:val="3266CD26"/>
    <w:lvl w:ilvl="0">
      <w:start w:val="2019"/>
      <w:numFmt w:val="decimal"/>
      <w:lvlText w:val="25.10.%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7285A3E"/>
    <w:multiLevelType w:val="hybridMultilevel"/>
    <w:tmpl w:val="868ACB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32424EE4"/>
    <w:multiLevelType w:val="hybridMultilevel"/>
    <w:tmpl w:val="5FFCB6E4"/>
    <w:lvl w:ilvl="0" w:tplc="415018CA">
      <w:start w:val="1"/>
      <w:numFmt w:val="decimal"/>
      <w:lvlText w:val="%1."/>
      <w:lvlJc w:val="left"/>
      <w:pPr>
        <w:ind w:left="1414" w:hanging="7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39385989"/>
    <w:multiLevelType w:val="multilevel"/>
    <w:tmpl w:val="264E0A54"/>
    <w:lvl w:ilvl="0">
      <w:start w:val="5"/>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493B2093"/>
    <w:multiLevelType w:val="hybridMultilevel"/>
    <w:tmpl w:val="D74AF152"/>
    <w:lvl w:ilvl="0" w:tplc="ED08F992">
      <w:numFmt w:val="bullet"/>
      <w:lvlText w:val=""/>
      <w:lvlJc w:val="left"/>
      <w:pPr>
        <w:ind w:left="1789" w:hanging="360"/>
      </w:pPr>
      <w:rPr>
        <w:rFonts w:ascii="Symbol" w:eastAsia="Times New Roman" w:hAnsi="Symbol" w:cs="Times New Roman"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5" w15:restartNumberingAfterBreak="0">
    <w:nsid w:val="58895407"/>
    <w:multiLevelType w:val="multilevel"/>
    <w:tmpl w:val="B156AA1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59D75E2C"/>
    <w:multiLevelType w:val="multilevel"/>
    <w:tmpl w:val="33F6A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AE30AC8"/>
    <w:multiLevelType w:val="hybridMultilevel"/>
    <w:tmpl w:val="8B10590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5BF04B79"/>
    <w:multiLevelType w:val="hybridMultilevel"/>
    <w:tmpl w:val="1090A048"/>
    <w:lvl w:ilvl="0" w:tplc="B6C64582">
      <w:numFmt w:val="bullet"/>
      <w:lvlText w:val=""/>
      <w:lvlJc w:val="left"/>
      <w:pPr>
        <w:ind w:left="1429" w:hanging="360"/>
      </w:pPr>
      <w:rPr>
        <w:rFonts w:ascii="Symbol" w:eastAsia="Times New Roman" w:hAnsi="Symbo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5C8D58CA"/>
    <w:multiLevelType w:val="hybridMultilevel"/>
    <w:tmpl w:val="253E223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15:restartNumberingAfterBreak="0">
    <w:nsid w:val="5E4B3875"/>
    <w:multiLevelType w:val="multilevel"/>
    <w:tmpl w:val="656A0600"/>
    <w:lvl w:ilvl="0">
      <w:start w:val="2019"/>
      <w:numFmt w:val="decimal"/>
      <w:lvlText w:val="19.11.%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60100F37"/>
    <w:multiLevelType w:val="multilevel"/>
    <w:tmpl w:val="EB64E41E"/>
    <w:lvl w:ilvl="0">
      <w:start w:val="2019"/>
      <w:numFmt w:val="decimal"/>
      <w:lvlText w:val="10.10.%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65D73CC8"/>
    <w:multiLevelType w:val="singleLevel"/>
    <w:tmpl w:val="65D73CC8"/>
    <w:lvl w:ilvl="0">
      <w:start w:val="1"/>
      <w:numFmt w:val="decimal"/>
      <w:suff w:val="space"/>
      <w:lvlText w:val="%1)"/>
      <w:lvlJc w:val="left"/>
    </w:lvl>
  </w:abstractNum>
  <w:abstractNum w:abstractNumId="23" w15:restartNumberingAfterBreak="0">
    <w:nsid w:val="67782275"/>
    <w:multiLevelType w:val="multilevel"/>
    <w:tmpl w:val="10585E4E"/>
    <w:lvl w:ilvl="0">
      <w:start w:val="2019"/>
      <w:numFmt w:val="decimal"/>
      <w:lvlText w:val="15.10.%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677C3E0D"/>
    <w:multiLevelType w:val="hybridMultilevel"/>
    <w:tmpl w:val="94CA75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18"/>
  </w:num>
  <w:num w:numId="3">
    <w:abstractNumId w:val="14"/>
  </w:num>
  <w:num w:numId="4">
    <w:abstractNumId w:val="19"/>
  </w:num>
  <w:num w:numId="5">
    <w:abstractNumId w:val="11"/>
  </w:num>
  <w:num w:numId="6">
    <w:abstractNumId w:val="17"/>
  </w:num>
  <w:num w:numId="7">
    <w:abstractNumId w:val="12"/>
  </w:num>
  <w:num w:numId="8">
    <w:abstractNumId w:val="15"/>
  </w:num>
  <w:num w:numId="9">
    <w:abstractNumId w:val="21"/>
  </w:num>
  <w:num w:numId="10">
    <w:abstractNumId w:val="23"/>
  </w:num>
  <w:num w:numId="11">
    <w:abstractNumId w:val="10"/>
  </w:num>
  <w:num w:numId="12">
    <w:abstractNumId w:val="9"/>
  </w:num>
  <w:num w:numId="13">
    <w:abstractNumId w:val="5"/>
  </w:num>
  <w:num w:numId="14">
    <w:abstractNumId w:val="13"/>
  </w:num>
  <w:num w:numId="15">
    <w:abstractNumId w:val="20"/>
  </w:num>
  <w:num w:numId="16">
    <w:abstractNumId w:val="3"/>
  </w:num>
  <w:num w:numId="17">
    <w:abstractNumId w:val="16"/>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num>
  <w:num w:numId="20">
    <w:abstractNumId w:val="7"/>
  </w:num>
  <w:num w:numId="21">
    <w:abstractNumId w:val="2"/>
  </w:num>
  <w:num w:numId="22">
    <w:abstractNumId w:val="8"/>
  </w:num>
  <w:num w:numId="23">
    <w:abstractNumId w:val="0"/>
  </w:num>
  <w:num w:numId="24">
    <w:abstractNumId w:val="22"/>
  </w:num>
  <w:num w:numId="25">
    <w:abstractNumId w:val="1"/>
  </w:num>
  <w:num w:numId="2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6274"/>
    <w:rsid w:val="0002076E"/>
    <w:rsid w:val="00020BFD"/>
    <w:rsid w:val="00025845"/>
    <w:rsid w:val="0003778E"/>
    <w:rsid w:val="00042E24"/>
    <w:rsid w:val="000502D5"/>
    <w:rsid w:val="00050EC4"/>
    <w:rsid w:val="000531FC"/>
    <w:rsid w:val="00053826"/>
    <w:rsid w:val="00060788"/>
    <w:rsid w:val="000627AA"/>
    <w:rsid w:val="0006322E"/>
    <w:rsid w:val="00067622"/>
    <w:rsid w:val="00070FAE"/>
    <w:rsid w:val="000711E6"/>
    <w:rsid w:val="0007493A"/>
    <w:rsid w:val="00076D0A"/>
    <w:rsid w:val="000809E1"/>
    <w:rsid w:val="00081AC1"/>
    <w:rsid w:val="00082EAB"/>
    <w:rsid w:val="00090F21"/>
    <w:rsid w:val="00092A2F"/>
    <w:rsid w:val="00093DBC"/>
    <w:rsid w:val="00096E5B"/>
    <w:rsid w:val="00097551"/>
    <w:rsid w:val="00097A58"/>
    <w:rsid w:val="000A28B6"/>
    <w:rsid w:val="000A3AB6"/>
    <w:rsid w:val="000A6C99"/>
    <w:rsid w:val="000B0A97"/>
    <w:rsid w:val="000B60CD"/>
    <w:rsid w:val="000C1BCF"/>
    <w:rsid w:val="000C2DCC"/>
    <w:rsid w:val="000C564B"/>
    <w:rsid w:val="000C5A09"/>
    <w:rsid w:val="000D3EA3"/>
    <w:rsid w:val="000D6F47"/>
    <w:rsid w:val="000E33AC"/>
    <w:rsid w:val="000E34AB"/>
    <w:rsid w:val="000E4AF9"/>
    <w:rsid w:val="000F37E6"/>
    <w:rsid w:val="000F5285"/>
    <w:rsid w:val="00100D02"/>
    <w:rsid w:val="00104517"/>
    <w:rsid w:val="001051E1"/>
    <w:rsid w:val="001059E0"/>
    <w:rsid w:val="00105E39"/>
    <w:rsid w:val="001111D7"/>
    <w:rsid w:val="001141C0"/>
    <w:rsid w:val="00114BE0"/>
    <w:rsid w:val="001163EC"/>
    <w:rsid w:val="00117474"/>
    <w:rsid w:val="00117876"/>
    <w:rsid w:val="001218B5"/>
    <w:rsid w:val="0012309A"/>
    <w:rsid w:val="0012451A"/>
    <w:rsid w:val="001246A9"/>
    <w:rsid w:val="001323C9"/>
    <w:rsid w:val="00134A38"/>
    <w:rsid w:val="00134DD2"/>
    <w:rsid w:val="00137794"/>
    <w:rsid w:val="001510E1"/>
    <w:rsid w:val="00153460"/>
    <w:rsid w:val="00153705"/>
    <w:rsid w:val="0016165F"/>
    <w:rsid w:val="00166CD4"/>
    <w:rsid w:val="00181BC2"/>
    <w:rsid w:val="001828A9"/>
    <w:rsid w:val="0018515F"/>
    <w:rsid w:val="0018766B"/>
    <w:rsid w:val="00192E4A"/>
    <w:rsid w:val="00195395"/>
    <w:rsid w:val="001A1DEB"/>
    <w:rsid w:val="001A5E03"/>
    <w:rsid w:val="001B0C4E"/>
    <w:rsid w:val="001B289B"/>
    <w:rsid w:val="001B5B66"/>
    <w:rsid w:val="001B6428"/>
    <w:rsid w:val="001C215C"/>
    <w:rsid w:val="001C2BD9"/>
    <w:rsid w:val="001C3060"/>
    <w:rsid w:val="001D57E7"/>
    <w:rsid w:val="001D6C53"/>
    <w:rsid w:val="001D743B"/>
    <w:rsid w:val="001E031B"/>
    <w:rsid w:val="001E22B7"/>
    <w:rsid w:val="001E7E66"/>
    <w:rsid w:val="001F48A8"/>
    <w:rsid w:val="001F5DC7"/>
    <w:rsid w:val="001F5F12"/>
    <w:rsid w:val="0020373F"/>
    <w:rsid w:val="00203920"/>
    <w:rsid w:val="00213634"/>
    <w:rsid w:val="00221386"/>
    <w:rsid w:val="00225610"/>
    <w:rsid w:val="00225EBB"/>
    <w:rsid w:val="00245B18"/>
    <w:rsid w:val="002555FB"/>
    <w:rsid w:val="002571E7"/>
    <w:rsid w:val="00285407"/>
    <w:rsid w:val="00287320"/>
    <w:rsid w:val="00296884"/>
    <w:rsid w:val="002A02FD"/>
    <w:rsid w:val="002A4A3B"/>
    <w:rsid w:val="002B04AF"/>
    <w:rsid w:val="002F1435"/>
    <w:rsid w:val="002F3A75"/>
    <w:rsid w:val="002F47F6"/>
    <w:rsid w:val="002F6A7D"/>
    <w:rsid w:val="00303062"/>
    <w:rsid w:val="0030384C"/>
    <w:rsid w:val="003206CF"/>
    <w:rsid w:val="003212FC"/>
    <w:rsid w:val="00330F59"/>
    <w:rsid w:val="0034644C"/>
    <w:rsid w:val="0034679D"/>
    <w:rsid w:val="0035274E"/>
    <w:rsid w:val="00353702"/>
    <w:rsid w:val="003601F2"/>
    <w:rsid w:val="003620C7"/>
    <w:rsid w:val="0037364B"/>
    <w:rsid w:val="003874A4"/>
    <w:rsid w:val="003926B4"/>
    <w:rsid w:val="003A29A9"/>
    <w:rsid w:val="003A34F9"/>
    <w:rsid w:val="003A4205"/>
    <w:rsid w:val="003B79A9"/>
    <w:rsid w:val="003C5CB1"/>
    <w:rsid w:val="003D5BE3"/>
    <w:rsid w:val="003E1D83"/>
    <w:rsid w:val="003E5142"/>
    <w:rsid w:val="003F3FE7"/>
    <w:rsid w:val="003F506B"/>
    <w:rsid w:val="003F7870"/>
    <w:rsid w:val="00407315"/>
    <w:rsid w:val="0041140A"/>
    <w:rsid w:val="00415F10"/>
    <w:rsid w:val="0042399C"/>
    <w:rsid w:val="00424C66"/>
    <w:rsid w:val="00441326"/>
    <w:rsid w:val="0044255D"/>
    <w:rsid w:val="0044587C"/>
    <w:rsid w:val="00446F02"/>
    <w:rsid w:val="00452308"/>
    <w:rsid w:val="00456934"/>
    <w:rsid w:val="00460DD3"/>
    <w:rsid w:val="004619E7"/>
    <w:rsid w:val="004639B3"/>
    <w:rsid w:val="0046737C"/>
    <w:rsid w:val="004703F3"/>
    <w:rsid w:val="00472188"/>
    <w:rsid w:val="00477149"/>
    <w:rsid w:val="00482EBD"/>
    <w:rsid w:val="00483C29"/>
    <w:rsid w:val="004845F7"/>
    <w:rsid w:val="00484F42"/>
    <w:rsid w:val="00487695"/>
    <w:rsid w:val="004A35D6"/>
    <w:rsid w:val="004B0B4F"/>
    <w:rsid w:val="004B39B0"/>
    <w:rsid w:val="004C2867"/>
    <w:rsid w:val="004C5424"/>
    <w:rsid w:val="004C6552"/>
    <w:rsid w:val="004D312A"/>
    <w:rsid w:val="004D784E"/>
    <w:rsid w:val="004E2225"/>
    <w:rsid w:val="004E3BF6"/>
    <w:rsid w:val="004F4858"/>
    <w:rsid w:val="00502452"/>
    <w:rsid w:val="00502E06"/>
    <w:rsid w:val="00505F93"/>
    <w:rsid w:val="00511C41"/>
    <w:rsid w:val="00512BD6"/>
    <w:rsid w:val="005146ED"/>
    <w:rsid w:val="00514F7C"/>
    <w:rsid w:val="00515109"/>
    <w:rsid w:val="00521F4B"/>
    <w:rsid w:val="00527EFA"/>
    <w:rsid w:val="00534975"/>
    <w:rsid w:val="00536B7E"/>
    <w:rsid w:val="005376B8"/>
    <w:rsid w:val="00542874"/>
    <w:rsid w:val="00543D67"/>
    <w:rsid w:val="00556191"/>
    <w:rsid w:val="00560959"/>
    <w:rsid w:val="00561A83"/>
    <w:rsid w:val="005643BA"/>
    <w:rsid w:val="00572CD1"/>
    <w:rsid w:val="005757AE"/>
    <w:rsid w:val="00576C74"/>
    <w:rsid w:val="00576D56"/>
    <w:rsid w:val="005812B4"/>
    <w:rsid w:val="00590741"/>
    <w:rsid w:val="00594C10"/>
    <w:rsid w:val="00594C9C"/>
    <w:rsid w:val="005A18F7"/>
    <w:rsid w:val="005B3498"/>
    <w:rsid w:val="005B4085"/>
    <w:rsid w:val="005B6095"/>
    <w:rsid w:val="005B794E"/>
    <w:rsid w:val="005B79D2"/>
    <w:rsid w:val="005B7EFA"/>
    <w:rsid w:val="005C7814"/>
    <w:rsid w:val="005D0C1E"/>
    <w:rsid w:val="005D3B66"/>
    <w:rsid w:val="005E4677"/>
    <w:rsid w:val="005E6B62"/>
    <w:rsid w:val="005F1264"/>
    <w:rsid w:val="00602F1F"/>
    <w:rsid w:val="00602FF2"/>
    <w:rsid w:val="00605F0E"/>
    <w:rsid w:val="0061015E"/>
    <w:rsid w:val="00613EC5"/>
    <w:rsid w:val="00620B6B"/>
    <w:rsid w:val="00626BCE"/>
    <w:rsid w:val="006351CF"/>
    <w:rsid w:val="006441E3"/>
    <w:rsid w:val="00647486"/>
    <w:rsid w:val="00651A0B"/>
    <w:rsid w:val="006542C4"/>
    <w:rsid w:val="00671E90"/>
    <w:rsid w:val="00677E68"/>
    <w:rsid w:val="0068262A"/>
    <w:rsid w:val="00684A80"/>
    <w:rsid w:val="00684CB4"/>
    <w:rsid w:val="00690A1A"/>
    <w:rsid w:val="00691938"/>
    <w:rsid w:val="00692144"/>
    <w:rsid w:val="00695138"/>
    <w:rsid w:val="006A31BF"/>
    <w:rsid w:val="006A7A85"/>
    <w:rsid w:val="006B11A9"/>
    <w:rsid w:val="006B4C58"/>
    <w:rsid w:val="006B7EC2"/>
    <w:rsid w:val="006C2AFC"/>
    <w:rsid w:val="006C3065"/>
    <w:rsid w:val="006C3219"/>
    <w:rsid w:val="006C5C47"/>
    <w:rsid w:val="006D3851"/>
    <w:rsid w:val="006D736D"/>
    <w:rsid w:val="006D7AC2"/>
    <w:rsid w:val="006E0B6C"/>
    <w:rsid w:val="006E1B7B"/>
    <w:rsid w:val="00700722"/>
    <w:rsid w:val="00702EF8"/>
    <w:rsid w:val="007039F3"/>
    <w:rsid w:val="00712622"/>
    <w:rsid w:val="00714850"/>
    <w:rsid w:val="0071611D"/>
    <w:rsid w:val="0071709B"/>
    <w:rsid w:val="00721F91"/>
    <w:rsid w:val="00736C30"/>
    <w:rsid w:val="00740485"/>
    <w:rsid w:val="0075366D"/>
    <w:rsid w:val="00761B31"/>
    <w:rsid w:val="007660CE"/>
    <w:rsid w:val="00776823"/>
    <w:rsid w:val="00781D88"/>
    <w:rsid w:val="00783B16"/>
    <w:rsid w:val="00786F01"/>
    <w:rsid w:val="00793621"/>
    <w:rsid w:val="0079449F"/>
    <w:rsid w:val="007961F6"/>
    <w:rsid w:val="007A6BC1"/>
    <w:rsid w:val="007B79AB"/>
    <w:rsid w:val="007C678E"/>
    <w:rsid w:val="007C6D8A"/>
    <w:rsid w:val="007D6D55"/>
    <w:rsid w:val="007E6BA1"/>
    <w:rsid w:val="007F0422"/>
    <w:rsid w:val="008018E6"/>
    <w:rsid w:val="0080195D"/>
    <w:rsid w:val="008131A4"/>
    <w:rsid w:val="00816ABD"/>
    <w:rsid w:val="00816CA3"/>
    <w:rsid w:val="008173CF"/>
    <w:rsid w:val="0082705A"/>
    <w:rsid w:val="00832856"/>
    <w:rsid w:val="008335CD"/>
    <w:rsid w:val="00842371"/>
    <w:rsid w:val="00843009"/>
    <w:rsid w:val="00845A54"/>
    <w:rsid w:val="008475DA"/>
    <w:rsid w:val="00852726"/>
    <w:rsid w:val="00854464"/>
    <w:rsid w:val="008566E1"/>
    <w:rsid w:val="00864865"/>
    <w:rsid w:val="00867FCB"/>
    <w:rsid w:val="00871851"/>
    <w:rsid w:val="008767F3"/>
    <w:rsid w:val="00876E33"/>
    <w:rsid w:val="0088055F"/>
    <w:rsid w:val="00884D6B"/>
    <w:rsid w:val="008932FE"/>
    <w:rsid w:val="008A0932"/>
    <w:rsid w:val="008A0DE1"/>
    <w:rsid w:val="008A29E6"/>
    <w:rsid w:val="008A7623"/>
    <w:rsid w:val="008B3905"/>
    <w:rsid w:val="008B68AB"/>
    <w:rsid w:val="008C0854"/>
    <w:rsid w:val="008D0E1B"/>
    <w:rsid w:val="008D1A46"/>
    <w:rsid w:val="008D5B51"/>
    <w:rsid w:val="008D68F0"/>
    <w:rsid w:val="008F7F4D"/>
    <w:rsid w:val="0090172C"/>
    <w:rsid w:val="00902C25"/>
    <w:rsid w:val="00906748"/>
    <w:rsid w:val="00910B61"/>
    <w:rsid w:val="00910D94"/>
    <w:rsid w:val="009113EE"/>
    <w:rsid w:val="00912B9F"/>
    <w:rsid w:val="0091578A"/>
    <w:rsid w:val="00916F77"/>
    <w:rsid w:val="00917930"/>
    <w:rsid w:val="00925B5C"/>
    <w:rsid w:val="009336C7"/>
    <w:rsid w:val="009358D1"/>
    <w:rsid w:val="0094202F"/>
    <w:rsid w:val="00953D35"/>
    <w:rsid w:val="00956274"/>
    <w:rsid w:val="009579F6"/>
    <w:rsid w:val="009644C0"/>
    <w:rsid w:val="00965246"/>
    <w:rsid w:val="0096656D"/>
    <w:rsid w:val="00967A6F"/>
    <w:rsid w:val="0097203A"/>
    <w:rsid w:val="00975AEF"/>
    <w:rsid w:val="00980974"/>
    <w:rsid w:val="009826B5"/>
    <w:rsid w:val="00983D0D"/>
    <w:rsid w:val="00990AC7"/>
    <w:rsid w:val="009957BA"/>
    <w:rsid w:val="00995D97"/>
    <w:rsid w:val="009A0DC9"/>
    <w:rsid w:val="009B05B5"/>
    <w:rsid w:val="009B23E7"/>
    <w:rsid w:val="009B279B"/>
    <w:rsid w:val="009C2100"/>
    <w:rsid w:val="009C2BCD"/>
    <w:rsid w:val="009C37BC"/>
    <w:rsid w:val="009C59FC"/>
    <w:rsid w:val="009C650D"/>
    <w:rsid w:val="009D2AD1"/>
    <w:rsid w:val="009D5E57"/>
    <w:rsid w:val="009D660F"/>
    <w:rsid w:val="009E3EDB"/>
    <w:rsid w:val="009E776E"/>
    <w:rsid w:val="009F0531"/>
    <w:rsid w:val="00A02C43"/>
    <w:rsid w:val="00A0501C"/>
    <w:rsid w:val="00A11307"/>
    <w:rsid w:val="00A137BC"/>
    <w:rsid w:val="00A13CF7"/>
    <w:rsid w:val="00A17A21"/>
    <w:rsid w:val="00A20BD3"/>
    <w:rsid w:val="00A20FFC"/>
    <w:rsid w:val="00A22533"/>
    <w:rsid w:val="00A24D0B"/>
    <w:rsid w:val="00A2598E"/>
    <w:rsid w:val="00A40258"/>
    <w:rsid w:val="00A441A6"/>
    <w:rsid w:val="00A47C2A"/>
    <w:rsid w:val="00A541CD"/>
    <w:rsid w:val="00A54709"/>
    <w:rsid w:val="00A62BA9"/>
    <w:rsid w:val="00A65C4C"/>
    <w:rsid w:val="00A65D27"/>
    <w:rsid w:val="00A6781A"/>
    <w:rsid w:val="00A706BB"/>
    <w:rsid w:val="00A72DE8"/>
    <w:rsid w:val="00A73B71"/>
    <w:rsid w:val="00A73BD0"/>
    <w:rsid w:val="00A75F22"/>
    <w:rsid w:val="00A82D1E"/>
    <w:rsid w:val="00A86B54"/>
    <w:rsid w:val="00A917BB"/>
    <w:rsid w:val="00A92EF8"/>
    <w:rsid w:val="00A948E4"/>
    <w:rsid w:val="00A94C5F"/>
    <w:rsid w:val="00AA09D1"/>
    <w:rsid w:val="00AA6161"/>
    <w:rsid w:val="00AA6DE5"/>
    <w:rsid w:val="00AB2DF2"/>
    <w:rsid w:val="00AB3579"/>
    <w:rsid w:val="00AB3977"/>
    <w:rsid w:val="00AB42BB"/>
    <w:rsid w:val="00AB4BD9"/>
    <w:rsid w:val="00AB51B2"/>
    <w:rsid w:val="00AC11FA"/>
    <w:rsid w:val="00AC13AC"/>
    <w:rsid w:val="00AC20F8"/>
    <w:rsid w:val="00AC66F4"/>
    <w:rsid w:val="00AD364D"/>
    <w:rsid w:val="00AD7069"/>
    <w:rsid w:val="00AE5E71"/>
    <w:rsid w:val="00AE7033"/>
    <w:rsid w:val="00AF0623"/>
    <w:rsid w:val="00AF2C0D"/>
    <w:rsid w:val="00AF420B"/>
    <w:rsid w:val="00AF55CD"/>
    <w:rsid w:val="00AF6A2B"/>
    <w:rsid w:val="00B105E6"/>
    <w:rsid w:val="00B124B6"/>
    <w:rsid w:val="00B228EF"/>
    <w:rsid w:val="00B2655A"/>
    <w:rsid w:val="00B2740A"/>
    <w:rsid w:val="00B27B81"/>
    <w:rsid w:val="00B31655"/>
    <w:rsid w:val="00B35548"/>
    <w:rsid w:val="00B44C08"/>
    <w:rsid w:val="00B4605D"/>
    <w:rsid w:val="00B47C9F"/>
    <w:rsid w:val="00B5153F"/>
    <w:rsid w:val="00B63065"/>
    <w:rsid w:val="00B6676B"/>
    <w:rsid w:val="00B70BF3"/>
    <w:rsid w:val="00B7268E"/>
    <w:rsid w:val="00B766DE"/>
    <w:rsid w:val="00B85F55"/>
    <w:rsid w:val="00B97E70"/>
    <w:rsid w:val="00BA0DBE"/>
    <w:rsid w:val="00BA1342"/>
    <w:rsid w:val="00BA4EEB"/>
    <w:rsid w:val="00BB056E"/>
    <w:rsid w:val="00BB0F69"/>
    <w:rsid w:val="00BB278D"/>
    <w:rsid w:val="00BC0E89"/>
    <w:rsid w:val="00BC1B8E"/>
    <w:rsid w:val="00BC5C60"/>
    <w:rsid w:val="00BD0AE2"/>
    <w:rsid w:val="00BD2025"/>
    <w:rsid w:val="00BD260F"/>
    <w:rsid w:val="00BD4421"/>
    <w:rsid w:val="00BD4C96"/>
    <w:rsid w:val="00BE0C6A"/>
    <w:rsid w:val="00BF42CF"/>
    <w:rsid w:val="00BF6220"/>
    <w:rsid w:val="00C00D55"/>
    <w:rsid w:val="00C016DE"/>
    <w:rsid w:val="00C03919"/>
    <w:rsid w:val="00C1550A"/>
    <w:rsid w:val="00C15624"/>
    <w:rsid w:val="00C2523B"/>
    <w:rsid w:val="00C303BD"/>
    <w:rsid w:val="00C31851"/>
    <w:rsid w:val="00C31E9E"/>
    <w:rsid w:val="00C41F1C"/>
    <w:rsid w:val="00C430BC"/>
    <w:rsid w:val="00C50D47"/>
    <w:rsid w:val="00C519F0"/>
    <w:rsid w:val="00C5656D"/>
    <w:rsid w:val="00C56909"/>
    <w:rsid w:val="00C575ED"/>
    <w:rsid w:val="00C64F92"/>
    <w:rsid w:val="00C67C74"/>
    <w:rsid w:val="00C71E76"/>
    <w:rsid w:val="00C74853"/>
    <w:rsid w:val="00C74C0A"/>
    <w:rsid w:val="00C813CF"/>
    <w:rsid w:val="00C818C3"/>
    <w:rsid w:val="00C82FFD"/>
    <w:rsid w:val="00CA3DE4"/>
    <w:rsid w:val="00CA46DA"/>
    <w:rsid w:val="00CA6EDA"/>
    <w:rsid w:val="00CB2E84"/>
    <w:rsid w:val="00CB4BB4"/>
    <w:rsid w:val="00CC1543"/>
    <w:rsid w:val="00CC1D93"/>
    <w:rsid w:val="00CC237C"/>
    <w:rsid w:val="00CC32E7"/>
    <w:rsid w:val="00CC78F4"/>
    <w:rsid w:val="00CD4EAB"/>
    <w:rsid w:val="00CD62C1"/>
    <w:rsid w:val="00CE6BA2"/>
    <w:rsid w:val="00CF1B52"/>
    <w:rsid w:val="00D01B49"/>
    <w:rsid w:val="00D03D97"/>
    <w:rsid w:val="00D06EF2"/>
    <w:rsid w:val="00D13116"/>
    <w:rsid w:val="00D131F2"/>
    <w:rsid w:val="00D1367A"/>
    <w:rsid w:val="00D23916"/>
    <w:rsid w:val="00D24735"/>
    <w:rsid w:val="00D27C2B"/>
    <w:rsid w:val="00D302CD"/>
    <w:rsid w:val="00D34873"/>
    <w:rsid w:val="00D45734"/>
    <w:rsid w:val="00D500D2"/>
    <w:rsid w:val="00D5088D"/>
    <w:rsid w:val="00D52EC7"/>
    <w:rsid w:val="00D554B6"/>
    <w:rsid w:val="00D61178"/>
    <w:rsid w:val="00D65992"/>
    <w:rsid w:val="00D67E45"/>
    <w:rsid w:val="00D717FF"/>
    <w:rsid w:val="00D8242E"/>
    <w:rsid w:val="00DB685B"/>
    <w:rsid w:val="00DC6B7A"/>
    <w:rsid w:val="00DD0497"/>
    <w:rsid w:val="00DD0657"/>
    <w:rsid w:val="00DD24AD"/>
    <w:rsid w:val="00DD5A41"/>
    <w:rsid w:val="00DE1A3B"/>
    <w:rsid w:val="00DE356D"/>
    <w:rsid w:val="00DF277C"/>
    <w:rsid w:val="00DF483D"/>
    <w:rsid w:val="00E02DD2"/>
    <w:rsid w:val="00E0556A"/>
    <w:rsid w:val="00E30D15"/>
    <w:rsid w:val="00E32939"/>
    <w:rsid w:val="00E33632"/>
    <w:rsid w:val="00E33ECD"/>
    <w:rsid w:val="00E37858"/>
    <w:rsid w:val="00E46271"/>
    <w:rsid w:val="00E47AA9"/>
    <w:rsid w:val="00E518A0"/>
    <w:rsid w:val="00E52E59"/>
    <w:rsid w:val="00E55226"/>
    <w:rsid w:val="00E570D4"/>
    <w:rsid w:val="00E6166A"/>
    <w:rsid w:val="00E632C7"/>
    <w:rsid w:val="00E674A2"/>
    <w:rsid w:val="00E7475B"/>
    <w:rsid w:val="00E80139"/>
    <w:rsid w:val="00E80C35"/>
    <w:rsid w:val="00E861AD"/>
    <w:rsid w:val="00E90B25"/>
    <w:rsid w:val="00E92A7B"/>
    <w:rsid w:val="00E97E3D"/>
    <w:rsid w:val="00EA469A"/>
    <w:rsid w:val="00EB0DAF"/>
    <w:rsid w:val="00EB4841"/>
    <w:rsid w:val="00EB4A19"/>
    <w:rsid w:val="00EC46EA"/>
    <w:rsid w:val="00EC5258"/>
    <w:rsid w:val="00ED0234"/>
    <w:rsid w:val="00ED085F"/>
    <w:rsid w:val="00ED114E"/>
    <w:rsid w:val="00ED64CC"/>
    <w:rsid w:val="00ED77A2"/>
    <w:rsid w:val="00EE02F8"/>
    <w:rsid w:val="00EE3D55"/>
    <w:rsid w:val="00EE5DEE"/>
    <w:rsid w:val="00EF149C"/>
    <w:rsid w:val="00EF731E"/>
    <w:rsid w:val="00F022E0"/>
    <w:rsid w:val="00F0796D"/>
    <w:rsid w:val="00F11259"/>
    <w:rsid w:val="00F132B4"/>
    <w:rsid w:val="00F172D8"/>
    <w:rsid w:val="00F20278"/>
    <w:rsid w:val="00F22C9F"/>
    <w:rsid w:val="00F31808"/>
    <w:rsid w:val="00F35FEF"/>
    <w:rsid w:val="00F370CB"/>
    <w:rsid w:val="00F40BC2"/>
    <w:rsid w:val="00F469F0"/>
    <w:rsid w:val="00F5228B"/>
    <w:rsid w:val="00F522C5"/>
    <w:rsid w:val="00F6074A"/>
    <w:rsid w:val="00F6202A"/>
    <w:rsid w:val="00F62AE0"/>
    <w:rsid w:val="00F62D77"/>
    <w:rsid w:val="00F63EC5"/>
    <w:rsid w:val="00F726FC"/>
    <w:rsid w:val="00F75B4D"/>
    <w:rsid w:val="00F77241"/>
    <w:rsid w:val="00F812DC"/>
    <w:rsid w:val="00F83F49"/>
    <w:rsid w:val="00F873BD"/>
    <w:rsid w:val="00F93F2A"/>
    <w:rsid w:val="00F94206"/>
    <w:rsid w:val="00F97A8F"/>
    <w:rsid w:val="00FA5C1B"/>
    <w:rsid w:val="00FA6BCE"/>
    <w:rsid w:val="00FB1AE5"/>
    <w:rsid w:val="00FC2839"/>
    <w:rsid w:val="00FC6158"/>
    <w:rsid w:val="00FD1970"/>
    <w:rsid w:val="00FD476E"/>
    <w:rsid w:val="00FD4B17"/>
    <w:rsid w:val="00FE6DA6"/>
    <w:rsid w:val="00FE6EAA"/>
    <w:rsid w:val="00FF3F47"/>
    <w:rsid w:val="00FF75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254026"/>
  <w15:chartTrackingRefBased/>
  <w15:docId w15:val="{FC4825B0-E905-4F59-A6B3-30F5202EF0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8"/>
        <w:szCs w:val="28"/>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C5CB1"/>
    <w:pPr>
      <w:spacing w:after="200" w:line="276" w:lineRule="auto"/>
    </w:pPr>
    <w:rPr>
      <w:rFonts w:asciiTheme="minorHAnsi" w:hAnsiTheme="minorHAnsi" w:cstheme="minorBidi"/>
      <w:sz w:val="22"/>
      <w:szCs w:val="22"/>
    </w:rPr>
  </w:style>
  <w:style w:type="paragraph" w:styleId="1">
    <w:name w:val="heading 1"/>
    <w:basedOn w:val="a"/>
    <w:link w:val="10"/>
    <w:uiPriority w:val="9"/>
    <w:qFormat/>
    <w:rsid w:val="00A441A6"/>
    <w:pPr>
      <w:spacing w:before="100" w:beforeAutospacing="1" w:after="100" w:afterAutospacing="1" w:line="240" w:lineRule="auto"/>
      <w:outlineLvl w:val="0"/>
    </w:pPr>
    <w:rPr>
      <w:rFonts w:ascii="Times New Roman" w:eastAsia="Times New Roman" w:hAnsi="Times New Roman" w:cs="Times New Roman"/>
      <w:b/>
      <w:bCs/>
      <w:kern w:val="36"/>
      <w:sz w:val="48"/>
      <w:szCs w:val="48"/>
      <w:lang w:val="x-none" w:eastAsia="x-none"/>
    </w:rPr>
  </w:style>
  <w:style w:type="paragraph" w:styleId="2">
    <w:name w:val="heading 2"/>
    <w:basedOn w:val="a"/>
    <w:next w:val="a"/>
    <w:link w:val="20"/>
    <w:uiPriority w:val="9"/>
    <w:unhideWhenUsed/>
    <w:qFormat/>
    <w:rsid w:val="00A441A6"/>
    <w:pPr>
      <w:keepNext/>
      <w:spacing w:before="240" w:after="60" w:line="240" w:lineRule="auto"/>
      <w:outlineLvl w:val="1"/>
    </w:pPr>
    <w:rPr>
      <w:rFonts w:ascii="Cambria" w:eastAsia="Times New Roman" w:hAnsi="Cambria" w:cs="Times New Roman"/>
      <w:b/>
      <w:bCs/>
      <w:i/>
      <w:iCs/>
      <w:sz w:val="28"/>
      <w:szCs w:val="28"/>
      <w:lang w:val="x-none" w:eastAsia="x-none"/>
    </w:rPr>
  </w:style>
  <w:style w:type="paragraph" w:styleId="3">
    <w:name w:val="heading 3"/>
    <w:basedOn w:val="a"/>
    <w:next w:val="a"/>
    <w:link w:val="30"/>
    <w:uiPriority w:val="9"/>
    <w:unhideWhenUsed/>
    <w:qFormat/>
    <w:rsid w:val="00A441A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qFormat/>
    <w:rsid w:val="00A441A6"/>
    <w:pPr>
      <w:keepNext/>
      <w:tabs>
        <w:tab w:val="num" w:pos="864"/>
      </w:tabs>
      <w:suppressAutoHyphens/>
      <w:spacing w:after="0" w:line="240" w:lineRule="auto"/>
      <w:ind w:left="864" w:hanging="864"/>
      <w:outlineLvl w:val="3"/>
    </w:pPr>
    <w:rPr>
      <w:rFonts w:ascii="Times New Roman" w:eastAsia="Times New Roman" w:hAnsi="Times New Roman" w:cs="Times New Roman"/>
      <w:sz w:val="28"/>
      <w:szCs w:val="20"/>
      <w:lang w:eastAsia="ar-SA"/>
    </w:rPr>
  </w:style>
  <w:style w:type="paragraph" w:styleId="5">
    <w:name w:val="heading 5"/>
    <w:basedOn w:val="a"/>
    <w:next w:val="a"/>
    <w:link w:val="50"/>
    <w:uiPriority w:val="9"/>
    <w:qFormat/>
    <w:rsid w:val="00A441A6"/>
    <w:pPr>
      <w:keepNext/>
      <w:tabs>
        <w:tab w:val="num" w:pos="1008"/>
      </w:tabs>
      <w:suppressAutoHyphens/>
      <w:spacing w:after="0" w:line="240" w:lineRule="auto"/>
      <w:ind w:left="1008" w:hanging="1008"/>
      <w:outlineLvl w:val="4"/>
    </w:pPr>
    <w:rPr>
      <w:rFonts w:ascii="Times New Roman" w:eastAsia="Times New Roman" w:hAnsi="Times New Roman" w:cs="Times New Roman"/>
      <w:b/>
      <w:sz w:val="52"/>
      <w:szCs w:val="20"/>
      <w:lang w:eastAsia="ar-SA"/>
    </w:rPr>
  </w:style>
  <w:style w:type="paragraph" w:styleId="6">
    <w:name w:val="heading 6"/>
    <w:basedOn w:val="a"/>
    <w:next w:val="a"/>
    <w:link w:val="60"/>
    <w:uiPriority w:val="9"/>
    <w:qFormat/>
    <w:rsid w:val="00A441A6"/>
    <w:pPr>
      <w:keepNext/>
      <w:tabs>
        <w:tab w:val="num" w:pos="1152"/>
      </w:tabs>
      <w:suppressAutoHyphens/>
      <w:spacing w:after="0" w:line="240" w:lineRule="auto"/>
      <w:ind w:left="1152" w:hanging="1152"/>
      <w:outlineLvl w:val="5"/>
    </w:pPr>
    <w:rPr>
      <w:rFonts w:ascii="Times New Roman" w:eastAsia="Times New Roman" w:hAnsi="Times New Roman" w:cs="Times New Roman"/>
      <w:sz w:val="28"/>
      <w:szCs w:val="20"/>
      <w:lang w:eastAsia="ar-SA"/>
    </w:rPr>
  </w:style>
  <w:style w:type="paragraph" w:styleId="7">
    <w:name w:val="heading 7"/>
    <w:basedOn w:val="a"/>
    <w:next w:val="a"/>
    <w:link w:val="70"/>
    <w:uiPriority w:val="9"/>
    <w:qFormat/>
    <w:rsid w:val="00A441A6"/>
    <w:pPr>
      <w:tabs>
        <w:tab w:val="num" w:pos="1296"/>
      </w:tabs>
      <w:suppressAutoHyphens/>
      <w:spacing w:before="240" w:after="60" w:line="240" w:lineRule="auto"/>
      <w:ind w:left="1296" w:hanging="1296"/>
      <w:outlineLvl w:val="6"/>
    </w:pPr>
    <w:rPr>
      <w:rFonts w:ascii="Times New Roman" w:eastAsia="Times New Roman" w:hAnsi="Times New Roman" w:cs="Times New Roman"/>
      <w:sz w:val="24"/>
      <w:szCs w:val="24"/>
      <w:lang w:eastAsia="ar-SA"/>
    </w:rPr>
  </w:style>
  <w:style w:type="paragraph" w:styleId="8">
    <w:name w:val="heading 8"/>
    <w:basedOn w:val="a"/>
    <w:next w:val="a"/>
    <w:link w:val="80"/>
    <w:uiPriority w:val="9"/>
    <w:qFormat/>
    <w:rsid w:val="00A441A6"/>
    <w:pPr>
      <w:keepNext/>
      <w:tabs>
        <w:tab w:val="num" w:pos="1440"/>
      </w:tabs>
      <w:suppressAutoHyphens/>
      <w:spacing w:after="0" w:line="240" w:lineRule="auto"/>
      <w:ind w:left="1440" w:hanging="1440"/>
      <w:jc w:val="both"/>
      <w:outlineLvl w:val="7"/>
    </w:pPr>
    <w:rPr>
      <w:rFonts w:ascii="Times New Roman" w:eastAsia="Times New Roman" w:hAnsi="Times New Roman" w:cs="Times New Roman"/>
      <w:sz w:val="28"/>
      <w:szCs w:val="20"/>
      <w:lang w:eastAsia="ar-SA"/>
    </w:rPr>
  </w:style>
  <w:style w:type="paragraph" w:styleId="9">
    <w:name w:val="heading 9"/>
    <w:basedOn w:val="a"/>
    <w:next w:val="a"/>
    <w:link w:val="90"/>
    <w:uiPriority w:val="9"/>
    <w:qFormat/>
    <w:rsid w:val="00A441A6"/>
    <w:pPr>
      <w:keepNext/>
      <w:tabs>
        <w:tab w:val="num" w:pos="1584"/>
      </w:tabs>
      <w:suppressAutoHyphens/>
      <w:spacing w:after="0" w:line="240" w:lineRule="auto"/>
      <w:ind w:left="1584" w:hanging="1584"/>
      <w:jc w:val="both"/>
      <w:outlineLvl w:val="8"/>
    </w:pPr>
    <w:rPr>
      <w:rFonts w:ascii="Times New Roman" w:eastAsia="Times New Roman" w:hAnsi="Times New Roman" w:cs="Times New Roman"/>
      <w:b/>
      <w:color w:val="000000"/>
      <w:szCs w:val="20"/>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441A6"/>
    <w:rPr>
      <w:rFonts w:eastAsia="Times New Roman"/>
      <w:b/>
      <w:bCs/>
      <w:kern w:val="36"/>
      <w:sz w:val="48"/>
      <w:szCs w:val="48"/>
      <w:lang w:val="x-none" w:eastAsia="x-none"/>
    </w:rPr>
  </w:style>
  <w:style w:type="character" w:customStyle="1" w:styleId="20">
    <w:name w:val="Заголовок 2 Знак"/>
    <w:basedOn w:val="a0"/>
    <w:link w:val="2"/>
    <w:uiPriority w:val="9"/>
    <w:rsid w:val="00A441A6"/>
    <w:rPr>
      <w:rFonts w:ascii="Cambria" w:eastAsia="Times New Roman" w:hAnsi="Cambria"/>
      <w:b/>
      <w:bCs/>
      <w:i/>
      <w:iCs/>
      <w:lang w:val="x-none" w:eastAsia="x-none"/>
    </w:rPr>
  </w:style>
  <w:style w:type="character" w:customStyle="1" w:styleId="30">
    <w:name w:val="Заголовок 3 Знак"/>
    <w:basedOn w:val="a0"/>
    <w:link w:val="3"/>
    <w:uiPriority w:val="9"/>
    <w:rsid w:val="00A441A6"/>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0"/>
    <w:link w:val="4"/>
    <w:uiPriority w:val="9"/>
    <w:rsid w:val="00A441A6"/>
    <w:rPr>
      <w:rFonts w:eastAsia="Times New Roman"/>
      <w:szCs w:val="20"/>
      <w:lang w:eastAsia="ar-SA"/>
    </w:rPr>
  </w:style>
  <w:style w:type="character" w:customStyle="1" w:styleId="50">
    <w:name w:val="Заголовок 5 Знак"/>
    <w:basedOn w:val="a0"/>
    <w:link w:val="5"/>
    <w:uiPriority w:val="9"/>
    <w:rsid w:val="00A441A6"/>
    <w:rPr>
      <w:rFonts w:eastAsia="Times New Roman"/>
      <w:b/>
      <w:sz w:val="52"/>
      <w:szCs w:val="20"/>
      <w:lang w:eastAsia="ar-SA"/>
    </w:rPr>
  </w:style>
  <w:style w:type="character" w:customStyle="1" w:styleId="60">
    <w:name w:val="Заголовок 6 Знак"/>
    <w:basedOn w:val="a0"/>
    <w:link w:val="6"/>
    <w:uiPriority w:val="9"/>
    <w:rsid w:val="00A441A6"/>
    <w:rPr>
      <w:rFonts w:eastAsia="Times New Roman"/>
      <w:szCs w:val="20"/>
      <w:lang w:eastAsia="ar-SA"/>
    </w:rPr>
  </w:style>
  <w:style w:type="character" w:customStyle="1" w:styleId="70">
    <w:name w:val="Заголовок 7 Знак"/>
    <w:basedOn w:val="a0"/>
    <w:link w:val="7"/>
    <w:uiPriority w:val="9"/>
    <w:rsid w:val="00A441A6"/>
    <w:rPr>
      <w:rFonts w:eastAsia="Times New Roman"/>
      <w:sz w:val="24"/>
      <w:szCs w:val="24"/>
      <w:lang w:eastAsia="ar-SA"/>
    </w:rPr>
  </w:style>
  <w:style w:type="character" w:customStyle="1" w:styleId="80">
    <w:name w:val="Заголовок 8 Знак"/>
    <w:basedOn w:val="a0"/>
    <w:link w:val="8"/>
    <w:uiPriority w:val="9"/>
    <w:rsid w:val="00A441A6"/>
    <w:rPr>
      <w:rFonts w:eastAsia="Times New Roman"/>
      <w:szCs w:val="20"/>
      <w:lang w:eastAsia="ar-SA"/>
    </w:rPr>
  </w:style>
  <w:style w:type="character" w:customStyle="1" w:styleId="90">
    <w:name w:val="Заголовок 9 Знак"/>
    <w:basedOn w:val="a0"/>
    <w:link w:val="9"/>
    <w:uiPriority w:val="9"/>
    <w:rsid w:val="00A441A6"/>
    <w:rPr>
      <w:rFonts w:eastAsia="Times New Roman"/>
      <w:b/>
      <w:color w:val="000000"/>
      <w:sz w:val="22"/>
      <w:szCs w:val="20"/>
      <w:lang w:eastAsia="ar-SA"/>
    </w:rPr>
  </w:style>
  <w:style w:type="paragraph" w:styleId="a3">
    <w:name w:val="header"/>
    <w:basedOn w:val="a"/>
    <w:link w:val="a4"/>
    <w:uiPriority w:val="99"/>
    <w:rsid w:val="00A441A6"/>
    <w:pPr>
      <w:tabs>
        <w:tab w:val="center" w:pos="4677"/>
        <w:tab w:val="right" w:pos="9355"/>
      </w:tabs>
      <w:spacing w:after="0" w:line="240" w:lineRule="auto"/>
    </w:pPr>
    <w:rPr>
      <w:rFonts w:ascii="Times New Roman" w:eastAsia="Times New Roman" w:hAnsi="Times New Roman" w:cs="Times New Roman"/>
      <w:sz w:val="24"/>
      <w:szCs w:val="24"/>
      <w:lang w:val="x-none" w:eastAsia="x-none"/>
    </w:rPr>
  </w:style>
  <w:style w:type="character" w:customStyle="1" w:styleId="a4">
    <w:name w:val="Верхний колонтитул Знак"/>
    <w:basedOn w:val="a0"/>
    <w:link w:val="a3"/>
    <w:uiPriority w:val="99"/>
    <w:rsid w:val="00A441A6"/>
    <w:rPr>
      <w:rFonts w:eastAsia="Times New Roman"/>
      <w:sz w:val="24"/>
      <w:szCs w:val="24"/>
      <w:lang w:val="x-none" w:eastAsia="x-none"/>
    </w:rPr>
  </w:style>
  <w:style w:type="character" w:styleId="a5">
    <w:name w:val="page number"/>
    <w:basedOn w:val="a0"/>
    <w:rsid w:val="00A441A6"/>
  </w:style>
  <w:style w:type="paragraph" w:styleId="a6">
    <w:name w:val="footnote text"/>
    <w:aliases w:val="Текст сноски1,Текст сноски Знак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Texto de nota al pi,Знак2,Знак21,Знак3"/>
    <w:basedOn w:val="a"/>
    <w:link w:val="a7"/>
    <w:uiPriority w:val="99"/>
    <w:qFormat/>
    <w:rsid w:val="00A441A6"/>
    <w:pPr>
      <w:spacing w:after="0" w:line="240" w:lineRule="auto"/>
    </w:pPr>
    <w:rPr>
      <w:rFonts w:ascii="Times New Roman" w:eastAsia="Calibri" w:hAnsi="Times New Roman" w:cs="Times New Roman"/>
      <w:sz w:val="20"/>
      <w:szCs w:val="20"/>
      <w:lang w:eastAsia="ru-RU"/>
    </w:rPr>
  </w:style>
  <w:style w:type="character" w:customStyle="1" w:styleId="a7">
    <w:name w:val="Текст сноски Знак"/>
    <w:aliases w:val="Текст сноски1 Знак,Текст сноски Знак Знак1 Знак,Текст сноски Знак Знак Знак Знак Знак Знак1,Текст сноски Знак Знак Знак Знак Знак Знак Знак,Текст сноски Знак Знак Знак Знак Знак Знак Знак Знак Знак Знак Знак Знак Знак Зн Знак"/>
    <w:basedOn w:val="a0"/>
    <w:link w:val="a6"/>
    <w:uiPriority w:val="99"/>
    <w:qFormat/>
    <w:rsid w:val="00A441A6"/>
    <w:rPr>
      <w:rFonts w:eastAsia="Calibri"/>
      <w:sz w:val="20"/>
      <w:szCs w:val="20"/>
      <w:lang w:eastAsia="ru-RU"/>
    </w:rPr>
  </w:style>
  <w:style w:type="character" w:styleId="a8">
    <w:name w:val="footnote reference"/>
    <w:aliases w:val="Знак сноски 1,Знак сноски-FN,Ciae niinee-FN,Referencia nota al pie,Ссылка на сноску 45,Appel note de bas de page,текст сноски"/>
    <w:uiPriority w:val="99"/>
    <w:qFormat/>
    <w:rsid w:val="00A441A6"/>
    <w:rPr>
      <w:rFonts w:cs="Times New Roman"/>
      <w:vertAlign w:val="superscript"/>
    </w:rPr>
  </w:style>
  <w:style w:type="paragraph" w:styleId="a9">
    <w:name w:val="Balloon Text"/>
    <w:basedOn w:val="a"/>
    <w:link w:val="aa"/>
    <w:uiPriority w:val="99"/>
    <w:unhideWhenUsed/>
    <w:rsid w:val="00A441A6"/>
    <w:pPr>
      <w:spacing w:after="0" w:line="240" w:lineRule="auto"/>
    </w:pPr>
    <w:rPr>
      <w:rFonts w:ascii="Tahoma" w:hAnsi="Tahoma" w:cs="Tahoma"/>
      <w:sz w:val="16"/>
      <w:szCs w:val="16"/>
    </w:rPr>
  </w:style>
  <w:style w:type="character" w:customStyle="1" w:styleId="aa">
    <w:name w:val="Текст выноски Знак"/>
    <w:basedOn w:val="a0"/>
    <w:link w:val="a9"/>
    <w:uiPriority w:val="99"/>
    <w:rsid w:val="00A441A6"/>
    <w:rPr>
      <w:rFonts w:ascii="Tahoma" w:hAnsi="Tahoma" w:cs="Tahoma"/>
      <w:sz w:val="16"/>
      <w:szCs w:val="16"/>
    </w:rPr>
  </w:style>
  <w:style w:type="table" w:styleId="ab">
    <w:name w:val="Table Grid"/>
    <w:basedOn w:val="a1"/>
    <w:uiPriority w:val="59"/>
    <w:rsid w:val="00A441A6"/>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Основной текст4"/>
    <w:basedOn w:val="a"/>
    <w:rsid w:val="00A441A6"/>
    <w:pPr>
      <w:shd w:val="clear" w:color="auto" w:fill="FFFFFF"/>
      <w:spacing w:before="720" w:after="0" w:line="479" w:lineRule="exact"/>
      <w:ind w:firstLine="720"/>
      <w:jc w:val="both"/>
    </w:pPr>
    <w:rPr>
      <w:rFonts w:ascii="Times New Roman" w:eastAsia="Times New Roman" w:hAnsi="Times New Roman" w:cs="Times New Roman"/>
      <w:sz w:val="28"/>
      <w:szCs w:val="28"/>
      <w:lang w:eastAsia="ru-RU"/>
    </w:rPr>
  </w:style>
  <w:style w:type="numbering" w:customStyle="1" w:styleId="11">
    <w:name w:val="Нет списка1"/>
    <w:next w:val="a2"/>
    <w:uiPriority w:val="99"/>
    <w:semiHidden/>
    <w:unhideWhenUsed/>
    <w:rsid w:val="00A441A6"/>
  </w:style>
  <w:style w:type="paragraph" w:customStyle="1" w:styleId="ConsPlusNormal">
    <w:name w:val="ConsPlusNormal"/>
    <w:link w:val="ConsPlusNormal0"/>
    <w:qFormat/>
    <w:rsid w:val="00A441A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c">
    <w:name w:val="List Paragraph"/>
    <w:aliases w:val="Bullet List,FooterText,Paragraphe de liste1,Use Case List Paragraph,lp1,numbered,Абзац списка литеральный,Маркер,Список дефисный,ТЗ список,Абзац списка11,ПАРАГРАФ,Абзац списка для документа,List_Paragraph,Multilevel para_II,List Paragraph,А"/>
    <w:basedOn w:val="a"/>
    <w:link w:val="ad"/>
    <w:uiPriority w:val="34"/>
    <w:qFormat/>
    <w:rsid w:val="00A441A6"/>
    <w:pPr>
      <w:ind w:left="720"/>
      <w:contextualSpacing/>
    </w:pPr>
    <w:rPr>
      <w:rFonts w:ascii="Calibri" w:eastAsia="Calibri" w:hAnsi="Calibri" w:cs="Times New Roman"/>
    </w:rPr>
  </w:style>
  <w:style w:type="character" w:customStyle="1" w:styleId="ad">
    <w:name w:val="Абзац списка Знак"/>
    <w:aliases w:val="Bullet List Знак,FooterText Знак,Paragraphe de liste1 Знак,Use Case List Paragraph Знак,lp1 Знак,numbered Знак,Абзац списка литеральный Знак,Маркер Знак,Список дефисный Знак,ТЗ список Знак,Абзац списка11 Знак,ПАРАГРАФ Знак,А Знак"/>
    <w:link w:val="ac"/>
    <w:uiPriority w:val="34"/>
    <w:qFormat/>
    <w:locked/>
    <w:rsid w:val="00A441A6"/>
    <w:rPr>
      <w:rFonts w:ascii="Calibri" w:eastAsia="Calibri" w:hAnsi="Calibri"/>
      <w:sz w:val="22"/>
      <w:szCs w:val="22"/>
    </w:rPr>
  </w:style>
  <w:style w:type="character" w:customStyle="1" w:styleId="ConsPlusNormal0">
    <w:name w:val="ConsPlusNormal Знак"/>
    <w:link w:val="ConsPlusNormal"/>
    <w:rsid w:val="00A441A6"/>
    <w:rPr>
      <w:rFonts w:ascii="Arial" w:eastAsia="Times New Roman" w:hAnsi="Arial" w:cs="Arial"/>
      <w:sz w:val="20"/>
      <w:szCs w:val="20"/>
      <w:lang w:eastAsia="ru-RU"/>
    </w:rPr>
  </w:style>
  <w:style w:type="character" w:customStyle="1" w:styleId="21">
    <w:name w:val="Основной текст (2)_"/>
    <w:basedOn w:val="a0"/>
    <w:link w:val="22"/>
    <w:rsid w:val="00A441A6"/>
    <w:rPr>
      <w:rFonts w:eastAsia="Times New Roman"/>
      <w:shd w:val="clear" w:color="auto" w:fill="FFFFFF"/>
    </w:rPr>
  </w:style>
  <w:style w:type="character" w:customStyle="1" w:styleId="51">
    <w:name w:val="Основной текст (5)_"/>
    <w:basedOn w:val="a0"/>
    <w:link w:val="52"/>
    <w:rsid w:val="00A441A6"/>
    <w:rPr>
      <w:rFonts w:eastAsia="Times New Roman"/>
      <w:b/>
      <w:bCs/>
      <w:shd w:val="clear" w:color="auto" w:fill="FFFFFF"/>
    </w:rPr>
  </w:style>
  <w:style w:type="character" w:customStyle="1" w:styleId="211pt">
    <w:name w:val="Основной текст (2) + 11 pt"/>
    <w:basedOn w:val="21"/>
    <w:rsid w:val="00A441A6"/>
    <w:rPr>
      <w:rFonts w:eastAsia="Times New Roman"/>
      <w:color w:val="000000"/>
      <w:spacing w:val="0"/>
      <w:w w:val="100"/>
      <w:position w:val="0"/>
      <w:sz w:val="22"/>
      <w:szCs w:val="22"/>
      <w:shd w:val="clear" w:color="auto" w:fill="FFFFFF"/>
      <w:lang w:val="ru-RU" w:eastAsia="ru-RU" w:bidi="ru-RU"/>
    </w:rPr>
  </w:style>
  <w:style w:type="paragraph" w:customStyle="1" w:styleId="22">
    <w:name w:val="Основной текст (2)"/>
    <w:basedOn w:val="a"/>
    <w:link w:val="21"/>
    <w:rsid w:val="00A441A6"/>
    <w:pPr>
      <w:widowControl w:val="0"/>
      <w:shd w:val="clear" w:color="auto" w:fill="FFFFFF"/>
      <w:spacing w:after="0" w:line="0" w:lineRule="atLeast"/>
    </w:pPr>
    <w:rPr>
      <w:rFonts w:ascii="Times New Roman" w:eastAsia="Times New Roman" w:hAnsi="Times New Roman" w:cs="Times New Roman"/>
      <w:sz w:val="28"/>
      <w:szCs w:val="28"/>
    </w:rPr>
  </w:style>
  <w:style w:type="paragraph" w:customStyle="1" w:styleId="52">
    <w:name w:val="Основной текст (5)"/>
    <w:basedOn w:val="a"/>
    <w:link w:val="51"/>
    <w:rsid w:val="00A441A6"/>
    <w:pPr>
      <w:widowControl w:val="0"/>
      <w:shd w:val="clear" w:color="auto" w:fill="FFFFFF"/>
      <w:spacing w:after="0" w:line="470" w:lineRule="exact"/>
      <w:ind w:firstLine="760"/>
      <w:jc w:val="both"/>
    </w:pPr>
    <w:rPr>
      <w:rFonts w:ascii="Times New Roman" w:eastAsia="Times New Roman" w:hAnsi="Times New Roman" w:cs="Times New Roman"/>
      <w:b/>
      <w:bCs/>
      <w:sz w:val="28"/>
      <w:szCs w:val="28"/>
    </w:rPr>
  </w:style>
  <w:style w:type="paragraph" w:styleId="ae">
    <w:name w:val="Body Text"/>
    <w:aliases w:val="Основной текст1,Основной текст Знак Знак,bt,body text,contents,Òàáëè÷íûé,Oaaee?iue,Табличный,BODY TEXT,t,Основной текст Знак + Первая строка:  1,27...,27 см,разреженный на ....,Список 1,Основной текст Знак Знак1"/>
    <w:basedOn w:val="a"/>
    <w:link w:val="12"/>
    <w:qFormat/>
    <w:rsid w:val="00A441A6"/>
    <w:pPr>
      <w:spacing w:after="120" w:line="240" w:lineRule="auto"/>
    </w:pPr>
    <w:rPr>
      <w:rFonts w:ascii="Times New Roman" w:eastAsia="Times New Roman" w:hAnsi="Times New Roman" w:cs="Times New Roman"/>
      <w:sz w:val="24"/>
      <w:szCs w:val="24"/>
      <w:lang w:val="x-none" w:eastAsia="x-none"/>
    </w:rPr>
  </w:style>
  <w:style w:type="character" w:customStyle="1" w:styleId="af">
    <w:name w:val="Основной текст Знак"/>
    <w:basedOn w:val="a0"/>
    <w:uiPriority w:val="99"/>
    <w:rsid w:val="00A441A6"/>
    <w:rPr>
      <w:rFonts w:asciiTheme="minorHAnsi" w:hAnsiTheme="minorHAnsi" w:cstheme="minorBidi"/>
      <w:sz w:val="22"/>
      <w:szCs w:val="22"/>
    </w:rPr>
  </w:style>
  <w:style w:type="character" w:customStyle="1" w:styleId="12">
    <w:name w:val="Основной текст Знак1"/>
    <w:aliases w:val="Основной текст1 Знак,Основной текст Знак Знак Знак,bt Знак,body text Знак,contents Знак,Òàáëè÷íûé Знак,Oaaee?iue Знак,Табличный Знак,BODY TEXT Знак,t Знак,Основной текст Знак + Первая строка:  1 Знак,27... Знак,27 см Знак"/>
    <w:link w:val="ae"/>
    <w:rsid w:val="00A441A6"/>
    <w:rPr>
      <w:rFonts w:eastAsia="Times New Roman"/>
      <w:sz w:val="24"/>
      <w:szCs w:val="24"/>
      <w:lang w:val="x-none" w:eastAsia="x-none"/>
    </w:rPr>
  </w:style>
  <w:style w:type="paragraph" w:styleId="af0">
    <w:name w:val="Body Text First Indent"/>
    <w:basedOn w:val="ae"/>
    <w:link w:val="af1"/>
    <w:rsid w:val="00A441A6"/>
    <w:pPr>
      <w:ind w:firstLine="210"/>
    </w:pPr>
  </w:style>
  <w:style w:type="character" w:customStyle="1" w:styleId="af1">
    <w:name w:val="Красная строка Знак"/>
    <w:basedOn w:val="af"/>
    <w:link w:val="af0"/>
    <w:rsid w:val="00A441A6"/>
    <w:rPr>
      <w:rFonts w:asciiTheme="minorHAnsi" w:eastAsia="Times New Roman" w:hAnsiTheme="minorHAnsi" w:cstheme="minorBidi"/>
      <w:sz w:val="24"/>
      <w:szCs w:val="24"/>
      <w:lang w:val="x-none" w:eastAsia="x-none"/>
    </w:rPr>
  </w:style>
  <w:style w:type="paragraph" w:styleId="af2">
    <w:name w:val="Body Text Indent"/>
    <w:aliases w:val="Надин стиль,Основной текст 1,Нумерованный список !!,Iniiaiie oaeno 1,Ioia?iaaiiue nienie !!,Iaaei noeeu,Основной текст без отступа"/>
    <w:basedOn w:val="a"/>
    <w:link w:val="af3"/>
    <w:uiPriority w:val="99"/>
    <w:rsid w:val="00A441A6"/>
    <w:pPr>
      <w:spacing w:after="120" w:line="240" w:lineRule="auto"/>
      <w:ind w:left="283"/>
    </w:pPr>
    <w:rPr>
      <w:rFonts w:ascii="Times New Roman" w:eastAsia="Times New Roman" w:hAnsi="Times New Roman" w:cs="Times New Roman"/>
      <w:sz w:val="24"/>
      <w:szCs w:val="24"/>
      <w:lang w:eastAsia="ru-RU"/>
    </w:rPr>
  </w:style>
  <w:style w:type="character" w:customStyle="1" w:styleId="af3">
    <w:name w:val="Основной текст с отступом Знак"/>
    <w:aliases w:val="Надин стиль Знак,Основной текст 1 Знак,Нумерованный список !! Знак,Iniiaiie oaeno 1 Знак,Ioia?iaaiiue nienie !! Знак,Iaaei noeeu Знак,Основной текст без отступа Знак"/>
    <w:basedOn w:val="a0"/>
    <w:link w:val="af2"/>
    <w:uiPriority w:val="99"/>
    <w:rsid w:val="00A441A6"/>
    <w:rPr>
      <w:rFonts w:eastAsia="Times New Roman"/>
      <w:sz w:val="24"/>
      <w:szCs w:val="24"/>
      <w:lang w:eastAsia="ru-RU"/>
    </w:rPr>
  </w:style>
  <w:style w:type="paragraph" w:styleId="23">
    <w:name w:val="Body Text 2"/>
    <w:basedOn w:val="a"/>
    <w:link w:val="24"/>
    <w:uiPriority w:val="99"/>
    <w:rsid w:val="00A441A6"/>
    <w:pPr>
      <w:spacing w:after="120" w:line="480" w:lineRule="auto"/>
    </w:pPr>
    <w:rPr>
      <w:rFonts w:ascii="Times New Roman" w:eastAsia="Times New Roman" w:hAnsi="Times New Roman" w:cs="Times New Roman"/>
      <w:sz w:val="24"/>
      <w:szCs w:val="24"/>
      <w:lang w:eastAsia="ru-RU"/>
    </w:rPr>
  </w:style>
  <w:style w:type="character" w:customStyle="1" w:styleId="24">
    <w:name w:val="Основной текст 2 Знак"/>
    <w:basedOn w:val="a0"/>
    <w:link w:val="23"/>
    <w:uiPriority w:val="99"/>
    <w:rsid w:val="00A441A6"/>
    <w:rPr>
      <w:rFonts w:eastAsia="Times New Roman"/>
      <w:sz w:val="24"/>
      <w:szCs w:val="24"/>
      <w:lang w:eastAsia="ru-RU"/>
    </w:rPr>
  </w:style>
  <w:style w:type="table" w:customStyle="1" w:styleId="13">
    <w:name w:val="Сетка таблицы1"/>
    <w:basedOn w:val="a1"/>
    <w:next w:val="ab"/>
    <w:rsid w:val="00A441A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5">
    <w:name w:val="Body Text Indent 2"/>
    <w:basedOn w:val="a"/>
    <w:link w:val="26"/>
    <w:rsid w:val="00A441A6"/>
    <w:pPr>
      <w:spacing w:after="120" w:line="480" w:lineRule="auto"/>
      <w:ind w:left="283"/>
    </w:pPr>
    <w:rPr>
      <w:rFonts w:ascii="Times New Roman" w:eastAsia="Times New Roman" w:hAnsi="Times New Roman" w:cs="Times New Roman"/>
      <w:sz w:val="24"/>
      <w:szCs w:val="24"/>
      <w:lang w:eastAsia="ru-RU"/>
    </w:rPr>
  </w:style>
  <w:style w:type="character" w:customStyle="1" w:styleId="26">
    <w:name w:val="Основной текст с отступом 2 Знак"/>
    <w:basedOn w:val="a0"/>
    <w:link w:val="25"/>
    <w:rsid w:val="00A441A6"/>
    <w:rPr>
      <w:rFonts w:eastAsia="Times New Roman"/>
      <w:sz w:val="24"/>
      <w:szCs w:val="24"/>
      <w:lang w:eastAsia="ru-RU"/>
    </w:rPr>
  </w:style>
  <w:style w:type="paragraph" w:customStyle="1" w:styleId="ConsPlusNonformat">
    <w:name w:val="ConsPlusNonformat"/>
    <w:uiPriority w:val="99"/>
    <w:rsid w:val="00A441A6"/>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4">
    <w:name w:val="Normal (Web)"/>
    <w:aliases w:val="Обычный (Web)"/>
    <w:basedOn w:val="a"/>
    <w:uiPriority w:val="99"/>
    <w:qFormat/>
    <w:rsid w:val="00A441A6"/>
    <w:pPr>
      <w:spacing w:after="68" w:line="240" w:lineRule="auto"/>
    </w:pPr>
    <w:rPr>
      <w:rFonts w:ascii="Verdana" w:eastAsia="Times New Roman" w:hAnsi="Verdana" w:cs="Times New Roman"/>
      <w:color w:val="000000"/>
      <w:sz w:val="16"/>
      <w:szCs w:val="16"/>
      <w:lang w:eastAsia="ru-RU"/>
    </w:rPr>
  </w:style>
  <w:style w:type="character" w:styleId="af5">
    <w:name w:val="Strong"/>
    <w:qFormat/>
    <w:rsid w:val="00A441A6"/>
    <w:rPr>
      <w:b/>
      <w:bCs/>
    </w:rPr>
  </w:style>
  <w:style w:type="paragraph" w:customStyle="1" w:styleId="14">
    <w:name w:val="Обычный1"/>
    <w:rsid w:val="00A441A6"/>
    <w:pPr>
      <w:spacing w:after="0" w:line="240" w:lineRule="auto"/>
    </w:pPr>
    <w:rPr>
      <w:rFonts w:eastAsia="Calibri"/>
      <w:sz w:val="26"/>
      <w:szCs w:val="20"/>
      <w:lang w:eastAsia="ru-RU"/>
    </w:rPr>
  </w:style>
  <w:style w:type="paragraph" w:customStyle="1" w:styleId="Default">
    <w:name w:val="Default"/>
    <w:qFormat/>
    <w:rsid w:val="00A441A6"/>
    <w:pPr>
      <w:autoSpaceDE w:val="0"/>
      <w:autoSpaceDN w:val="0"/>
      <w:adjustRightInd w:val="0"/>
      <w:spacing w:after="0" w:line="240" w:lineRule="auto"/>
    </w:pPr>
    <w:rPr>
      <w:rFonts w:eastAsia="Times New Roman"/>
      <w:color w:val="000000"/>
      <w:sz w:val="24"/>
      <w:szCs w:val="24"/>
    </w:rPr>
  </w:style>
  <w:style w:type="paragraph" w:styleId="27">
    <w:name w:val="Body Text First Indent 2"/>
    <w:basedOn w:val="af2"/>
    <w:link w:val="28"/>
    <w:rsid w:val="00A441A6"/>
    <w:pPr>
      <w:ind w:firstLine="210"/>
    </w:pPr>
  </w:style>
  <w:style w:type="character" w:customStyle="1" w:styleId="28">
    <w:name w:val="Красная строка 2 Знак"/>
    <w:basedOn w:val="af3"/>
    <w:link w:val="27"/>
    <w:rsid w:val="00A441A6"/>
    <w:rPr>
      <w:rFonts w:eastAsia="Times New Roman"/>
      <w:sz w:val="24"/>
      <w:szCs w:val="24"/>
      <w:lang w:eastAsia="ru-RU"/>
    </w:rPr>
  </w:style>
  <w:style w:type="paragraph" w:styleId="31">
    <w:name w:val="Body Text Indent 3"/>
    <w:basedOn w:val="a"/>
    <w:link w:val="32"/>
    <w:rsid w:val="00A441A6"/>
    <w:pPr>
      <w:spacing w:after="120" w:line="240" w:lineRule="auto"/>
      <w:ind w:left="283"/>
    </w:pPr>
    <w:rPr>
      <w:rFonts w:ascii="Times New Roman" w:eastAsia="Times New Roman" w:hAnsi="Times New Roman" w:cs="Times New Roman"/>
      <w:sz w:val="16"/>
      <w:szCs w:val="16"/>
      <w:lang w:val="x-none" w:eastAsia="x-none"/>
    </w:rPr>
  </w:style>
  <w:style w:type="character" w:customStyle="1" w:styleId="32">
    <w:name w:val="Основной текст с отступом 3 Знак"/>
    <w:basedOn w:val="a0"/>
    <w:link w:val="31"/>
    <w:rsid w:val="00A441A6"/>
    <w:rPr>
      <w:rFonts w:eastAsia="Times New Roman"/>
      <w:sz w:val="16"/>
      <w:szCs w:val="16"/>
      <w:lang w:val="x-none" w:eastAsia="x-none"/>
    </w:rPr>
  </w:style>
  <w:style w:type="character" w:styleId="af6">
    <w:name w:val="Emphasis"/>
    <w:uiPriority w:val="20"/>
    <w:qFormat/>
    <w:rsid w:val="00A441A6"/>
    <w:rPr>
      <w:rFonts w:cs="Times New Roman"/>
      <w:i/>
      <w:iCs/>
    </w:rPr>
  </w:style>
  <w:style w:type="paragraph" w:customStyle="1" w:styleId="61">
    <w:name w:val="Акты 6 пт"/>
    <w:basedOn w:val="a"/>
    <w:qFormat/>
    <w:rsid w:val="00A441A6"/>
    <w:pPr>
      <w:spacing w:before="120" w:after="0" w:line="240" w:lineRule="auto"/>
      <w:ind w:firstLine="709"/>
      <w:jc w:val="both"/>
    </w:pPr>
    <w:rPr>
      <w:rFonts w:ascii="Times New Roman" w:eastAsia="Times New Roman" w:hAnsi="Times New Roman" w:cs="Times New Roman"/>
      <w:sz w:val="28"/>
      <w:szCs w:val="20"/>
      <w:lang w:eastAsia="ru-RU"/>
    </w:rPr>
  </w:style>
  <w:style w:type="paragraph" w:customStyle="1" w:styleId="af7">
    <w:name w:val="Прижатый влево"/>
    <w:basedOn w:val="a"/>
    <w:next w:val="a"/>
    <w:uiPriority w:val="99"/>
    <w:rsid w:val="00A441A6"/>
    <w:pPr>
      <w:autoSpaceDE w:val="0"/>
      <w:autoSpaceDN w:val="0"/>
      <w:adjustRightInd w:val="0"/>
      <w:spacing w:after="0" w:line="240" w:lineRule="auto"/>
    </w:pPr>
    <w:rPr>
      <w:rFonts w:ascii="Arial" w:eastAsia="Times New Roman" w:hAnsi="Arial" w:cs="Arial"/>
      <w:sz w:val="24"/>
      <w:szCs w:val="24"/>
      <w:lang w:eastAsia="ru-RU"/>
    </w:rPr>
  </w:style>
  <w:style w:type="character" w:customStyle="1" w:styleId="af8">
    <w:name w:val="Цветовое выделение"/>
    <w:uiPriority w:val="99"/>
    <w:rsid w:val="00A441A6"/>
    <w:rPr>
      <w:b/>
      <w:color w:val="26282F"/>
      <w:sz w:val="26"/>
    </w:rPr>
  </w:style>
  <w:style w:type="character" w:customStyle="1" w:styleId="FootnoteTextChar">
    <w:name w:val="Footnote Text Char"/>
    <w:semiHidden/>
    <w:locked/>
    <w:rsid w:val="00A441A6"/>
    <w:rPr>
      <w:rFonts w:ascii="Times New Roman" w:eastAsia="Times New Roman" w:hAnsi="Times New Roman" w:cs="Times New Roman"/>
      <w:sz w:val="20"/>
      <w:szCs w:val="20"/>
      <w:lang w:val="x-none" w:eastAsia="ru-RU"/>
    </w:rPr>
  </w:style>
  <w:style w:type="character" w:customStyle="1" w:styleId="53">
    <w:name w:val="Знак Знак5"/>
    <w:semiHidden/>
    <w:locked/>
    <w:rsid w:val="00A441A6"/>
    <w:rPr>
      <w:sz w:val="24"/>
      <w:szCs w:val="24"/>
      <w:lang w:val="ru-RU" w:eastAsia="ru-RU" w:bidi="ar-SA"/>
    </w:rPr>
  </w:style>
  <w:style w:type="paragraph" w:styleId="af9">
    <w:name w:val="endnote text"/>
    <w:basedOn w:val="a"/>
    <w:link w:val="afa"/>
    <w:uiPriority w:val="99"/>
    <w:unhideWhenUsed/>
    <w:rsid w:val="00A441A6"/>
    <w:pPr>
      <w:spacing w:after="0" w:line="240" w:lineRule="auto"/>
    </w:pPr>
    <w:rPr>
      <w:rFonts w:ascii="Times New Roman" w:eastAsia="Times New Roman" w:hAnsi="Times New Roman" w:cs="Times New Roman"/>
      <w:sz w:val="20"/>
      <w:szCs w:val="20"/>
      <w:lang w:eastAsia="ru-RU"/>
    </w:rPr>
  </w:style>
  <w:style w:type="character" w:customStyle="1" w:styleId="afa">
    <w:name w:val="Текст концевой сноски Знак"/>
    <w:basedOn w:val="a0"/>
    <w:link w:val="af9"/>
    <w:uiPriority w:val="99"/>
    <w:rsid w:val="00A441A6"/>
    <w:rPr>
      <w:rFonts w:eastAsia="Times New Roman"/>
      <w:sz w:val="20"/>
      <w:szCs w:val="20"/>
      <w:lang w:eastAsia="ru-RU"/>
    </w:rPr>
  </w:style>
  <w:style w:type="character" w:customStyle="1" w:styleId="FontStyle17">
    <w:name w:val="Font Style17"/>
    <w:rsid w:val="00A441A6"/>
    <w:rPr>
      <w:rFonts w:ascii="Times New Roman" w:hAnsi="Times New Roman" w:cs="Times New Roman"/>
      <w:b/>
      <w:bCs/>
      <w:sz w:val="28"/>
      <w:szCs w:val="28"/>
    </w:rPr>
  </w:style>
  <w:style w:type="paragraph" w:styleId="afb">
    <w:name w:val="footer"/>
    <w:basedOn w:val="a"/>
    <w:link w:val="afc"/>
    <w:uiPriority w:val="99"/>
    <w:rsid w:val="00A441A6"/>
    <w:pPr>
      <w:tabs>
        <w:tab w:val="center" w:pos="4677"/>
        <w:tab w:val="right" w:pos="9355"/>
      </w:tabs>
      <w:spacing w:after="0" w:line="240" w:lineRule="auto"/>
    </w:pPr>
    <w:rPr>
      <w:rFonts w:ascii="Times New Roman" w:eastAsia="Times New Roman" w:hAnsi="Times New Roman" w:cs="Times New Roman"/>
      <w:sz w:val="24"/>
      <w:szCs w:val="24"/>
      <w:lang w:val="x-none" w:eastAsia="x-none"/>
    </w:rPr>
  </w:style>
  <w:style w:type="character" w:customStyle="1" w:styleId="afc">
    <w:name w:val="Нижний колонтитул Знак"/>
    <w:basedOn w:val="a0"/>
    <w:link w:val="afb"/>
    <w:uiPriority w:val="99"/>
    <w:rsid w:val="00A441A6"/>
    <w:rPr>
      <w:rFonts w:eastAsia="Times New Roman"/>
      <w:sz w:val="24"/>
      <w:szCs w:val="24"/>
      <w:lang w:val="x-none" w:eastAsia="x-none"/>
    </w:rPr>
  </w:style>
  <w:style w:type="character" w:styleId="afd">
    <w:name w:val="Hyperlink"/>
    <w:uiPriority w:val="99"/>
    <w:rsid w:val="00A441A6"/>
    <w:rPr>
      <w:rFonts w:cs="Times New Roman"/>
      <w:color w:val="0000FF"/>
      <w:u w:val="single"/>
    </w:rPr>
  </w:style>
  <w:style w:type="character" w:styleId="afe">
    <w:name w:val="FollowedHyperlink"/>
    <w:uiPriority w:val="99"/>
    <w:rsid w:val="00A441A6"/>
    <w:rPr>
      <w:rFonts w:cs="Times New Roman"/>
      <w:color w:val="800080"/>
      <w:u w:val="single"/>
    </w:rPr>
  </w:style>
  <w:style w:type="character" w:customStyle="1" w:styleId="BodyTextIndentChar">
    <w:name w:val="Body Text Indent Char"/>
    <w:uiPriority w:val="99"/>
    <w:semiHidden/>
    <w:locked/>
    <w:rsid w:val="00A441A6"/>
    <w:rPr>
      <w:rFonts w:ascii="Times New Roman" w:hAnsi="Times New Roman" w:cs="Times New Roman"/>
      <w:sz w:val="24"/>
      <w:szCs w:val="24"/>
    </w:rPr>
  </w:style>
  <w:style w:type="table" w:customStyle="1" w:styleId="110">
    <w:name w:val="Сетка таблицы11"/>
    <w:basedOn w:val="a1"/>
    <w:next w:val="ab"/>
    <w:uiPriority w:val="59"/>
    <w:rsid w:val="00A441A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Title"/>
    <w:basedOn w:val="a"/>
    <w:link w:val="aff0"/>
    <w:uiPriority w:val="10"/>
    <w:qFormat/>
    <w:rsid w:val="00A441A6"/>
    <w:pPr>
      <w:spacing w:after="0" w:line="240" w:lineRule="auto"/>
      <w:jc w:val="center"/>
    </w:pPr>
    <w:rPr>
      <w:rFonts w:ascii="Times New Roman" w:eastAsia="Times New Roman" w:hAnsi="Times New Roman" w:cs="Times New Roman"/>
      <w:b/>
      <w:sz w:val="32"/>
      <w:szCs w:val="20"/>
      <w:lang w:val="x-none" w:eastAsia="ru-RU"/>
    </w:rPr>
  </w:style>
  <w:style w:type="character" w:customStyle="1" w:styleId="aff0">
    <w:name w:val="Название Знак"/>
    <w:basedOn w:val="a0"/>
    <w:link w:val="aff"/>
    <w:uiPriority w:val="10"/>
    <w:rsid w:val="00A441A6"/>
    <w:rPr>
      <w:rFonts w:eastAsia="Times New Roman"/>
      <w:b/>
      <w:sz w:val="32"/>
      <w:szCs w:val="20"/>
      <w:lang w:val="x-none" w:eastAsia="ru-RU"/>
    </w:rPr>
  </w:style>
  <w:style w:type="paragraph" w:customStyle="1" w:styleId="Style10">
    <w:name w:val="Style10"/>
    <w:basedOn w:val="a"/>
    <w:uiPriority w:val="99"/>
    <w:rsid w:val="00A441A6"/>
    <w:pPr>
      <w:widowControl w:val="0"/>
      <w:autoSpaceDE w:val="0"/>
      <w:autoSpaceDN w:val="0"/>
      <w:adjustRightInd w:val="0"/>
      <w:spacing w:after="0" w:line="320" w:lineRule="exact"/>
      <w:ind w:firstLine="720"/>
      <w:jc w:val="both"/>
    </w:pPr>
    <w:rPr>
      <w:rFonts w:ascii="Times New Roman" w:eastAsia="Times New Roman" w:hAnsi="Times New Roman" w:cs="Times New Roman"/>
      <w:sz w:val="24"/>
      <w:szCs w:val="24"/>
      <w:lang w:eastAsia="ru-RU"/>
    </w:rPr>
  </w:style>
  <w:style w:type="character" w:customStyle="1" w:styleId="FontStyle22">
    <w:name w:val="Font Style22"/>
    <w:uiPriority w:val="99"/>
    <w:rsid w:val="00A441A6"/>
    <w:rPr>
      <w:rFonts w:ascii="Times New Roman" w:hAnsi="Times New Roman" w:cs="Times New Roman"/>
      <w:sz w:val="26"/>
      <w:szCs w:val="26"/>
    </w:rPr>
  </w:style>
  <w:style w:type="character" w:customStyle="1" w:styleId="FontStyle24">
    <w:name w:val="Font Style24"/>
    <w:uiPriority w:val="99"/>
    <w:rsid w:val="00A441A6"/>
    <w:rPr>
      <w:rFonts w:ascii="Times New Roman" w:hAnsi="Times New Roman" w:cs="Times New Roman"/>
      <w:b/>
      <w:bCs/>
      <w:sz w:val="26"/>
      <w:szCs w:val="26"/>
    </w:rPr>
  </w:style>
  <w:style w:type="paragraph" w:customStyle="1" w:styleId="msonormal1">
    <w:name w:val="msonormal1"/>
    <w:basedOn w:val="a"/>
    <w:uiPriority w:val="99"/>
    <w:rsid w:val="00A441A6"/>
    <w:pPr>
      <w:spacing w:after="0" w:line="240" w:lineRule="auto"/>
    </w:pPr>
    <w:rPr>
      <w:rFonts w:ascii="Times New Roman" w:eastAsia="Times New Roman" w:hAnsi="Times New Roman" w:cs="Times New Roman"/>
      <w:sz w:val="24"/>
      <w:szCs w:val="24"/>
      <w:lang w:eastAsia="ru-RU"/>
    </w:rPr>
  </w:style>
  <w:style w:type="paragraph" w:styleId="aff1">
    <w:name w:val="No Spacing"/>
    <w:link w:val="aff2"/>
    <w:uiPriority w:val="1"/>
    <w:qFormat/>
    <w:rsid w:val="00A441A6"/>
    <w:pPr>
      <w:spacing w:after="0" w:line="240" w:lineRule="auto"/>
    </w:pPr>
    <w:rPr>
      <w:rFonts w:eastAsia="Times New Roman"/>
      <w:szCs w:val="24"/>
      <w:lang w:eastAsia="ru-RU"/>
    </w:rPr>
  </w:style>
  <w:style w:type="paragraph" w:customStyle="1" w:styleId="15">
    <w:name w:val="Без интервала1"/>
    <w:uiPriority w:val="99"/>
    <w:rsid w:val="00A441A6"/>
    <w:pPr>
      <w:spacing w:after="0" w:line="240" w:lineRule="auto"/>
    </w:pPr>
    <w:rPr>
      <w:rFonts w:ascii="Calibri" w:eastAsia="Times New Roman" w:hAnsi="Calibri"/>
      <w:sz w:val="22"/>
      <w:szCs w:val="22"/>
    </w:rPr>
  </w:style>
  <w:style w:type="numbering" w:customStyle="1" w:styleId="111">
    <w:name w:val="Нет списка11"/>
    <w:next w:val="a2"/>
    <w:uiPriority w:val="99"/>
    <w:semiHidden/>
    <w:unhideWhenUsed/>
    <w:rsid w:val="00A441A6"/>
  </w:style>
  <w:style w:type="numbering" w:customStyle="1" w:styleId="1110">
    <w:name w:val="Нет списка111"/>
    <w:next w:val="a2"/>
    <w:uiPriority w:val="99"/>
    <w:semiHidden/>
    <w:rsid w:val="00A441A6"/>
  </w:style>
  <w:style w:type="table" w:customStyle="1" w:styleId="29">
    <w:name w:val="Сетка таблицы2"/>
    <w:basedOn w:val="a1"/>
    <w:next w:val="ab"/>
    <w:rsid w:val="00A441A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Нет списка2"/>
    <w:next w:val="a2"/>
    <w:uiPriority w:val="99"/>
    <w:semiHidden/>
    <w:unhideWhenUsed/>
    <w:rsid w:val="00A441A6"/>
  </w:style>
  <w:style w:type="numbering" w:customStyle="1" w:styleId="120">
    <w:name w:val="Нет списка12"/>
    <w:next w:val="a2"/>
    <w:uiPriority w:val="99"/>
    <w:semiHidden/>
    <w:unhideWhenUsed/>
    <w:rsid w:val="00A441A6"/>
  </w:style>
  <w:style w:type="character" w:styleId="aff3">
    <w:name w:val="endnote reference"/>
    <w:uiPriority w:val="99"/>
    <w:unhideWhenUsed/>
    <w:rsid w:val="00A441A6"/>
    <w:rPr>
      <w:vertAlign w:val="superscript"/>
    </w:rPr>
  </w:style>
  <w:style w:type="numbering" w:customStyle="1" w:styleId="33">
    <w:name w:val="Нет списка3"/>
    <w:next w:val="a2"/>
    <w:uiPriority w:val="99"/>
    <w:semiHidden/>
    <w:unhideWhenUsed/>
    <w:rsid w:val="00A441A6"/>
  </w:style>
  <w:style w:type="paragraph" w:customStyle="1" w:styleId="ConsPlusCell">
    <w:name w:val="ConsPlusCell"/>
    <w:rsid w:val="00A441A6"/>
    <w:pPr>
      <w:widowControl w:val="0"/>
      <w:autoSpaceDE w:val="0"/>
      <w:autoSpaceDN w:val="0"/>
      <w:adjustRightInd w:val="0"/>
      <w:spacing w:after="0" w:line="240" w:lineRule="auto"/>
    </w:pPr>
    <w:rPr>
      <w:rFonts w:ascii="Calibri" w:eastAsia="Times New Roman" w:hAnsi="Calibri" w:cs="Calibri"/>
      <w:sz w:val="22"/>
      <w:szCs w:val="22"/>
      <w:lang w:eastAsia="ru-RU"/>
    </w:rPr>
  </w:style>
  <w:style w:type="character" w:customStyle="1" w:styleId="apple-converted-space">
    <w:name w:val="apple-converted-space"/>
    <w:rsid w:val="00A441A6"/>
  </w:style>
  <w:style w:type="table" w:customStyle="1" w:styleId="34">
    <w:name w:val="Сетка таблицы3"/>
    <w:basedOn w:val="a1"/>
    <w:next w:val="ab"/>
    <w:uiPriority w:val="59"/>
    <w:rsid w:val="00A441A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ceouttxt4">
    <w:name w:val="iceouttxt4"/>
    <w:rsid w:val="00A441A6"/>
  </w:style>
  <w:style w:type="table" w:customStyle="1" w:styleId="42">
    <w:name w:val="Сетка таблицы4"/>
    <w:basedOn w:val="a1"/>
    <w:next w:val="ab"/>
    <w:rsid w:val="00A441A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1"/>
    <w:next w:val="ab"/>
    <w:uiPriority w:val="59"/>
    <w:rsid w:val="00A441A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2"/>
    <w:uiPriority w:val="99"/>
    <w:semiHidden/>
    <w:unhideWhenUsed/>
    <w:rsid w:val="00A441A6"/>
  </w:style>
  <w:style w:type="numbering" w:customStyle="1" w:styleId="54">
    <w:name w:val="Нет списка5"/>
    <w:next w:val="a2"/>
    <w:uiPriority w:val="99"/>
    <w:semiHidden/>
    <w:unhideWhenUsed/>
    <w:rsid w:val="00A441A6"/>
  </w:style>
  <w:style w:type="character" w:customStyle="1" w:styleId="csfc2ac2711">
    <w:name w:val="csfc2ac2711"/>
    <w:rsid w:val="00A441A6"/>
    <w:rPr>
      <w:rFonts w:ascii="Calibri" w:hAnsi="Calibri" w:cs="Calibri" w:hint="default"/>
      <w:b w:val="0"/>
      <w:bCs w:val="0"/>
      <w:i w:val="0"/>
      <w:iCs w:val="0"/>
      <w:color w:val="000000"/>
      <w:sz w:val="28"/>
      <w:szCs w:val="28"/>
    </w:rPr>
  </w:style>
  <w:style w:type="paragraph" w:customStyle="1" w:styleId="cs8c6a5b78">
    <w:name w:val="cs8c6a5b78"/>
    <w:basedOn w:val="a"/>
    <w:rsid w:val="00A441A6"/>
    <w:pPr>
      <w:spacing w:after="0" w:line="240" w:lineRule="auto"/>
      <w:ind w:firstLine="560"/>
      <w:jc w:val="both"/>
    </w:pPr>
    <w:rPr>
      <w:rFonts w:ascii="Times New Roman" w:eastAsia="Times New Roman" w:hAnsi="Times New Roman" w:cs="Times New Roman"/>
      <w:sz w:val="24"/>
      <w:szCs w:val="24"/>
      <w:lang w:eastAsia="ru-RU"/>
    </w:rPr>
  </w:style>
  <w:style w:type="character" w:customStyle="1" w:styleId="2b">
    <w:name w:val="Подпись к таблице (2)_"/>
    <w:basedOn w:val="a0"/>
    <w:link w:val="2c"/>
    <w:rsid w:val="00A441A6"/>
    <w:rPr>
      <w:rFonts w:eastAsia="Times New Roman"/>
      <w:shd w:val="clear" w:color="auto" w:fill="FFFFFF"/>
    </w:rPr>
  </w:style>
  <w:style w:type="paragraph" w:customStyle="1" w:styleId="2c">
    <w:name w:val="Подпись к таблице (2)"/>
    <w:basedOn w:val="a"/>
    <w:link w:val="2b"/>
    <w:rsid w:val="00A441A6"/>
    <w:pPr>
      <w:widowControl w:val="0"/>
      <w:shd w:val="clear" w:color="auto" w:fill="FFFFFF"/>
      <w:spacing w:after="0" w:line="0" w:lineRule="atLeast"/>
    </w:pPr>
    <w:rPr>
      <w:rFonts w:ascii="Times New Roman" w:eastAsia="Times New Roman" w:hAnsi="Times New Roman" w:cs="Times New Roman"/>
      <w:sz w:val="28"/>
      <w:szCs w:val="28"/>
    </w:rPr>
  </w:style>
  <w:style w:type="paragraph" w:customStyle="1" w:styleId="cse9c2e6dd">
    <w:name w:val="cse9c2e6dd"/>
    <w:basedOn w:val="a"/>
    <w:rsid w:val="00A441A6"/>
    <w:pPr>
      <w:spacing w:after="0" w:line="240" w:lineRule="auto"/>
      <w:ind w:firstLine="560"/>
      <w:jc w:val="both"/>
    </w:pPr>
    <w:rPr>
      <w:rFonts w:ascii="Times New Roman" w:eastAsia="Times New Roman" w:hAnsi="Times New Roman" w:cs="Times New Roman"/>
      <w:sz w:val="24"/>
      <w:szCs w:val="24"/>
      <w:lang w:eastAsia="ru-RU"/>
    </w:rPr>
  </w:style>
  <w:style w:type="character" w:customStyle="1" w:styleId="aff4">
    <w:name w:val="Колонтитул_"/>
    <w:basedOn w:val="a0"/>
    <w:rsid w:val="00A441A6"/>
    <w:rPr>
      <w:rFonts w:ascii="Times New Roman" w:eastAsia="Times New Roman" w:hAnsi="Times New Roman" w:cs="Times New Roman"/>
      <w:b w:val="0"/>
      <w:bCs w:val="0"/>
      <w:i w:val="0"/>
      <w:iCs w:val="0"/>
      <w:smallCaps w:val="0"/>
      <w:strike w:val="0"/>
      <w:sz w:val="26"/>
      <w:szCs w:val="26"/>
      <w:u w:val="none"/>
    </w:rPr>
  </w:style>
  <w:style w:type="character" w:customStyle="1" w:styleId="aff5">
    <w:name w:val="Колонтитул"/>
    <w:basedOn w:val="aff4"/>
    <w:rsid w:val="00A441A6"/>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paragraph" w:customStyle="1" w:styleId="sdauthor">
    <w:name w:val="s_d_author"/>
    <w:basedOn w:val="a"/>
    <w:rsid w:val="00A441A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sa2900190">
    <w:name w:val="csa2900190"/>
    <w:basedOn w:val="a"/>
    <w:rsid w:val="00A441A6"/>
    <w:pPr>
      <w:spacing w:after="0" w:line="240" w:lineRule="auto"/>
      <w:jc w:val="both"/>
    </w:pPr>
    <w:rPr>
      <w:rFonts w:ascii="Times New Roman" w:eastAsia="Times New Roman" w:hAnsi="Times New Roman" w:cs="Times New Roman"/>
      <w:sz w:val="24"/>
      <w:szCs w:val="24"/>
      <w:lang w:eastAsia="ru-RU"/>
    </w:rPr>
  </w:style>
  <w:style w:type="character" w:customStyle="1" w:styleId="csd2c743de1">
    <w:name w:val="csd2c743de1"/>
    <w:rsid w:val="00A441A6"/>
    <w:rPr>
      <w:rFonts w:ascii="Times New Roman" w:hAnsi="Times New Roman" w:cs="Times New Roman" w:hint="default"/>
      <w:b w:val="0"/>
      <w:bCs w:val="0"/>
      <w:i w:val="0"/>
      <w:iCs w:val="0"/>
      <w:color w:val="000000"/>
      <w:sz w:val="28"/>
      <w:szCs w:val="28"/>
      <w:shd w:val="clear" w:color="auto" w:fill="auto"/>
    </w:rPr>
  </w:style>
  <w:style w:type="character" w:customStyle="1" w:styleId="cs7225b23c1">
    <w:name w:val="cs7225b23c1"/>
    <w:rsid w:val="00A441A6"/>
    <w:rPr>
      <w:rFonts w:ascii="Calibri" w:hAnsi="Calibri" w:hint="default"/>
      <w:b w:val="0"/>
      <w:bCs w:val="0"/>
      <w:i w:val="0"/>
      <w:iCs w:val="0"/>
      <w:color w:val="000000"/>
      <w:sz w:val="28"/>
      <w:szCs w:val="28"/>
      <w:shd w:val="clear" w:color="auto" w:fill="FFFFFF"/>
    </w:rPr>
  </w:style>
  <w:style w:type="character" w:customStyle="1" w:styleId="cs66fd02991">
    <w:name w:val="cs66fd02991"/>
    <w:rsid w:val="00A441A6"/>
    <w:rPr>
      <w:rFonts w:ascii="Calibri" w:hAnsi="Calibri" w:hint="default"/>
      <w:b w:val="0"/>
      <w:bCs w:val="0"/>
      <w:i w:val="0"/>
      <w:iCs w:val="0"/>
      <w:color w:val="333333"/>
      <w:sz w:val="28"/>
      <w:szCs w:val="28"/>
      <w:shd w:val="clear" w:color="auto" w:fill="auto"/>
    </w:rPr>
  </w:style>
  <w:style w:type="paragraph" w:customStyle="1" w:styleId="csa162a02e">
    <w:name w:val="csa162a02e"/>
    <w:basedOn w:val="a"/>
    <w:rsid w:val="00A441A6"/>
    <w:pPr>
      <w:spacing w:after="0" w:line="240" w:lineRule="auto"/>
      <w:ind w:firstLine="700"/>
      <w:jc w:val="both"/>
    </w:pPr>
    <w:rPr>
      <w:rFonts w:ascii="Times New Roman" w:eastAsia="Times New Roman" w:hAnsi="Times New Roman" w:cs="Times New Roman"/>
      <w:sz w:val="24"/>
      <w:szCs w:val="24"/>
      <w:lang w:eastAsia="ru-RU"/>
    </w:rPr>
  </w:style>
  <w:style w:type="paragraph" w:customStyle="1" w:styleId="csf0f6f54">
    <w:name w:val="csf0f6f54"/>
    <w:basedOn w:val="a"/>
    <w:rsid w:val="00A441A6"/>
    <w:pPr>
      <w:spacing w:after="0" w:line="440" w:lineRule="atLeast"/>
      <w:ind w:firstLine="700"/>
      <w:jc w:val="both"/>
    </w:pPr>
    <w:rPr>
      <w:rFonts w:ascii="Times New Roman" w:eastAsia="Times New Roman" w:hAnsi="Times New Roman" w:cs="Times New Roman"/>
      <w:sz w:val="24"/>
      <w:szCs w:val="24"/>
      <w:lang w:eastAsia="ru-RU"/>
    </w:rPr>
  </w:style>
  <w:style w:type="character" w:customStyle="1" w:styleId="csaf99984b1">
    <w:name w:val="csaf99984b1"/>
    <w:rsid w:val="00A441A6"/>
    <w:rPr>
      <w:rFonts w:ascii="Calibri" w:hAnsi="Calibri" w:hint="default"/>
      <w:b/>
      <w:bCs/>
      <w:i w:val="0"/>
      <w:iCs w:val="0"/>
      <w:color w:val="000000"/>
      <w:sz w:val="28"/>
      <w:szCs w:val="28"/>
      <w:shd w:val="clear" w:color="auto" w:fill="auto"/>
    </w:rPr>
  </w:style>
  <w:style w:type="paragraph" w:customStyle="1" w:styleId="cs89d33cdd">
    <w:name w:val="cs89d33cdd"/>
    <w:basedOn w:val="a"/>
    <w:rsid w:val="00A441A6"/>
    <w:pPr>
      <w:shd w:val="clear" w:color="auto" w:fill="FFFFFF"/>
      <w:spacing w:after="0" w:line="240" w:lineRule="auto"/>
      <w:ind w:firstLine="700"/>
      <w:jc w:val="both"/>
    </w:pPr>
    <w:rPr>
      <w:rFonts w:ascii="Times New Roman" w:eastAsia="Times New Roman" w:hAnsi="Times New Roman" w:cs="Times New Roman"/>
      <w:sz w:val="24"/>
      <w:szCs w:val="24"/>
      <w:lang w:eastAsia="ru-RU"/>
    </w:rPr>
  </w:style>
  <w:style w:type="paragraph" w:customStyle="1" w:styleId="cs89be6002">
    <w:name w:val="cs89be6002"/>
    <w:basedOn w:val="a"/>
    <w:rsid w:val="00A441A6"/>
    <w:pPr>
      <w:spacing w:after="0" w:line="240" w:lineRule="auto"/>
      <w:jc w:val="both"/>
    </w:pPr>
    <w:rPr>
      <w:rFonts w:ascii="Times New Roman" w:eastAsia="Times New Roman" w:hAnsi="Times New Roman" w:cs="Times New Roman"/>
      <w:sz w:val="24"/>
      <w:szCs w:val="24"/>
      <w:lang w:eastAsia="ru-RU"/>
    </w:rPr>
  </w:style>
  <w:style w:type="paragraph" w:customStyle="1" w:styleId="csd2bc5902">
    <w:name w:val="csd2bc5902"/>
    <w:basedOn w:val="a"/>
    <w:rsid w:val="00A441A6"/>
    <w:pPr>
      <w:shd w:val="clear" w:color="auto" w:fill="FFFFFF"/>
      <w:spacing w:after="0" w:line="240" w:lineRule="auto"/>
      <w:ind w:firstLine="700"/>
      <w:jc w:val="both"/>
    </w:pPr>
    <w:rPr>
      <w:rFonts w:ascii="Times New Roman" w:eastAsia="Times New Roman" w:hAnsi="Times New Roman" w:cs="Times New Roman"/>
      <w:sz w:val="24"/>
      <w:szCs w:val="24"/>
      <w:lang w:eastAsia="ru-RU"/>
    </w:rPr>
  </w:style>
  <w:style w:type="character" w:customStyle="1" w:styleId="csc8f6d761">
    <w:name w:val="csc8f6d761"/>
    <w:rsid w:val="00A441A6"/>
    <w:rPr>
      <w:rFonts w:ascii="Calibri" w:hAnsi="Calibri" w:cs="Calibri" w:hint="default"/>
      <w:b w:val="0"/>
      <w:bCs w:val="0"/>
      <w:i w:val="0"/>
      <w:iCs w:val="0"/>
      <w:color w:val="000000"/>
      <w:sz w:val="22"/>
      <w:szCs w:val="22"/>
    </w:rPr>
  </w:style>
  <w:style w:type="paragraph" w:customStyle="1" w:styleId="csb3f4957a">
    <w:name w:val="csb3f4957a"/>
    <w:basedOn w:val="a"/>
    <w:rsid w:val="00A441A6"/>
    <w:pPr>
      <w:spacing w:after="0" w:line="240" w:lineRule="auto"/>
      <w:ind w:left="-280" w:firstLine="560"/>
      <w:jc w:val="both"/>
    </w:pPr>
    <w:rPr>
      <w:rFonts w:ascii="Times New Roman" w:eastAsia="Times New Roman" w:hAnsi="Times New Roman" w:cs="Times New Roman"/>
      <w:sz w:val="24"/>
      <w:szCs w:val="24"/>
      <w:lang w:eastAsia="ru-RU"/>
    </w:rPr>
  </w:style>
  <w:style w:type="table" w:customStyle="1" w:styleId="55">
    <w:name w:val="Сетка таблицы5"/>
    <w:basedOn w:val="a1"/>
    <w:next w:val="ab"/>
    <w:rsid w:val="00A441A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b"/>
    <w:uiPriority w:val="59"/>
    <w:rsid w:val="00A441A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uiPriority w:val="99"/>
    <w:semiHidden/>
    <w:unhideWhenUsed/>
    <w:rsid w:val="00A441A6"/>
  </w:style>
  <w:style w:type="numbering" w:customStyle="1" w:styleId="71">
    <w:name w:val="Нет списка7"/>
    <w:next w:val="a2"/>
    <w:uiPriority w:val="99"/>
    <w:semiHidden/>
    <w:unhideWhenUsed/>
    <w:rsid w:val="00A441A6"/>
  </w:style>
  <w:style w:type="character" w:customStyle="1" w:styleId="122">
    <w:name w:val="Основной текст (12)_"/>
    <w:basedOn w:val="a0"/>
    <w:link w:val="123"/>
    <w:rsid w:val="00A441A6"/>
    <w:rPr>
      <w:rFonts w:eastAsia="Times New Roman"/>
      <w:b/>
      <w:bCs/>
      <w:i/>
      <w:iCs/>
      <w:shd w:val="clear" w:color="auto" w:fill="FFFFFF"/>
    </w:rPr>
  </w:style>
  <w:style w:type="character" w:customStyle="1" w:styleId="124">
    <w:name w:val="Основной текст (12) + Не полужирный;Не курсив"/>
    <w:basedOn w:val="122"/>
    <w:rsid w:val="00A441A6"/>
    <w:rPr>
      <w:rFonts w:eastAsia="Times New Roman"/>
      <w:b/>
      <w:bCs/>
      <w:i/>
      <w:iCs/>
      <w:color w:val="000000"/>
      <w:spacing w:val="0"/>
      <w:w w:val="100"/>
      <w:position w:val="0"/>
      <w:shd w:val="clear" w:color="auto" w:fill="FFFFFF"/>
      <w:lang w:val="ru-RU" w:eastAsia="ru-RU" w:bidi="ru-RU"/>
    </w:rPr>
  </w:style>
  <w:style w:type="character" w:customStyle="1" w:styleId="2d">
    <w:name w:val="Основной текст (2) + Полужирный;Курсив"/>
    <w:basedOn w:val="21"/>
    <w:rsid w:val="00A441A6"/>
    <w:rPr>
      <w:rFonts w:eastAsia="Times New Roman"/>
      <w:b/>
      <w:bCs/>
      <w:i/>
      <w:iCs/>
      <w:smallCaps w:val="0"/>
      <w:strike w:val="0"/>
      <w:color w:val="000000"/>
      <w:spacing w:val="0"/>
      <w:w w:val="100"/>
      <w:position w:val="0"/>
      <w:u w:val="none"/>
      <w:shd w:val="clear" w:color="auto" w:fill="FFFFFF"/>
      <w:lang w:val="ru-RU" w:eastAsia="ru-RU" w:bidi="ru-RU"/>
    </w:rPr>
  </w:style>
  <w:style w:type="paragraph" w:customStyle="1" w:styleId="123">
    <w:name w:val="Основной текст (12)"/>
    <w:basedOn w:val="a"/>
    <w:link w:val="122"/>
    <w:rsid w:val="00A441A6"/>
    <w:pPr>
      <w:widowControl w:val="0"/>
      <w:shd w:val="clear" w:color="auto" w:fill="FFFFFF"/>
      <w:spacing w:after="0" w:line="470" w:lineRule="exact"/>
      <w:jc w:val="both"/>
    </w:pPr>
    <w:rPr>
      <w:rFonts w:ascii="Times New Roman" w:eastAsia="Times New Roman" w:hAnsi="Times New Roman" w:cs="Times New Roman"/>
      <w:b/>
      <w:bCs/>
      <w:i/>
      <w:iCs/>
      <w:sz w:val="28"/>
      <w:szCs w:val="28"/>
    </w:rPr>
  </w:style>
  <w:style w:type="character" w:customStyle="1" w:styleId="2e">
    <w:name w:val="Основной текст (2) + Полужирный"/>
    <w:aliases w:val="Курсив"/>
    <w:rsid w:val="00A441A6"/>
    <w:rPr>
      <w:rFonts w:ascii="Times New Roman" w:hAnsi="Times New Roman"/>
      <w:b/>
      <w:i/>
      <w:color w:val="000000"/>
      <w:spacing w:val="0"/>
      <w:w w:val="100"/>
      <w:position w:val="0"/>
      <w:sz w:val="28"/>
      <w:u w:val="none"/>
      <w:lang w:val="ru-RU" w:eastAsia="ru-RU"/>
    </w:rPr>
  </w:style>
  <w:style w:type="character" w:customStyle="1" w:styleId="aff6">
    <w:name w:val="Основной текст_"/>
    <w:basedOn w:val="a0"/>
    <w:link w:val="35"/>
    <w:rsid w:val="00A441A6"/>
    <w:rPr>
      <w:rFonts w:eastAsia="Times New Roman"/>
      <w:sz w:val="26"/>
      <w:szCs w:val="26"/>
      <w:shd w:val="clear" w:color="auto" w:fill="FFFFFF"/>
    </w:rPr>
  </w:style>
  <w:style w:type="paragraph" w:customStyle="1" w:styleId="35">
    <w:name w:val="Основной текст3"/>
    <w:basedOn w:val="a"/>
    <w:link w:val="aff6"/>
    <w:rsid w:val="00A441A6"/>
    <w:pPr>
      <w:widowControl w:val="0"/>
      <w:shd w:val="clear" w:color="auto" w:fill="FFFFFF"/>
      <w:spacing w:after="300" w:line="317" w:lineRule="exact"/>
      <w:ind w:hanging="1560"/>
    </w:pPr>
    <w:rPr>
      <w:rFonts w:ascii="Times New Roman" w:eastAsia="Times New Roman" w:hAnsi="Times New Roman" w:cs="Times New Roman"/>
      <w:sz w:val="26"/>
      <w:szCs w:val="26"/>
    </w:rPr>
  </w:style>
  <w:style w:type="character" w:customStyle="1" w:styleId="11pt">
    <w:name w:val="Основной текст + 11 pt"/>
    <w:basedOn w:val="aff6"/>
    <w:rsid w:val="00A441A6"/>
    <w:rPr>
      <w:rFonts w:eastAsia="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aff2">
    <w:name w:val="Без интервала Знак"/>
    <w:link w:val="aff1"/>
    <w:uiPriority w:val="1"/>
    <w:locked/>
    <w:rsid w:val="00A441A6"/>
    <w:rPr>
      <w:rFonts w:eastAsia="Times New Roman"/>
      <w:szCs w:val="24"/>
      <w:lang w:eastAsia="ru-RU"/>
    </w:rPr>
  </w:style>
  <w:style w:type="numbering" w:customStyle="1" w:styleId="81">
    <w:name w:val="Нет списка8"/>
    <w:next w:val="a2"/>
    <w:uiPriority w:val="99"/>
    <w:semiHidden/>
    <w:unhideWhenUsed/>
    <w:rsid w:val="00A441A6"/>
  </w:style>
  <w:style w:type="paragraph" w:customStyle="1" w:styleId="2f">
    <w:name w:val="Основной текст2"/>
    <w:basedOn w:val="a"/>
    <w:rsid w:val="00A441A6"/>
    <w:pPr>
      <w:widowControl w:val="0"/>
      <w:shd w:val="clear" w:color="auto" w:fill="FFFFFF"/>
      <w:spacing w:after="0" w:line="317" w:lineRule="exact"/>
      <w:jc w:val="center"/>
    </w:pPr>
    <w:rPr>
      <w:rFonts w:ascii="Times New Roman" w:eastAsia="Times New Roman" w:hAnsi="Times New Roman" w:cs="Times New Roman"/>
      <w:sz w:val="26"/>
      <w:szCs w:val="26"/>
    </w:rPr>
  </w:style>
  <w:style w:type="character" w:customStyle="1" w:styleId="91">
    <w:name w:val="Основной текст (9)_"/>
    <w:basedOn w:val="a0"/>
    <w:link w:val="92"/>
    <w:rsid w:val="00A441A6"/>
    <w:rPr>
      <w:rFonts w:eastAsia="Times New Roman"/>
      <w:b/>
      <w:bCs/>
      <w:sz w:val="26"/>
      <w:szCs w:val="26"/>
      <w:shd w:val="clear" w:color="auto" w:fill="FFFFFF"/>
    </w:rPr>
  </w:style>
  <w:style w:type="paragraph" w:customStyle="1" w:styleId="92">
    <w:name w:val="Основной текст (9)"/>
    <w:basedOn w:val="a"/>
    <w:link w:val="91"/>
    <w:rsid w:val="00A441A6"/>
    <w:pPr>
      <w:widowControl w:val="0"/>
      <w:shd w:val="clear" w:color="auto" w:fill="FFFFFF"/>
      <w:spacing w:after="180" w:line="0" w:lineRule="atLeast"/>
      <w:ind w:hanging="1560"/>
      <w:jc w:val="center"/>
    </w:pPr>
    <w:rPr>
      <w:rFonts w:ascii="Times New Roman" w:eastAsia="Times New Roman" w:hAnsi="Times New Roman" w:cs="Times New Roman"/>
      <w:b/>
      <w:bCs/>
      <w:sz w:val="26"/>
      <w:szCs w:val="26"/>
    </w:rPr>
  </w:style>
  <w:style w:type="character" w:customStyle="1" w:styleId="95pt">
    <w:name w:val="Основной текст + 9;5 pt"/>
    <w:basedOn w:val="aff6"/>
    <w:rsid w:val="00A441A6"/>
    <w:rPr>
      <w:rFonts w:eastAsia="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5pt">
    <w:name w:val="Основной текст + 5;5 pt"/>
    <w:basedOn w:val="aff6"/>
    <w:rsid w:val="00A441A6"/>
    <w:rPr>
      <w:rFonts w:eastAsia="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numbering" w:customStyle="1" w:styleId="93">
    <w:name w:val="Нет списка9"/>
    <w:next w:val="a2"/>
    <w:uiPriority w:val="99"/>
    <w:semiHidden/>
    <w:unhideWhenUsed/>
    <w:rsid w:val="00A441A6"/>
  </w:style>
  <w:style w:type="paragraph" w:customStyle="1" w:styleId="western">
    <w:name w:val="western"/>
    <w:basedOn w:val="a"/>
    <w:rsid w:val="00A441A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7">
    <w:name w:val="xl177"/>
    <w:basedOn w:val="a"/>
    <w:rsid w:val="00A441A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8">
    <w:name w:val="xl178"/>
    <w:basedOn w:val="a"/>
    <w:rsid w:val="00A441A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179">
    <w:name w:val="xl179"/>
    <w:basedOn w:val="a"/>
    <w:rsid w:val="00A441A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0">
    <w:name w:val="xl180"/>
    <w:basedOn w:val="a"/>
    <w:rsid w:val="00A441A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1">
    <w:name w:val="xl181"/>
    <w:basedOn w:val="a"/>
    <w:rsid w:val="00A441A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2">
    <w:name w:val="xl182"/>
    <w:basedOn w:val="a"/>
    <w:rsid w:val="00A441A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
    <w:name w:val="xl183"/>
    <w:basedOn w:val="a"/>
    <w:rsid w:val="00A441A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184">
    <w:name w:val="xl184"/>
    <w:basedOn w:val="a"/>
    <w:rsid w:val="00A441A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185">
    <w:name w:val="xl185"/>
    <w:basedOn w:val="a"/>
    <w:rsid w:val="00A441A6"/>
    <w:pPr>
      <w:shd w:val="clear" w:color="000000" w:fill="FDE9D9"/>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186">
    <w:name w:val="xl186"/>
    <w:basedOn w:val="a"/>
    <w:rsid w:val="00A441A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87">
    <w:name w:val="xl187"/>
    <w:basedOn w:val="a"/>
    <w:rsid w:val="00A441A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8">
    <w:name w:val="xl188"/>
    <w:basedOn w:val="a"/>
    <w:rsid w:val="00A441A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89">
    <w:name w:val="xl189"/>
    <w:basedOn w:val="a"/>
    <w:rsid w:val="00A441A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190">
    <w:name w:val="xl190"/>
    <w:basedOn w:val="a"/>
    <w:rsid w:val="00A441A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1">
    <w:name w:val="xl191"/>
    <w:basedOn w:val="a"/>
    <w:rsid w:val="00A441A6"/>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92">
    <w:name w:val="xl192"/>
    <w:basedOn w:val="a"/>
    <w:rsid w:val="00A441A6"/>
    <w:pPr>
      <w:pBdr>
        <w:left w:val="single" w:sz="4" w:space="0" w:color="auto"/>
        <w:bottom w:val="single" w:sz="4" w:space="0" w:color="auto"/>
        <w:right w:val="single" w:sz="4" w:space="0" w:color="auto"/>
      </w:pBdr>
      <w:shd w:val="clear" w:color="000000" w:fill="DDD9C4"/>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93">
    <w:name w:val="xl193"/>
    <w:basedOn w:val="a"/>
    <w:rsid w:val="00A441A6"/>
    <w:pPr>
      <w:pBdr>
        <w:left w:val="single" w:sz="4" w:space="0" w:color="auto"/>
        <w:bottom w:val="single" w:sz="4" w:space="0" w:color="auto"/>
        <w:right w:val="single" w:sz="4" w:space="0" w:color="auto"/>
      </w:pBdr>
      <w:shd w:val="clear" w:color="000000" w:fill="FDE9D9"/>
      <w:spacing w:before="100" w:beforeAutospacing="1" w:after="100" w:afterAutospacing="1" w:line="240" w:lineRule="auto"/>
      <w:jc w:val="both"/>
    </w:pPr>
    <w:rPr>
      <w:rFonts w:ascii="Times New Roman" w:eastAsia="Times New Roman" w:hAnsi="Times New Roman" w:cs="Times New Roman"/>
      <w:b/>
      <w:bCs/>
      <w:i/>
      <w:iCs/>
      <w:sz w:val="24"/>
      <w:szCs w:val="24"/>
      <w:lang w:eastAsia="ru-RU"/>
    </w:rPr>
  </w:style>
  <w:style w:type="paragraph" w:customStyle="1" w:styleId="xl194">
    <w:name w:val="xl194"/>
    <w:basedOn w:val="a"/>
    <w:rsid w:val="00A441A6"/>
    <w:pPr>
      <w:pBdr>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195">
    <w:name w:val="xl195"/>
    <w:basedOn w:val="a"/>
    <w:rsid w:val="00A441A6"/>
    <w:pPr>
      <w:pBdr>
        <w:left w:val="single" w:sz="4" w:space="0" w:color="auto"/>
        <w:bottom w:val="single" w:sz="4" w:space="0" w:color="auto"/>
        <w:right w:val="single" w:sz="4" w:space="0" w:color="auto"/>
      </w:pBdr>
      <w:shd w:val="clear" w:color="000000" w:fill="DDD9C4"/>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6">
    <w:name w:val="xl196"/>
    <w:basedOn w:val="a"/>
    <w:rsid w:val="00A441A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97">
    <w:name w:val="xl197"/>
    <w:basedOn w:val="a"/>
    <w:rsid w:val="00A441A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98">
    <w:name w:val="xl198"/>
    <w:basedOn w:val="a"/>
    <w:rsid w:val="00A441A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9">
    <w:name w:val="xl199"/>
    <w:basedOn w:val="a"/>
    <w:rsid w:val="00A441A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200">
    <w:name w:val="xl200"/>
    <w:basedOn w:val="a"/>
    <w:rsid w:val="00A441A6"/>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01">
    <w:name w:val="xl201"/>
    <w:basedOn w:val="a"/>
    <w:rsid w:val="00A441A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202">
    <w:name w:val="xl202"/>
    <w:basedOn w:val="a"/>
    <w:rsid w:val="00A441A6"/>
    <w:pPr>
      <w:pBdr>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pPr>
    <w:rPr>
      <w:rFonts w:ascii="Times New Roman" w:eastAsia="Times New Roman" w:hAnsi="Times New Roman" w:cs="Times New Roman"/>
      <w:b/>
      <w:bCs/>
      <w:i/>
      <w:iCs/>
      <w:sz w:val="24"/>
      <w:szCs w:val="24"/>
      <w:lang w:eastAsia="ru-RU"/>
    </w:rPr>
  </w:style>
  <w:style w:type="paragraph" w:customStyle="1" w:styleId="-1">
    <w:name w:val="Основной-1"/>
    <w:basedOn w:val="a"/>
    <w:qFormat/>
    <w:rsid w:val="00A441A6"/>
    <w:pPr>
      <w:numPr>
        <w:numId w:val="18"/>
      </w:numPr>
      <w:tabs>
        <w:tab w:val="left" w:pos="993"/>
      </w:tabs>
      <w:spacing w:after="0" w:line="240" w:lineRule="auto"/>
      <w:jc w:val="both"/>
    </w:pPr>
    <w:rPr>
      <w:rFonts w:ascii="Times New Roman" w:eastAsia="Times New Roman" w:hAnsi="Times New Roman" w:cs="Times New Roman"/>
      <w:color w:val="000000"/>
      <w:sz w:val="26"/>
      <w:szCs w:val="26"/>
      <w:lang w:eastAsia="ru-RU"/>
    </w:rPr>
  </w:style>
  <w:style w:type="character" w:customStyle="1" w:styleId="-">
    <w:name w:val="Интернет-ссылка"/>
    <w:rsid w:val="00A441A6"/>
    <w:rPr>
      <w:color w:val="000080"/>
      <w:u w:val="single"/>
    </w:rPr>
  </w:style>
  <w:style w:type="paragraph" w:customStyle="1" w:styleId="-0">
    <w:name w:val="Название объекта + Сине-зеленый"/>
    <w:aliases w:val="Перед:  10 пт,После:  3 пт,Междустр.интерв..."/>
    <w:basedOn w:val="a"/>
    <w:rsid w:val="00A441A6"/>
    <w:pPr>
      <w:spacing w:before="320" w:after="0" w:line="360" w:lineRule="auto"/>
      <w:jc w:val="center"/>
    </w:pPr>
    <w:rPr>
      <w:rFonts w:ascii="Times New Roman" w:eastAsia="Times New Roman" w:hAnsi="Times New Roman" w:cs="Times New Roman"/>
      <w:b/>
      <w:bCs/>
      <w:color w:val="008080"/>
      <w:sz w:val="28"/>
      <w:szCs w:val="28"/>
    </w:rPr>
  </w:style>
  <w:style w:type="table" w:customStyle="1" w:styleId="63">
    <w:name w:val="Сетка таблицы6"/>
    <w:basedOn w:val="a1"/>
    <w:next w:val="ab"/>
    <w:uiPriority w:val="39"/>
    <w:rsid w:val="00A441A6"/>
    <w:pPr>
      <w:spacing w:after="0" w:line="240" w:lineRule="auto"/>
    </w:pPr>
    <w:rPr>
      <w:rFonts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Нет списка10"/>
    <w:next w:val="a2"/>
    <w:uiPriority w:val="99"/>
    <w:semiHidden/>
    <w:unhideWhenUsed/>
    <w:rsid w:val="00A441A6"/>
  </w:style>
  <w:style w:type="table" w:customStyle="1" w:styleId="72">
    <w:name w:val="Сетка таблицы7"/>
    <w:basedOn w:val="a1"/>
    <w:next w:val="ab"/>
    <w:uiPriority w:val="59"/>
    <w:rsid w:val="00A441A6"/>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2"/>
    <w:uiPriority w:val="99"/>
    <w:semiHidden/>
    <w:unhideWhenUsed/>
    <w:rsid w:val="00A441A6"/>
  </w:style>
  <w:style w:type="table" w:customStyle="1" w:styleId="140">
    <w:name w:val="Сетка таблицы14"/>
    <w:basedOn w:val="a1"/>
    <w:next w:val="ab"/>
    <w:rsid w:val="00A441A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1"/>
    <w:next w:val="ab"/>
    <w:uiPriority w:val="59"/>
    <w:rsid w:val="00A441A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2"/>
    <w:next w:val="a2"/>
    <w:uiPriority w:val="99"/>
    <w:semiHidden/>
    <w:unhideWhenUsed/>
    <w:rsid w:val="00A441A6"/>
  </w:style>
  <w:style w:type="numbering" w:customStyle="1" w:styleId="11110">
    <w:name w:val="Нет списка1111"/>
    <w:next w:val="a2"/>
    <w:uiPriority w:val="99"/>
    <w:semiHidden/>
    <w:rsid w:val="00A441A6"/>
  </w:style>
  <w:style w:type="table" w:customStyle="1" w:styleId="210">
    <w:name w:val="Сетка таблицы21"/>
    <w:basedOn w:val="a1"/>
    <w:next w:val="ab"/>
    <w:rsid w:val="00A441A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Нет списка21"/>
    <w:next w:val="a2"/>
    <w:uiPriority w:val="99"/>
    <w:semiHidden/>
    <w:unhideWhenUsed/>
    <w:rsid w:val="00A441A6"/>
  </w:style>
  <w:style w:type="numbering" w:customStyle="1" w:styleId="1210">
    <w:name w:val="Нет списка121"/>
    <w:next w:val="a2"/>
    <w:uiPriority w:val="99"/>
    <w:semiHidden/>
    <w:unhideWhenUsed/>
    <w:rsid w:val="00A441A6"/>
  </w:style>
  <w:style w:type="numbering" w:customStyle="1" w:styleId="310">
    <w:name w:val="Нет списка31"/>
    <w:next w:val="a2"/>
    <w:uiPriority w:val="99"/>
    <w:semiHidden/>
    <w:unhideWhenUsed/>
    <w:rsid w:val="00A441A6"/>
  </w:style>
  <w:style w:type="table" w:customStyle="1" w:styleId="311">
    <w:name w:val="Сетка таблицы31"/>
    <w:basedOn w:val="a1"/>
    <w:next w:val="ab"/>
    <w:uiPriority w:val="59"/>
    <w:rsid w:val="00A441A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1"/>
    <w:next w:val="ab"/>
    <w:rsid w:val="00A441A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1"/>
    <w:next w:val="ab"/>
    <w:uiPriority w:val="59"/>
    <w:rsid w:val="00A441A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2"/>
    <w:uiPriority w:val="99"/>
    <w:semiHidden/>
    <w:unhideWhenUsed/>
    <w:rsid w:val="00A441A6"/>
  </w:style>
  <w:style w:type="numbering" w:customStyle="1" w:styleId="510">
    <w:name w:val="Нет списка51"/>
    <w:next w:val="a2"/>
    <w:uiPriority w:val="99"/>
    <w:semiHidden/>
    <w:unhideWhenUsed/>
    <w:rsid w:val="00A441A6"/>
  </w:style>
  <w:style w:type="table" w:customStyle="1" w:styleId="511">
    <w:name w:val="Сетка таблицы51"/>
    <w:basedOn w:val="a1"/>
    <w:next w:val="ab"/>
    <w:rsid w:val="00A441A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1"/>
    <w:next w:val="ab"/>
    <w:uiPriority w:val="59"/>
    <w:rsid w:val="00A441A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
    <w:name w:val="Нет списка61"/>
    <w:next w:val="a2"/>
    <w:uiPriority w:val="99"/>
    <w:semiHidden/>
    <w:unhideWhenUsed/>
    <w:rsid w:val="00A441A6"/>
  </w:style>
  <w:style w:type="numbering" w:customStyle="1" w:styleId="710">
    <w:name w:val="Нет списка71"/>
    <w:next w:val="a2"/>
    <w:uiPriority w:val="99"/>
    <w:semiHidden/>
    <w:unhideWhenUsed/>
    <w:rsid w:val="00A441A6"/>
  </w:style>
  <w:style w:type="numbering" w:customStyle="1" w:styleId="810">
    <w:name w:val="Нет списка81"/>
    <w:next w:val="a2"/>
    <w:uiPriority w:val="99"/>
    <w:semiHidden/>
    <w:unhideWhenUsed/>
    <w:rsid w:val="00A441A6"/>
  </w:style>
  <w:style w:type="numbering" w:customStyle="1" w:styleId="910">
    <w:name w:val="Нет списка91"/>
    <w:next w:val="a2"/>
    <w:uiPriority w:val="99"/>
    <w:semiHidden/>
    <w:unhideWhenUsed/>
    <w:rsid w:val="00A441A6"/>
  </w:style>
  <w:style w:type="numbering" w:customStyle="1" w:styleId="141">
    <w:name w:val="Нет списка14"/>
    <w:next w:val="a2"/>
    <w:uiPriority w:val="99"/>
    <w:semiHidden/>
    <w:unhideWhenUsed/>
    <w:rsid w:val="00A441A6"/>
  </w:style>
  <w:style w:type="character" w:customStyle="1" w:styleId="aff7">
    <w:name w:val="Основной текст + Полужирный"/>
    <w:basedOn w:val="aff6"/>
    <w:rsid w:val="00A441A6"/>
    <w:rPr>
      <w:rFonts w:eastAsia="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9pt-1pt">
    <w:name w:val="Основной текст + 9 pt;Интервал -1 pt"/>
    <w:basedOn w:val="aff6"/>
    <w:rsid w:val="00A441A6"/>
    <w:rPr>
      <w:rFonts w:eastAsia="Times New Roman"/>
      <w:b w:val="0"/>
      <w:bCs w:val="0"/>
      <w:i w:val="0"/>
      <w:iCs w:val="0"/>
      <w:smallCaps w:val="0"/>
      <w:strike w:val="0"/>
      <w:color w:val="000000"/>
      <w:spacing w:val="-30"/>
      <w:w w:val="100"/>
      <w:position w:val="0"/>
      <w:sz w:val="18"/>
      <w:szCs w:val="18"/>
      <w:u w:val="none"/>
      <w:shd w:val="clear" w:color="auto" w:fill="FFFFFF"/>
      <w:lang w:val="ru-RU" w:eastAsia="ru-RU" w:bidi="ru-RU"/>
    </w:rPr>
  </w:style>
  <w:style w:type="paragraph" w:styleId="aff8">
    <w:name w:val="Plain Text"/>
    <w:basedOn w:val="a"/>
    <w:link w:val="aff9"/>
    <w:uiPriority w:val="99"/>
    <w:unhideWhenUsed/>
    <w:qFormat/>
    <w:rsid w:val="00A441A6"/>
    <w:pPr>
      <w:spacing w:after="0" w:line="240" w:lineRule="auto"/>
    </w:pPr>
    <w:rPr>
      <w:rFonts w:ascii="Calibri" w:hAnsi="Calibri"/>
      <w:szCs w:val="21"/>
    </w:rPr>
  </w:style>
  <w:style w:type="character" w:customStyle="1" w:styleId="aff9">
    <w:name w:val="Текст Знак"/>
    <w:basedOn w:val="a0"/>
    <w:link w:val="aff8"/>
    <w:uiPriority w:val="99"/>
    <w:qFormat/>
    <w:rsid w:val="00A441A6"/>
    <w:rPr>
      <w:rFonts w:ascii="Calibri" w:hAnsi="Calibri" w:cstheme="minorBidi"/>
      <w:sz w:val="22"/>
      <w:szCs w:val="21"/>
    </w:rPr>
  </w:style>
  <w:style w:type="character" w:customStyle="1" w:styleId="36">
    <w:name w:val="Основной текст (3)_"/>
    <w:basedOn w:val="a0"/>
    <w:link w:val="37"/>
    <w:rsid w:val="00A441A6"/>
    <w:rPr>
      <w:rFonts w:eastAsia="Times New Roman"/>
      <w:sz w:val="17"/>
      <w:szCs w:val="17"/>
      <w:shd w:val="clear" w:color="auto" w:fill="FFFFFF"/>
    </w:rPr>
  </w:style>
  <w:style w:type="paragraph" w:customStyle="1" w:styleId="37">
    <w:name w:val="Основной текст (3)"/>
    <w:basedOn w:val="a"/>
    <w:link w:val="36"/>
    <w:rsid w:val="00A441A6"/>
    <w:pPr>
      <w:widowControl w:val="0"/>
      <w:shd w:val="clear" w:color="auto" w:fill="FFFFFF"/>
      <w:spacing w:before="240" w:after="0" w:line="206" w:lineRule="exact"/>
      <w:jc w:val="center"/>
    </w:pPr>
    <w:rPr>
      <w:rFonts w:ascii="Times New Roman" w:eastAsia="Times New Roman" w:hAnsi="Times New Roman" w:cs="Times New Roman"/>
      <w:sz w:val="17"/>
      <w:szCs w:val="17"/>
    </w:rPr>
  </w:style>
  <w:style w:type="paragraph" w:customStyle="1" w:styleId="msonormalmrcssattr">
    <w:name w:val="msonormal_mr_css_attr"/>
    <w:basedOn w:val="a"/>
    <w:rsid w:val="00A441A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a">
    <w:name w:val="List"/>
    <w:basedOn w:val="a"/>
    <w:uiPriority w:val="99"/>
    <w:qFormat/>
    <w:rsid w:val="00A441A6"/>
    <w:pPr>
      <w:spacing w:after="0" w:line="240" w:lineRule="auto"/>
      <w:ind w:left="283" w:hanging="283"/>
    </w:pPr>
    <w:rPr>
      <w:rFonts w:ascii="Times New Roman" w:eastAsia="Times New Roman" w:hAnsi="Times New Roman" w:cs="Times New Roman"/>
      <w:sz w:val="24"/>
      <w:szCs w:val="24"/>
      <w:lang w:eastAsia="ru-RU"/>
    </w:rPr>
  </w:style>
  <w:style w:type="numbering" w:customStyle="1" w:styleId="150">
    <w:name w:val="Нет списка15"/>
    <w:next w:val="a2"/>
    <w:uiPriority w:val="99"/>
    <w:semiHidden/>
    <w:unhideWhenUsed/>
    <w:rsid w:val="00A441A6"/>
  </w:style>
  <w:style w:type="paragraph" w:customStyle="1" w:styleId="16">
    <w:name w:val="Заголовок1"/>
    <w:basedOn w:val="a"/>
    <w:next w:val="ae"/>
    <w:rsid w:val="00A441A6"/>
    <w:pPr>
      <w:suppressAutoHyphens/>
      <w:spacing w:after="0" w:line="240" w:lineRule="auto"/>
      <w:jc w:val="center"/>
    </w:pPr>
    <w:rPr>
      <w:rFonts w:ascii="Times New Roman" w:eastAsia="Times New Roman" w:hAnsi="Times New Roman" w:cs="Times New Roman"/>
      <w:b/>
      <w:sz w:val="28"/>
      <w:szCs w:val="20"/>
      <w:lang w:eastAsia="ar-SA"/>
    </w:rPr>
  </w:style>
  <w:style w:type="paragraph" w:customStyle="1" w:styleId="38">
    <w:name w:val="3заголовок"/>
    <w:basedOn w:val="affb"/>
    <w:link w:val="39"/>
    <w:qFormat/>
    <w:rsid w:val="00A441A6"/>
    <w:pPr>
      <w:numPr>
        <w:ilvl w:val="0"/>
      </w:numPr>
      <w:spacing w:after="0" w:line="360" w:lineRule="auto"/>
      <w:ind w:firstLine="709"/>
      <w:jc w:val="both"/>
      <w:outlineLvl w:val="1"/>
    </w:pPr>
    <w:rPr>
      <w:rFonts w:ascii="Times New Roman" w:eastAsia="Times New Roman" w:hAnsi="Times New Roman" w:cs="Times New Roman"/>
      <w:i/>
      <w:color w:val="auto"/>
      <w:spacing w:val="0"/>
      <w:sz w:val="28"/>
      <w:szCs w:val="24"/>
      <w:lang w:eastAsia="ru-RU"/>
    </w:rPr>
  </w:style>
  <w:style w:type="character" w:customStyle="1" w:styleId="39">
    <w:name w:val="3заголовок Знак"/>
    <w:link w:val="38"/>
    <w:rsid w:val="00A441A6"/>
    <w:rPr>
      <w:rFonts w:eastAsia="Times New Roman"/>
      <w:i/>
      <w:szCs w:val="24"/>
      <w:lang w:eastAsia="ru-RU"/>
    </w:rPr>
  </w:style>
  <w:style w:type="paragraph" w:customStyle="1" w:styleId="17">
    <w:name w:val="Подзаголовок1"/>
    <w:basedOn w:val="a"/>
    <w:next w:val="a"/>
    <w:link w:val="affc"/>
    <w:uiPriority w:val="11"/>
    <w:qFormat/>
    <w:rsid w:val="00A441A6"/>
    <w:pPr>
      <w:numPr>
        <w:ilvl w:val="1"/>
      </w:numPr>
      <w:spacing w:after="160" w:line="240" w:lineRule="auto"/>
    </w:pPr>
    <w:rPr>
      <w:rFonts w:eastAsia="Times New Roman"/>
      <w:color w:val="5A5A5A"/>
      <w:spacing w:val="15"/>
      <w:lang w:eastAsia="ru-RU"/>
    </w:rPr>
  </w:style>
  <w:style w:type="character" w:customStyle="1" w:styleId="affc">
    <w:name w:val="Подзаголовок Знак"/>
    <w:basedOn w:val="a0"/>
    <w:link w:val="17"/>
    <w:uiPriority w:val="11"/>
    <w:rsid w:val="00A441A6"/>
    <w:rPr>
      <w:rFonts w:asciiTheme="minorHAnsi" w:eastAsia="Times New Roman" w:hAnsiTheme="minorHAnsi" w:cstheme="minorBidi"/>
      <w:color w:val="5A5A5A"/>
      <w:spacing w:val="15"/>
      <w:sz w:val="22"/>
      <w:szCs w:val="22"/>
      <w:lang w:eastAsia="ru-RU"/>
    </w:rPr>
  </w:style>
  <w:style w:type="paragraph" w:styleId="affb">
    <w:name w:val="Subtitle"/>
    <w:basedOn w:val="a"/>
    <w:next w:val="a"/>
    <w:link w:val="18"/>
    <w:uiPriority w:val="11"/>
    <w:qFormat/>
    <w:rsid w:val="00A441A6"/>
    <w:pPr>
      <w:numPr>
        <w:ilvl w:val="1"/>
      </w:numPr>
      <w:spacing w:after="160"/>
    </w:pPr>
    <w:rPr>
      <w:rFonts w:eastAsiaTheme="minorEastAsia"/>
      <w:color w:val="5A5A5A" w:themeColor="text1" w:themeTint="A5"/>
      <w:spacing w:val="15"/>
    </w:rPr>
  </w:style>
  <w:style w:type="character" w:customStyle="1" w:styleId="18">
    <w:name w:val="Подзаголовок Знак1"/>
    <w:basedOn w:val="a0"/>
    <w:link w:val="affb"/>
    <w:uiPriority w:val="11"/>
    <w:rsid w:val="00A441A6"/>
    <w:rPr>
      <w:rFonts w:asciiTheme="minorHAnsi" w:eastAsiaTheme="minorEastAsia" w:hAnsiTheme="minorHAnsi" w:cstheme="minorBidi"/>
      <w:color w:val="5A5A5A" w:themeColor="text1" w:themeTint="A5"/>
      <w:spacing w:val="15"/>
      <w:sz w:val="22"/>
      <w:szCs w:val="22"/>
    </w:rPr>
  </w:style>
  <w:style w:type="paragraph" w:styleId="affd">
    <w:name w:val="caption"/>
    <w:basedOn w:val="a"/>
    <w:next w:val="a"/>
    <w:uiPriority w:val="35"/>
    <w:semiHidden/>
    <w:unhideWhenUsed/>
    <w:qFormat/>
    <w:rsid w:val="00A441A6"/>
    <w:pPr>
      <w:spacing w:line="240" w:lineRule="auto"/>
    </w:pPr>
    <w:rPr>
      <w:i/>
      <w:iCs/>
      <w:color w:val="44546A" w:themeColor="text2"/>
      <w:sz w:val="18"/>
      <w:szCs w:val="18"/>
    </w:rPr>
  </w:style>
  <w:style w:type="numbering" w:customStyle="1" w:styleId="160">
    <w:name w:val="Нет списка16"/>
    <w:next w:val="a2"/>
    <w:uiPriority w:val="99"/>
    <w:semiHidden/>
    <w:unhideWhenUsed/>
    <w:rsid w:val="00A441A6"/>
  </w:style>
  <w:style w:type="table" w:customStyle="1" w:styleId="82">
    <w:name w:val="Сетка таблицы8"/>
    <w:basedOn w:val="a1"/>
    <w:next w:val="ab"/>
    <w:uiPriority w:val="59"/>
    <w:rsid w:val="00A441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Нет списка17"/>
    <w:next w:val="a2"/>
    <w:uiPriority w:val="99"/>
    <w:semiHidden/>
    <w:unhideWhenUsed/>
    <w:rsid w:val="00A441A6"/>
  </w:style>
  <w:style w:type="table" w:customStyle="1" w:styleId="151">
    <w:name w:val="Сетка таблицы15"/>
    <w:basedOn w:val="a1"/>
    <w:next w:val="ab"/>
    <w:rsid w:val="00A441A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1"/>
    <w:next w:val="ab"/>
    <w:uiPriority w:val="59"/>
    <w:rsid w:val="00A441A6"/>
    <w:pPr>
      <w:spacing w:after="0" w:line="240"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3"/>
    <w:next w:val="a2"/>
    <w:uiPriority w:val="99"/>
    <w:semiHidden/>
    <w:unhideWhenUsed/>
    <w:rsid w:val="00A441A6"/>
  </w:style>
  <w:style w:type="numbering" w:customStyle="1" w:styleId="1112">
    <w:name w:val="Нет списка1112"/>
    <w:next w:val="a2"/>
    <w:uiPriority w:val="99"/>
    <w:semiHidden/>
    <w:rsid w:val="00A441A6"/>
  </w:style>
  <w:style w:type="table" w:customStyle="1" w:styleId="220">
    <w:name w:val="Сетка таблицы22"/>
    <w:basedOn w:val="a1"/>
    <w:next w:val="ab"/>
    <w:rsid w:val="00A441A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Нет списка22"/>
    <w:next w:val="a2"/>
    <w:uiPriority w:val="99"/>
    <w:semiHidden/>
    <w:unhideWhenUsed/>
    <w:rsid w:val="00A441A6"/>
  </w:style>
  <w:style w:type="numbering" w:customStyle="1" w:styleId="1220">
    <w:name w:val="Нет списка122"/>
    <w:next w:val="a2"/>
    <w:uiPriority w:val="99"/>
    <w:semiHidden/>
    <w:unhideWhenUsed/>
    <w:rsid w:val="00A441A6"/>
  </w:style>
  <w:style w:type="numbering" w:customStyle="1" w:styleId="320">
    <w:name w:val="Нет списка32"/>
    <w:next w:val="a2"/>
    <w:uiPriority w:val="99"/>
    <w:semiHidden/>
    <w:unhideWhenUsed/>
    <w:rsid w:val="00A441A6"/>
  </w:style>
  <w:style w:type="table" w:customStyle="1" w:styleId="321">
    <w:name w:val="Сетка таблицы32"/>
    <w:basedOn w:val="a1"/>
    <w:next w:val="ab"/>
    <w:uiPriority w:val="59"/>
    <w:rsid w:val="00A441A6"/>
    <w:pPr>
      <w:spacing w:after="0" w:line="240"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1"/>
    <w:next w:val="ab"/>
    <w:rsid w:val="00A441A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1"/>
    <w:next w:val="ab"/>
    <w:uiPriority w:val="59"/>
    <w:rsid w:val="00A441A6"/>
    <w:pPr>
      <w:spacing w:after="0" w:line="240"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Нет списка42"/>
    <w:next w:val="a2"/>
    <w:uiPriority w:val="99"/>
    <w:semiHidden/>
    <w:unhideWhenUsed/>
    <w:rsid w:val="00A441A6"/>
  </w:style>
  <w:style w:type="numbering" w:customStyle="1" w:styleId="520">
    <w:name w:val="Нет списка52"/>
    <w:next w:val="a2"/>
    <w:uiPriority w:val="99"/>
    <w:semiHidden/>
    <w:unhideWhenUsed/>
    <w:rsid w:val="00A441A6"/>
  </w:style>
  <w:style w:type="table" w:customStyle="1" w:styleId="521">
    <w:name w:val="Сетка таблицы52"/>
    <w:basedOn w:val="a1"/>
    <w:next w:val="ab"/>
    <w:rsid w:val="00A441A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1"/>
    <w:next w:val="ab"/>
    <w:uiPriority w:val="59"/>
    <w:rsid w:val="00A441A6"/>
    <w:pPr>
      <w:spacing w:after="0" w:line="240"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0">
    <w:name w:val="Нет списка62"/>
    <w:next w:val="a2"/>
    <w:uiPriority w:val="99"/>
    <w:semiHidden/>
    <w:unhideWhenUsed/>
    <w:rsid w:val="00A441A6"/>
  </w:style>
  <w:style w:type="numbering" w:customStyle="1" w:styleId="720">
    <w:name w:val="Нет списка72"/>
    <w:next w:val="a2"/>
    <w:uiPriority w:val="99"/>
    <w:semiHidden/>
    <w:unhideWhenUsed/>
    <w:rsid w:val="00A441A6"/>
  </w:style>
  <w:style w:type="numbering" w:customStyle="1" w:styleId="820">
    <w:name w:val="Нет списка82"/>
    <w:next w:val="a2"/>
    <w:uiPriority w:val="99"/>
    <w:semiHidden/>
    <w:unhideWhenUsed/>
    <w:rsid w:val="00A441A6"/>
  </w:style>
  <w:style w:type="numbering" w:customStyle="1" w:styleId="920">
    <w:name w:val="Нет списка92"/>
    <w:next w:val="a2"/>
    <w:uiPriority w:val="99"/>
    <w:semiHidden/>
    <w:unhideWhenUsed/>
    <w:rsid w:val="00A441A6"/>
  </w:style>
  <w:style w:type="table" w:customStyle="1" w:styleId="611">
    <w:name w:val="Сетка таблицы61"/>
    <w:basedOn w:val="a1"/>
    <w:next w:val="ab"/>
    <w:uiPriority w:val="39"/>
    <w:rsid w:val="00A441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
    <w:name w:val="Нет списка101"/>
    <w:next w:val="a2"/>
    <w:uiPriority w:val="99"/>
    <w:semiHidden/>
    <w:unhideWhenUsed/>
    <w:rsid w:val="00A441A6"/>
  </w:style>
  <w:style w:type="table" w:customStyle="1" w:styleId="711">
    <w:name w:val="Сетка таблицы71"/>
    <w:basedOn w:val="a1"/>
    <w:next w:val="ab"/>
    <w:uiPriority w:val="59"/>
    <w:rsid w:val="00A441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Нет списка131"/>
    <w:next w:val="a2"/>
    <w:uiPriority w:val="99"/>
    <w:semiHidden/>
    <w:unhideWhenUsed/>
    <w:rsid w:val="00A441A6"/>
  </w:style>
  <w:style w:type="table" w:customStyle="1" w:styleId="1410">
    <w:name w:val="Сетка таблицы141"/>
    <w:basedOn w:val="a1"/>
    <w:next w:val="ab"/>
    <w:rsid w:val="00A441A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1"/>
    <w:next w:val="ab"/>
    <w:uiPriority w:val="59"/>
    <w:rsid w:val="00A441A6"/>
    <w:pPr>
      <w:spacing w:after="0" w:line="240"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Нет списка1121"/>
    <w:next w:val="a2"/>
    <w:uiPriority w:val="99"/>
    <w:semiHidden/>
    <w:unhideWhenUsed/>
    <w:rsid w:val="00A441A6"/>
  </w:style>
  <w:style w:type="numbering" w:customStyle="1" w:styleId="111110">
    <w:name w:val="Нет списка11111"/>
    <w:next w:val="a2"/>
    <w:uiPriority w:val="99"/>
    <w:semiHidden/>
    <w:rsid w:val="00A441A6"/>
  </w:style>
  <w:style w:type="table" w:customStyle="1" w:styleId="2110">
    <w:name w:val="Сетка таблицы211"/>
    <w:basedOn w:val="a1"/>
    <w:next w:val="ab"/>
    <w:rsid w:val="00A441A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Нет списка211"/>
    <w:next w:val="a2"/>
    <w:uiPriority w:val="99"/>
    <w:semiHidden/>
    <w:unhideWhenUsed/>
    <w:rsid w:val="00A441A6"/>
  </w:style>
  <w:style w:type="numbering" w:customStyle="1" w:styleId="12110">
    <w:name w:val="Нет списка1211"/>
    <w:next w:val="a2"/>
    <w:uiPriority w:val="99"/>
    <w:semiHidden/>
    <w:unhideWhenUsed/>
    <w:rsid w:val="00A441A6"/>
  </w:style>
  <w:style w:type="numbering" w:customStyle="1" w:styleId="3110">
    <w:name w:val="Нет списка311"/>
    <w:next w:val="a2"/>
    <w:uiPriority w:val="99"/>
    <w:semiHidden/>
    <w:unhideWhenUsed/>
    <w:rsid w:val="00A441A6"/>
  </w:style>
  <w:style w:type="table" w:customStyle="1" w:styleId="3111">
    <w:name w:val="Сетка таблицы311"/>
    <w:basedOn w:val="a1"/>
    <w:next w:val="ab"/>
    <w:uiPriority w:val="59"/>
    <w:rsid w:val="00A441A6"/>
    <w:pPr>
      <w:spacing w:after="0" w:line="240"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1"/>
    <w:next w:val="ab"/>
    <w:rsid w:val="00A441A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1"/>
    <w:next w:val="ab"/>
    <w:uiPriority w:val="59"/>
    <w:rsid w:val="00A441A6"/>
    <w:pPr>
      <w:spacing w:after="0" w:line="240"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
    <w:name w:val="Нет списка411"/>
    <w:next w:val="a2"/>
    <w:uiPriority w:val="99"/>
    <w:semiHidden/>
    <w:unhideWhenUsed/>
    <w:rsid w:val="00A441A6"/>
  </w:style>
  <w:style w:type="numbering" w:customStyle="1" w:styleId="5110">
    <w:name w:val="Нет списка511"/>
    <w:next w:val="a2"/>
    <w:uiPriority w:val="99"/>
    <w:semiHidden/>
    <w:unhideWhenUsed/>
    <w:rsid w:val="00A441A6"/>
  </w:style>
  <w:style w:type="table" w:customStyle="1" w:styleId="5111">
    <w:name w:val="Сетка таблицы511"/>
    <w:basedOn w:val="a1"/>
    <w:next w:val="ab"/>
    <w:rsid w:val="00A441A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1"/>
    <w:next w:val="ab"/>
    <w:uiPriority w:val="59"/>
    <w:rsid w:val="00A441A6"/>
    <w:pPr>
      <w:spacing w:after="0" w:line="240"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0">
    <w:name w:val="Нет списка611"/>
    <w:next w:val="a2"/>
    <w:uiPriority w:val="99"/>
    <w:semiHidden/>
    <w:unhideWhenUsed/>
    <w:rsid w:val="00A441A6"/>
  </w:style>
  <w:style w:type="numbering" w:customStyle="1" w:styleId="7110">
    <w:name w:val="Нет списка711"/>
    <w:next w:val="a2"/>
    <w:uiPriority w:val="99"/>
    <w:semiHidden/>
    <w:unhideWhenUsed/>
    <w:rsid w:val="00A441A6"/>
  </w:style>
  <w:style w:type="numbering" w:customStyle="1" w:styleId="811">
    <w:name w:val="Нет списка811"/>
    <w:next w:val="a2"/>
    <w:uiPriority w:val="99"/>
    <w:semiHidden/>
    <w:unhideWhenUsed/>
    <w:rsid w:val="00A441A6"/>
  </w:style>
  <w:style w:type="numbering" w:customStyle="1" w:styleId="911">
    <w:name w:val="Нет списка911"/>
    <w:next w:val="a2"/>
    <w:uiPriority w:val="99"/>
    <w:semiHidden/>
    <w:unhideWhenUsed/>
    <w:rsid w:val="00A441A6"/>
  </w:style>
  <w:style w:type="numbering" w:customStyle="1" w:styleId="1411">
    <w:name w:val="Нет списка141"/>
    <w:next w:val="a2"/>
    <w:uiPriority w:val="99"/>
    <w:semiHidden/>
    <w:unhideWhenUsed/>
    <w:rsid w:val="00A441A6"/>
  </w:style>
  <w:style w:type="paragraph" w:customStyle="1" w:styleId="94">
    <w:name w:val="Основной текст9"/>
    <w:basedOn w:val="a"/>
    <w:rsid w:val="00A441A6"/>
    <w:pPr>
      <w:widowControl w:val="0"/>
      <w:shd w:val="clear" w:color="auto" w:fill="FFFFFF"/>
      <w:spacing w:before="420" w:after="240" w:line="328" w:lineRule="exact"/>
    </w:pPr>
    <w:rPr>
      <w:rFonts w:ascii="Times New Roman" w:eastAsia="Times New Roman" w:hAnsi="Times New Roman" w:cs="Times New Roman"/>
      <w:sz w:val="26"/>
      <w:szCs w:val="26"/>
    </w:rPr>
  </w:style>
  <w:style w:type="character" w:customStyle="1" w:styleId="WW8Num1z2">
    <w:name w:val="WW8Num1z2"/>
    <w:rsid w:val="00A441A6"/>
  </w:style>
  <w:style w:type="character" w:customStyle="1" w:styleId="affe">
    <w:name w:val="Непропорциональный текст"/>
    <w:qFormat/>
    <w:rsid w:val="00A441A6"/>
    <w:rPr>
      <w:rFonts w:ascii="Liberation Mono" w:eastAsia="Liberation Mono" w:hAnsi="Liberation Mono" w:cs="Liberation Mono"/>
    </w:rPr>
  </w:style>
  <w:style w:type="paragraph" w:styleId="2f0">
    <w:name w:val="Quote"/>
    <w:basedOn w:val="a"/>
    <w:next w:val="a"/>
    <w:link w:val="2f1"/>
    <w:uiPriority w:val="29"/>
    <w:qFormat/>
    <w:rsid w:val="00A441A6"/>
    <w:pPr>
      <w:spacing w:before="160"/>
      <w:jc w:val="center"/>
    </w:pPr>
    <w:rPr>
      <w:i/>
      <w:iCs/>
      <w:color w:val="404040" w:themeColor="text1" w:themeTint="BF"/>
    </w:rPr>
  </w:style>
  <w:style w:type="character" w:customStyle="1" w:styleId="2f1">
    <w:name w:val="Цитата 2 Знак"/>
    <w:basedOn w:val="a0"/>
    <w:link w:val="2f0"/>
    <w:uiPriority w:val="29"/>
    <w:rsid w:val="00A441A6"/>
    <w:rPr>
      <w:rFonts w:asciiTheme="minorHAnsi" w:hAnsiTheme="minorHAnsi" w:cstheme="minorBidi"/>
      <w:i/>
      <w:iCs/>
      <w:color w:val="404040" w:themeColor="text1" w:themeTint="BF"/>
      <w:sz w:val="22"/>
      <w:szCs w:val="22"/>
    </w:rPr>
  </w:style>
  <w:style w:type="character" w:styleId="afff">
    <w:name w:val="Intense Emphasis"/>
    <w:basedOn w:val="a0"/>
    <w:uiPriority w:val="21"/>
    <w:qFormat/>
    <w:rsid w:val="00A441A6"/>
    <w:rPr>
      <w:i/>
      <w:iCs/>
      <w:color w:val="2E74B5" w:themeColor="accent1" w:themeShade="BF"/>
    </w:rPr>
  </w:style>
  <w:style w:type="paragraph" w:styleId="afff0">
    <w:name w:val="Intense Quote"/>
    <w:basedOn w:val="a"/>
    <w:next w:val="a"/>
    <w:link w:val="afff1"/>
    <w:uiPriority w:val="30"/>
    <w:qFormat/>
    <w:rsid w:val="00A441A6"/>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afff1">
    <w:name w:val="Выделенная цитата Знак"/>
    <w:basedOn w:val="a0"/>
    <w:link w:val="afff0"/>
    <w:uiPriority w:val="30"/>
    <w:rsid w:val="00A441A6"/>
    <w:rPr>
      <w:rFonts w:asciiTheme="minorHAnsi" w:hAnsiTheme="minorHAnsi" w:cstheme="minorBidi"/>
      <w:i/>
      <w:iCs/>
      <w:color w:val="2E74B5" w:themeColor="accent1" w:themeShade="BF"/>
      <w:sz w:val="22"/>
      <w:szCs w:val="22"/>
    </w:rPr>
  </w:style>
  <w:style w:type="character" w:styleId="afff2">
    <w:name w:val="Intense Reference"/>
    <w:basedOn w:val="a0"/>
    <w:uiPriority w:val="32"/>
    <w:qFormat/>
    <w:rsid w:val="00A441A6"/>
    <w:rPr>
      <w:b/>
      <w:bCs/>
      <w:smallCaps/>
      <w:color w:val="2E74B5" w:themeColor="accent1" w:themeShade="BF"/>
      <w:spacing w:val="5"/>
    </w:rPr>
  </w:style>
  <w:style w:type="character" w:customStyle="1" w:styleId="19">
    <w:name w:val="Неразрешенное упоминание1"/>
    <w:basedOn w:val="a0"/>
    <w:uiPriority w:val="99"/>
    <w:semiHidden/>
    <w:unhideWhenUsed/>
    <w:rsid w:val="006C5C4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914385">
      <w:bodyDiv w:val="1"/>
      <w:marLeft w:val="0"/>
      <w:marRight w:val="0"/>
      <w:marTop w:val="0"/>
      <w:marBottom w:val="0"/>
      <w:divBdr>
        <w:top w:val="none" w:sz="0" w:space="0" w:color="auto"/>
        <w:left w:val="none" w:sz="0" w:space="0" w:color="auto"/>
        <w:bottom w:val="none" w:sz="0" w:space="0" w:color="auto"/>
        <w:right w:val="none" w:sz="0" w:space="0" w:color="auto"/>
      </w:divBdr>
    </w:div>
    <w:div w:id="1148551140">
      <w:bodyDiv w:val="1"/>
      <w:marLeft w:val="0"/>
      <w:marRight w:val="0"/>
      <w:marTop w:val="0"/>
      <w:marBottom w:val="0"/>
      <w:divBdr>
        <w:top w:val="none" w:sz="0" w:space="0" w:color="auto"/>
        <w:left w:val="none" w:sz="0" w:space="0" w:color="auto"/>
        <w:bottom w:val="none" w:sz="0" w:space="0" w:color="auto"/>
        <w:right w:val="none" w:sz="0" w:space="0" w:color="auto"/>
      </w:divBdr>
    </w:div>
    <w:div w:id="1433820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chart" Target="charts/chart29.xml"/><Relationship Id="rId21" Type="http://schemas.openxmlformats.org/officeDocument/2006/relationships/chart" Target="charts/chart14.xml"/><Relationship Id="rId34" Type="http://schemas.openxmlformats.org/officeDocument/2006/relationships/image" Target="media/image1.emf"/><Relationship Id="rId42" Type="http://schemas.openxmlformats.org/officeDocument/2006/relationships/chart" Target="charts/chart32.xml"/><Relationship Id="rId47" Type="http://schemas.openxmlformats.org/officeDocument/2006/relationships/chart" Target="charts/chart37.xml"/><Relationship Id="rId50" Type="http://schemas.openxmlformats.org/officeDocument/2006/relationships/image" Target="media/image7.png"/><Relationship Id="rId55" Type="http://schemas.openxmlformats.org/officeDocument/2006/relationships/image" Target="media/image12.jpeg"/><Relationship Id="rId63" Type="http://schemas.openxmlformats.org/officeDocument/2006/relationships/image" Target="media/image18.jpeg"/><Relationship Id="rId68" Type="http://schemas.openxmlformats.org/officeDocument/2006/relationships/image" Target="media/image23.jpeg"/><Relationship Id="rId7" Type="http://schemas.openxmlformats.org/officeDocument/2006/relationships/endnotes" Target="endnotes.xml"/><Relationship Id="rId71"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chart" Target="charts/chart9.xml"/><Relationship Id="rId29" Type="http://schemas.openxmlformats.org/officeDocument/2006/relationships/chart" Target="charts/chart22.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image" Target="media/image2.png"/><Relationship Id="rId40" Type="http://schemas.openxmlformats.org/officeDocument/2006/relationships/chart" Target="charts/chart30.xml"/><Relationship Id="rId45" Type="http://schemas.openxmlformats.org/officeDocument/2006/relationships/chart" Target="charts/chart35.xml"/><Relationship Id="rId53" Type="http://schemas.openxmlformats.org/officeDocument/2006/relationships/image" Target="media/image10.jpeg"/><Relationship Id="rId58" Type="http://schemas.openxmlformats.org/officeDocument/2006/relationships/image" Target="media/image13.jpeg"/><Relationship Id="rId66" Type="http://schemas.openxmlformats.org/officeDocument/2006/relationships/image" Target="media/image21.jpe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8.xml"/><Relationship Id="rId49" Type="http://schemas.openxmlformats.org/officeDocument/2006/relationships/chart" Target="charts/chart39.xml"/><Relationship Id="rId57" Type="http://schemas.openxmlformats.org/officeDocument/2006/relationships/hyperlink" Target="https://primorsky.ru/regionalnye-proekty/zhile-i-gorodskaya-sreda/" TargetMode="External"/><Relationship Id="rId61" Type="http://schemas.openxmlformats.org/officeDocument/2006/relationships/image" Target="media/image16.jpeg"/><Relationship Id="rId10" Type="http://schemas.openxmlformats.org/officeDocument/2006/relationships/chart" Target="charts/chart3.xml"/><Relationship Id="rId19" Type="http://schemas.openxmlformats.org/officeDocument/2006/relationships/chart" Target="charts/chart12.xml"/><Relationship Id="rId31" Type="http://schemas.openxmlformats.org/officeDocument/2006/relationships/chart" Target="charts/chart24.xml"/><Relationship Id="rId44" Type="http://schemas.openxmlformats.org/officeDocument/2006/relationships/chart" Target="charts/chart34.xml"/><Relationship Id="rId52" Type="http://schemas.openxmlformats.org/officeDocument/2006/relationships/image" Target="media/image9.jpeg"/><Relationship Id="rId60" Type="http://schemas.openxmlformats.org/officeDocument/2006/relationships/image" Target="media/image15.jpeg"/><Relationship Id="rId65" Type="http://schemas.openxmlformats.org/officeDocument/2006/relationships/image" Target="media/image20.jpeg"/><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7.xml"/><Relationship Id="rId43" Type="http://schemas.openxmlformats.org/officeDocument/2006/relationships/chart" Target="charts/chart33.xml"/><Relationship Id="rId48" Type="http://schemas.openxmlformats.org/officeDocument/2006/relationships/chart" Target="charts/chart38.xml"/><Relationship Id="rId56" Type="http://schemas.openxmlformats.org/officeDocument/2006/relationships/hyperlink" Target="https://www.primorsky.ru/regionalnye-proekty/zhile-i-gorodskaya-sreda/" TargetMode="External"/><Relationship Id="rId64" Type="http://schemas.openxmlformats.org/officeDocument/2006/relationships/image" Target="media/image19.jpeg"/><Relationship Id="rId69" Type="http://schemas.openxmlformats.org/officeDocument/2006/relationships/image" Target="media/image24.jpeg"/><Relationship Id="rId8" Type="http://schemas.openxmlformats.org/officeDocument/2006/relationships/chart" Target="charts/chart1.xml"/><Relationship Id="rId51" Type="http://schemas.openxmlformats.org/officeDocument/2006/relationships/image" Target="media/image8.jpeg"/><Relationship Id="rId72" Type="http://schemas.openxmlformats.org/officeDocument/2006/relationships/chart" Target="charts/chart40.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image" Target="media/image3.svg"/><Relationship Id="rId46" Type="http://schemas.openxmlformats.org/officeDocument/2006/relationships/chart" Target="charts/chart36.xml"/><Relationship Id="rId59" Type="http://schemas.openxmlformats.org/officeDocument/2006/relationships/image" Target="media/image14.jpeg"/><Relationship Id="rId67" Type="http://schemas.openxmlformats.org/officeDocument/2006/relationships/image" Target="media/image22.jpeg"/><Relationship Id="rId20" Type="http://schemas.openxmlformats.org/officeDocument/2006/relationships/chart" Target="charts/chart13.xml"/><Relationship Id="rId41" Type="http://schemas.openxmlformats.org/officeDocument/2006/relationships/chart" Target="charts/chart31.xml"/><Relationship Id="rId54" Type="http://schemas.openxmlformats.org/officeDocument/2006/relationships/image" Target="media/image11.jpeg"/><Relationship Id="rId62" Type="http://schemas.openxmlformats.org/officeDocument/2006/relationships/image" Target="media/image17.jpeg"/><Relationship Id="rId70" Type="http://schemas.openxmlformats.org/officeDocument/2006/relationships/image" Target="media/image25.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3" Type="http://schemas.openxmlformats.org/officeDocument/2006/relationships/hyperlink" Target="https://minfin.gov.ru/ru/perfomance/public_debt/subj/subdbt/" TargetMode="External"/><Relationship Id="rId2" Type="http://schemas.openxmlformats.org/officeDocument/2006/relationships/hyperlink" Target="https://25.rosstat.gov.ru/storage/mediabank/&#1084;&#1080;&#1075;&#1088;01.pdf" TargetMode="External"/><Relationship Id="rId1" Type="http://schemas.openxmlformats.org/officeDocument/2006/relationships/hyperlink" Target="http://ssl.rosstat.gov.ru/storage/mediabank/1_15-01-2025.html" TargetMode="External"/><Relationship Id="rId5" Type="http://schemas.openxmlformats.org/officeDocument/2006/relationships/hyperlink" Target="https://riarating.ru/images/63027/75/630277583.pdf" TargetMode="External"/><Relationship Id="rId4" Type="http://schemas.openxmlformats.org/officeDocument/2006/relationships/hyperlink" Target="https://minfin.gov.ru/ru/perfomance/public_debt/subj/subdbt?id_57=310725-obem_i_struktura_gosudarstvennogo_dolga_subektov_rossiiskoi_federatsii_i_dolga_munitsipalnykh_obrazovanii_na_1_yanvarya_2025_g"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_____Microsoft_Excel9.xlsx"/><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10.xlsx"/></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_____Microsoft_Excel11.xlsx"/><Relationship Id="rId1" Type="http://schemas.openxmlformats.org/officeDocument/2006/relationships/themeOverride" Target="../theme/themeOverride11.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2.xm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13.xlsx"/></Relationships>
</file>

<file path=word/charts/_rels/chart15.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package" Target="../embeddings/_____Microsoft_Excel14.xlsx"/><Relationship Id="rId1" Type="http://schemas.openxmlformats.org/officeDocument/2006/relationships/themeOverride" Target="../theme/themeOverride14.xml"/></Relationships>
</file>

<file path=word/charts/_rels/chart16.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package" Target="../embeddings/_____Microsoft_Excel15.xlsx"/><Relationship Id="rId1" Type="http://schemas.openxmlformats.org/officeDocument/2006/relationships/themeOverride" Target="../theme/themeOverride15.xm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16.xlsx"/></Relationships>
</file>

<file path=word/charts/_rels/chart18.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package" Target="../embeddings/_____Microsoft_Excel17.xlsx"/><Relationship Id="rId1" Type="http://schemas.openxmlformats.org/officeDocument/2006/relationships/themeOverride" Target="../theme/themeOverride17.xml"/></Relationships>
</file>

<file path=word/charts/_rels/chart19.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package" Target="../embeddings/_____Microsoft_Excel18.xlsx"/><Relationship Id="rId1" Type="http://schemas.openxmlformats.org/officeDocument/2006/relationships/themeOverride" Target="../theme/themeOverride18.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_____Microsoft_Excel1.xlsx"/></Relationships>
</file>

<file path=word/charts/_rels/chart20.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package" Target="../embeddings/_____Microsoft_Excel19.xlsx"/><Relationship Id="rId1" Type="http://schemas.openxmlformats.org/officeDocument/2006/relationships/themeOverride" Target="../theme/themeOverride19.xml"/></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20.xlsx"/></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21.xlsx"/><Relationship Id="rId1" Type="http://schemas.openxmlformats.org/officeDocument/2006/relationships/themeOverride" Target="../theme/themeOverride21.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zavzyataya_sv\Desktop\&#1076;&#1086;&#1093;&#1086;&#1076;&#1099;%20&#1085;&#1072;&#1089;&#1077;&#1083;&#1077;&#1085;&#1080;&#1103;%202024.xlsx" TargetMode="External"/><Relationship Id="rId2" Type="http://schemas.microsoft.com/office/2011/relationships/chartColorStyle" Target="colors11.xml"/><Relationship Id="rId1" Type="http://schemas.microsoft.com/office/2011/relationships/chartStyle" Target="style11.xml"/></Relationships>
</file>

<file path=word/charts/_rels/chart24.xml.rels><?xml version="1.0" encoding="UTF-8" standalone="yes"?>
<Relationships xmlns="http://schemas.openxmlformats.org/package/2006/relationships"><Relationship Id="rId3" Type="http://schemas.openxmlformats.org/officeDocument/2006/relationships/package" Target="../embeddings/_____Microsoft_Excel22.xlsx"/><Relationship Id="rId2" Type="http://schemas.microsoft.com/office/2011/relationships/chartColorStyle" Target="colors12.xml"/><Relationship Id="rId1" Type="http://schemas.microsoft.com/office/2011/relationships/chartStyle" Target="style12.xml"/></Relationships>
</file>

<file path=word/charts/_rels/chart25.xml.rels><?xml version="1.0" encoding="UTF-8" standalone="yes"?>
<Relationships xmlns="http://schemas.openxmlformats.org/package/2006/relationships"><Relationship Id="rId3" Type="http://schemas.openxmlformats.org/officeDocument/2006/relationships/package" Target="../embeddings/_____Microsoft_Excel23.xlsx"/><Relationship Id="rId2" Type="http://schemas.microsoft.com/office/2011/relationships/chartColorStyle" Target="colors13.xml"/><Relationship Id="rId1" Type="http://schemas.microsoft.com/office/2011/relationships/chartStyle" Target="style13.xml"/></Relationships>
</file>

<file path=word/charts/_rels/chart26.xml.rels><?xml version="1.0" encoding="UTF-8" standalone="yes"?>
<Relationships xmlns="http://schemas.openxmlformats.org/package/2006/relationships"><Relationship Id="rId3" Type="http://schemas.openxmlformats.org/officeDocument/2006/relationships/package" Target="../embeddings/_____Microsoft_Excel24.xlsx"/><Relationship Id="rId2" Type="http://schemas.microsoft.com/office/2011/relationships/chartColorStyle" Target="colors14.xml"/><Relationship Id="rId1" Type="http://schemas.microsoft.com/office/2011/relationships/chartStyle" Target="style14.xml"/></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Excel25.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Excel26.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Excel27.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_____Microsoft_Excel2.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Excel28.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Excel29.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Excel30.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Excel31.xlsx"/></Relationships>
</file>

<file path=word/charts/_rels/chart34.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package" Target="../embeddings/_____Microsoft_Excel32.xlsx"/><Relationship Id="rId1" Type="http://schemas.openxmlformats.org/officeDocument/2006/relationships/themeOverride" Target="../theme/themeOverride22.xml"/></Relationships>
</file>

<file path=word/charts/_rels/chart35.xml.rels><?xml version="1.0" encoding="UTF-8" standalone="yes"?>
<Relationships xmlns="http://schemas.openxmlformats.org/package/2006/relationships"><Relationship Id="rId3" Type="http://schemas.openxmlformats.org/officeDocument/2006/relationships/chartUserShapes" Target="../drawings/drawing12.xml"/><Relationship Id="rId2" Type="http://schemas.openxmlformats.org/officeDocument/2006/relationships/package" Target="../embeddings/_____Microsoft_Excel33.xlsx"/><Relationship Id="rId1" Type="http://schemas.openxmlformats.org/officeDocument/2006/relationships/themeOverride" Target="../theme/themeOverride23.xml"/></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_____Microsoft_Excel34.xlsx"/></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_____Microsoft_Excel35.xlsx"/></Relationships>
</file>

<file path=word/charts/_rels/chart38.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package" Target="../embeddings/_____Microsoft_Excel36.xlsx"/></Relationships>
</file>

<file path=word/charts/_rels/chart39.xml.rels><?xml version="1.0" encoding="UTF-8" standalone="yes"?>
<Relationships xmlns="http://schemas.openxmlformats.org/package/2006/relationships"><Relationship Id="rId1" Type="http://schemas.openxmlformats.org/officeDocument/2006/relationships/oleObject" Target="file:///\\dbksp\EX\(&#1076;&#1080;&#1089;&#1082;%20&#1061;)%20&#1040;&#1085;&#1090;&#1086;&#1085;&#1086;&#1074;&#1072;\&#1041;&#1070;&#1044;&#1046;&#1045;&#1058;%20&#1050;&#1056;&#1040;&#1045;&#1042;&#1054;&#1049;\&#1041;&#1070;&#1044;&#1046;&#1045;&#1058;%202024\&#1048;&#1057;&#1055;&#1054;&#1051;&#1053;&#1045;&#1053;&#1048;&#1045;%20&#1050;&#1041;%20&#1042;%202024\&#1048;&#1057;&#1055;&#1054;&#1051;&#1053;&#1045;&#1053;&#1048;&#1045;%20&#1050;&#1041;%20&#1079;&#1072;%202024%20&#1075;&#1086;&#1076;\&#1056;&#1072;&#1073;&#1086;&#1095;&#1080;&#1077;%20&#1090;&#1072;&#1073;&#1083;&#1080;&#1094;&#1099;\&#1058;&#1072;&#1073;&#1083;&#1080;&#1094;&#1099;%20&#1087;&#1086;%20&#1043;&#1055;.xlsx" TargetMode="Externa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C:\Users\belokyrova_aa\Desktop\&#1044;&#1086;&#1082;&#1091;&#1084;&#1077;&#1085;&#1090;&#1099;\&#1041;&#1102;&#1076;&#1078;&#1077;&#1090;%202025\&#1048;&#1089;&#1087;&#1086;&#1083;&#1085;&#1077;&#1085;&#1080;&#1077;%20&#1050;&#1041;%20&#1079;&#1072;%202024\&#1043;&#1055;%2012\&#1055;&#1088;&#1080;&#1083;&#1086;&#1078;&#1077;&#1085;&#1080;&#1077;%20&#1082;%20&#1087;&#1080;&#1089;&#1100;&#1084;&#109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_____Microsoft_Excel4.xlsx"/></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_____Microsoft_Excel6.xlsx"/></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_____Microsoft_Excel7.xlsx"/><Relationship Id="rId1" Type="http://schemas.openxmlformats.org/officeDocument/2006/relationships/themeOverride" Target="../theme/themeOverride7.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_____Microsoft_Excel8.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833282226356208"/>
          <c:y val="0.2487627649779531"/>
          <c:w val="0.38861972547603307"/>
          <c:h val="0.65938720397795969"/>
        </c:manualLayout>
      </c:layout>
      <c:doughnutChart>
        <c:varyColors val="1"/>
        <c:ser>
          <c:idx val="0"/>
          <c:order val="0"/>
          <c:spPr>
            <a:ln>
              <a:noFill/>
            </a:ln>
          </c:spPr>
          <c:dPt>
            <c:idx val="0"/>
            <c:bubble3D val="0"/>
            <c:spPr>
              <a:solidFill>
                <a:srgbClr val="92D050"/>
              </a:solidFill>
              <a:ln w="19050">
                <a:noFill/>
              </a:ln>
              <a:effectLst/>
            </c:spPr>
            <c:extLst xmlns:c16r2="http://schemas.microsoft.com/office/drawing/2015/06/chart">
              <c:ext xmlns:c16="http://schemas.microsoft.com/office/drawing/2014/chart" uri="{C3380CC4-5D6E-409C-BE32-E72D297353CC}">
                <c16:uniqueId val="{00000001-5667-4FC5-ABD3-FABDA36283C2}"/>
              </c:ext>
            </c:extLst>
          </c:dPt>
          <c:dPt>
            <c:idx val="1"/>
            <c:bubble3D val="0"/>
            <c:spPr>
              <a:solidFill>
                <a:srgbClr val="5ABFEC"/>
              </a:solidFill>
              <a:ln w="19050">
                <a:noFill/>
              </a:ln>
              <a:effectLst/>
            </c:spPr>
            <c:extLst xmlns:c16r2="http://schemas.microsoft.com/office/drawing/2015/06/chart">
              <c:ext xmlns:c16="http://schemas.microsoft.com/office/drawing/2014/chart" uri="{C3380CC4-5D6E-409C-BE32-E72D297353CC}">
                <c16:uniqueId val="{00000003-5667-4FC5-ABD3-FABDA36283C2}"/>
              </c:ext>
            </c:extLst>
          </c:dPt>
          <c:dPt>
            <c:idx val="2"/>
            <c:bubble3D val="0"/>
            <c:spPr>
              <a:solidFill>
                <a:schemeClr val="accent6"/>
              </a:solidFill>
              <a:ln w="19050">
                <a:noFill/>
              </a:ln>
              <a:effectLst/>
            </c:spPr>
            <c:extLst xmlns:c16r2="http://schemas.microsoft.com/office/drawing/2015/06/chart">
              <c:ext xmlns:c16="http://schemas.microsoft.com/office/drawing/2014/chart" uri="{C3380CC4-5D6E-409C-BE32-E72D297353CC}">
                <c16:uniqueId val="{00000005-5667-4FC5-ABD3-FABDA36283C2}"/>
              </c:ext>
            </c:extLst>
          </c:dPt>
          <c:dPt>
            <c:idx val="3"/>
            <c:bubble3D val="0"/>
            <c:spPr>
              <a:solidFill>
                <a:srgbClr val="FFFF00"/>
              </a:solidFill>
              <a:ln w="19050">
                <a:noFill/>
              </a:ln>
              <a:effectLst/>
            </c:spPr>
            <c:extLst xmlns:c16r2="http://schemas.microsoft.com/office/drawing/2015/06/chart">
              <c:ext xmlns:c16="http://schemas.microsoft.com/office/drawing/2014/chart" uri="{C3380CC4-5D6E-409C-BE32-E72D297353CC}">
                <c16:uniqueId val="{00000007-5667-4FC5-ABD3-FABDA36283C2}"/>
              </c:ext>
            </c:extLst>
          </c:dPt>
          <c:dPt>
            <c:idx val="4"/>
            <c:bubble3D val="0"/>
            <c:spPr>
              <a:solidFill>
                <a:srgbClr val="D55349"/>
              </a:solidFill>
              <a:ln w="19050">
                <a:noFill/>
              </a:ln>
              <a:effectLst/>
            </c:spPr>
            <c:extLst xmlns:c16r2="http://schemas.microsoft.com/office/drawing/2015/06/chart">
              <c:ext xmlns:c16="http://schemas.microsoft.com/office/drawing/2014/chart" uri="{C3380CC4-5D6E-409C-BE32-E72D297353CC}">
                <c16:uniqueId val="{00000009-5667-4FC5-ABD3-FABDA36283C2}"/>
              </c:ext>
            </c:extLst>
          </c:dPt>
          <c:dLbls>
            <c:dLbl>
              <c:idx val="0"/>
              <c:layout>
                <c:manualLayout>
                  <c:x val="0.27286692990162698"/>
                  <c:y val="-2.4204537401463538E-7"/>
                </c:manualLayout>
              </c:layout>
              <c:tx>
                <c:rich>
                  <a:bodyPr rot="0" spcFirstLastPara="1" vertOverflow="ellipsis" vert="horz" wrap="square" lIns="38100" tIns="19050" rIns="38100" bIns="19050" anchor="ctr" anchorCtr="0">
                    <a:spAutoFit/>
                  </a:bodyPr>
                  <a:lstStyle/>
                  <a:p>
                    <a:pPr algn="ct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fld id="{8CDC46A4-9F25-4DC3-B6F4-72C2DD2D7934}" type="CATEGORYNAME">
                      <a:rPr lang="ru-RU" sz="900"/>
                      <a:pPr algn="ctr">
                        <a:defRPr sz="1000">
                          <a:latin typeface="Times New Roman" panose="02020603050405020304" pitchFamily="18" charset="0"/>
                          <a:cs typeface="Times New Roman" panose="02020603050405020304" pitchFamily="18" charset="0"/>
                        </a:defRPr>
                      </a:pPr>
                      <a:t>[ИМЯ КАТЕГОРИИ]</a:t>
                    </a:fld>
                    <a:r>
                      <a:rPr lang="ru-RU" baseline="0"/>
                      <a:t>; </a:t>
                    </a:r>
                  </a:p>
                  <a:p>
                    <a:pPr algn="ctr">
                      <a:defRPr sz="1000">
                        <a:latin typeface="Times New Roman" panose="02020603050405020304" pitchFamily="18" charset="0"/>
                        <a:cs typeface="Times New Roman" panose="02020603050405020304" pitchFamily="18" charset="0"/>
                      </a:defRPr>
                    </a:pPr>
                    <a:fld id="{7EAB8B7E-F9B4-4AC6-B1B7-EB4CA23AAE38}" type="VALUE">
                      <a:rPr lang="ru-RU" b="1" baseline="0"/>
                      <a:pPr algn="ctr">
                        <a:defRPr sz="1000">
                          <a:latin typeface="Times New Roman" panose="02020603050405020304" pitchFamily="18" charset="0"/>
                          <a:cs typeface="Times New Roman" panose="02020603050405020304" pitchFamily="18" charset="0"/>
                        </a:defRPr>
                      </a:pPr>
                      <a:t>[ЗНАЧЕНИЕ]</a:t>
                    </a:fld>
                    <a:r>
                      <a:rPr lang="ru-RU" b="1" baseline="0"/>
                      <a:t>млн рублей; </a:t>
                    </a:r>
                    <a:fld id="{12DBC068-8928-438D-A4B8-630CF71EA9C0}" type="PERCENTAGE">
                      <a:rPr lang="ru-RU" b="1" baseline="0"/>
                      <a:pPr algn="ctr">
                        <a:defRPr sz="1000">
                          <a:latin typeface="Times New Roman" panose="02020603050405020304" pitchFamily="18" charset="0"/>
                          <a:cs typeface="Times New Roman" panose="02020603050405020304" pitchFamily="18" charset="0"/>
                        </a:defRPr>
                      </a:pPr>
                      <a:t>[ПРОЦЕНТ]</a:t>
                    </a:fld>
                    <a:endParaRPr lang="ru-RU" b="1" baseline="0"/>
                  </a:p>
                </c:rich>
              </c:tx>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xmlns:c16r2="http://schemas.microsoft.com/office/drawing/2015/06/chart">
                <c:ext xmlns:c16="http://schemas.microsoft.com/office/drawing/2014/chart" uri="{C3380CC4-5D6E-409C-BE32-E72D297353CC}">
                  <c16:uniqueId val="{00000001-5667-4FC5-ABD3-FABDA36283C2}"/>
                </c:ext>
                <c:ext xmlns:c15="http://schemas.microsoft.com/office/drawing/2012/chart" uri="{CE6537A1-D6FC-4f65-9D91-7224C49458BB}">
                  <c15:layout>
                    <c:manualLayout>
                      <c:w val="0.33327223210290446"/>
                      <c:h val="0.42164113960127136"/>
                    </c:manualLayout>
                  </c15:layout>
                  <c15:dlblFieldTable/>
                  <c15:showDataLabelsRange val="0"/>
                </c:ext>
              </c:extLst>
            </c:dLbl>
            <c:dLbl>
              <c:idx val="1"/>
              <c:layout>
                <c:manualLayout>
                  <c:x val="-0.18040694782318351"/>
                  <c:y val="-0.21623815640052735"/>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fld id="{EC574D95-E8D9-4F4D-A78D-0045B8991D16}" type="CATEGORYNAME">
                      <a:rPr lang="ru-RU" sz="900"/>
                      <a:pPr>
                        <a:defRPr sz="1000">
                          <a:latin typeface="Times New Roman" panose="02020603050405020304" pitchFamily="18" charset="0"/>
                          <a:cs typeface="Times New Roman" panose="02020603050405020304" pitchFamily="18" charset="0"/>
                        </a:defRPr>
                      </a:pPr>
                      <a:t>[ИМЯ КАТЕГОРИИ]</a:t>
                    </a:fld>
                    <a:r>
                      <a:rPr lang="ru-RU" baseline="0"/>
                      <a:t>; </a:t>
                    </a:r>
                  </a:p>
                  <a:p>
                    <a:pPr>
                      <a:defRPr sz="1000">
                        <a:latin typeface="Times New Roman" panose="02020603050405020304" pitchFamily="18" charset="0"/>
                        <a:cs typeface="Times New Roman" panose="02020603050405020304" pitchFamily="18" charset="0"/>
                      </a:defRPr>
                    </a:pPr>
                    <a:fld id="{A983C599-A5B4-47F0-84EE-3128BE273CB3}" type="VALUE">
                      <a:rPr lang="ru-RU" b="1" baseline="0"/>
                      <a:pPr>
                        <a:defRPr sz="1000">
                          <a:latin typeface="Times New Roman" panose="02020603050405020304" pitchFamily="18" charset="0"/>
                          <a:cs typeface="Times New Roman" panose="02020603050405020304" pitchFamily="18" charset="0"/>
                        </a:defRPr>
                      </a:pPr>
                      <a:t>[ЗНАЧЕНИЕ]</a:t>
                    </a:fld>
                    <a:r>
                      <a:rPr lang="ru-RU" b="1" baseline="0"/>
                      <a:t>млн рублей; </a:t>
                    </a:r>
                    <a:fld id="{CF146C33-5DCA-4586-AEC6-100C80A1886C}" type="PERCENTAGE">
                      <a:rPr lang="ru-RU" b="1" baseline="0"/>
                      <a:pPr>
                        <a:defRPr sz="1000">
                          <a:latin typeface="Times New Roman" panose="02020603050405020304" pitchFamily="18" charset="0"/>
                          <a:cs typeface="Times New Roman" panose="02020603050405020304" pitchFamily="18" charset="0"/>
                        </a:defRPr>
                      </a:pPr>
                      <a:t>[ПРОЦЕНТ]</a:t>
                    </a:fld>
                    <a:endParaRPr lang="ru-RU" b="1" baseline="0"/>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xmlns:c16r2="http://schemas.microsoft.com/office/drawing/2015/06/chart">
                <c:ext xmlns:c16="http://schemas.microsoft.com/office/drawing/2014/chart" uri="{C3380CC4-5D6E-409C-BE32-E72D297353CC}">
                  <c16:uniqueId val="{00000003-5667-4FC5-ABD3-FABDA36283C2}"/>
                </c:ext>
                <c:ext xmlns:c15="http://schemas.microsoft.com/office/drawing/2012/chart" uri="{CE6537A1-D6FC-4f65-9D91-7224C49458BB}">
                  <c15:layout>
                    <c:manualLayout>
                      <c:w val="0.27047765716531169"/>
                      <c:h val="0.29687127244529898"/>
                    </c:manualLayout>
                  </c15:layout>
                  <c15:dlblFieldTable/>
                  <c15:showDataLabelsRange val="0"/>
                </c:ext>
              </c:extLst>
            </c:dLbl>
            <c:dLbl>
              <c:idx val="2"/>
              <c:layout>
                <c:manualLayout>
                  <c:x val="-8.1683032256452542E-2"/>
                  <c:y val="-0.21912134634602806"/>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fld id="{20A9B2FE-BED6-4CC3-9D6E-DEFA2EDBC86E}" type="CATEGORYNAME">
                      <a:rPr lang="ru-RU" sz="900"/>
                      <a:pPr>
                        <a:defRPr sz="1000">
                          <a:latin typeface="Times New Roman" panose="02020603050405020304" pitchFamily="18" charset="0"/>
                          <a:cs typeface="Times New Roman" panose="02020603050405020304" pitchFamily="18" charset="0"/>
                        </a:defRPr>
                      </a:pPr>
                      <a:t>[ИМЯ КАТЕГОРИИ]</a:t>
                    </a:fld>
                    <a:r>
                      <a:rPr lang="ru-RU" baseline="0"/>
                      <a:t>; </a:t>
                    </a:r>
                  </a:p>
                  <a:p>
                    <a:pPr>
                      <a:defRPr sz="1000">
                        <a:latin typeface="Times New Roman" panose="02020603050405020304" pitchFamily="18" charset="0"/>
                        <a:cs typeface="Times New Roman" panose="02020603050405020304" pitchFamily="18" charset="0"/>
                      </a:defRPr>
                    </a:pPr>
                    <a:fld id="{0334912A-51DE-4E42-BFB6-4E4EE395B713}" type="VALUE">
                      <a:rPr lang="ru-RU" b="1" baseline="0"/>
                      <a:pPr>
                        <a:defRPr sz="1000">
                          <a:latin typeface="Times New Roman" panose="02020603050405020304" pitchFamily="18" charset="0"/>
                          <a:cs typeface="Times New Roman" panose="02020603050405020304" pitchFamily="18" charset="0"/>
                        </a:defRPr>
                      </a:pPr>
                      <a:t>[ЗНАЧЕНИЕ]</a:t>
                    </a:fld>
                    <a:r>
                      <a:rPr lang="ru-RU" b="1" baseline="0"/>
                      <a:t>млн рублей; </a:t>
                    </a:r>
                    <a:fld id="{98B8BF5D-87EB-4FD6-B2A8-0E714E5F02B9}" type="PERCENTAGE">
                      <a:rPr lang="ru-RU" b="1" baseline="0"/>
                      <a:pPr>
                        <a:defRPr sz="1000">
                          <a:latin typeface="Times New Roman" panose="02020603050405020304" pitchFamily="18" charset="0"/>
                          <a:cs typeface="Times New Roman" panose="02020603050405020304" pitchFamily="18" charset="0"/>
                        </a:defRPr>
                      </a:pPr>
                      <a:t>[ПРОЦЕНТ]</a:t>
                    </a:fld>
                    <a:endParaRPr lang="ru-RU" b="1" baseline="0"/>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xmlns:c16r2="http://schemas.microsoft.com/office/drawing/2015/06/chart">
                <c:ext xmlns:c16="http://schemas.microsoft.com/office/drawing/2014/chart" uri="{C3380CC4-5D6E-409C-BE32-E72D297353CC}">
                  <c16:uniqueId val="{00000005-5667-4FC5-ABD3-FABDA36283C2}"/>
                </c:ext>
                <c:ext xmlns:c15="http://schemas.microsoft.com/office/drawing/2012/chart" uri="{CE6537A1-D6FC-4f65-9D91-7224C49458BB}">
                  <c15:layout>
                    <c:manualLayout>
                      <c:w val="0.35263132789555096"/>
                      <c:h val="0.17527462412044886"/>
                    </c:manualLayout>
                  </c15:layout>
                  <c15:dlblFieldTable/>
                  <c15:showDataLabelsRange val="0"/>
                </c:ext>
              </c:extLst>
            </c:dLbl>
            <c:dLbl>
              <c:idx val="3"/>
              <c:layout>
                <c:manualLayout>
                  <c:x val="0.23042246240103106"/>
                  <c:y val="-0.1934633906223035"/>
                </c:manualLayout>
              </c:layout>
              <c:tx>
                <c:rich>
                  <a:bodyPr rot="0" spcFirstLastPara="1" vertOverflow="ellipsis" vert="horz" wrap="square" lIns="38100" tIns="19050" rIns="38100" bIns="19050" anchor="ctr" anchorCtr="0">
                    <a:noAutofit/>
                  </a:bodyPr>
                  <a:lstStyle/>
                  <a:p>
                    <a:pPr algn="ct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fld id="{3EB1371A-DC7E-4BE2-A499-1D860B1B0297}" type="CATEGORYNAME">
                      <a:rPr lang="ru-RU" sz="900"/>
                      <a:pPr algn="ctr">
                        <a:defRPr sz="1000">
                          <a:latin typeface="Times New Roman" panose="02020603050405020304" pitchFamily="18" charset="0"/>
                          <a:cs typeface="Times New Roman" panose="02020603050405020304" pitchFamily="18" charset="0"/>
                        </a:defRPr>
                      </a:pPr>
                      <a:t>[ИМЯ КАТЕГОРИИ]</a:t>
                    </a:fld>
                    <a:r>
                      <a:rPr lang="ru-RU" baseline="0"/>
                      <a:t>; </a:t>
                    </a:r>
                  </a:p>
                  <a:p>
                    <a:pPr algn="ctr">
                      <a:defRPr sz="1000">
                        <a:latin typeface="Times New Roman" panose="02020603050405020304" pitchFamily="18" charset="0"/>
                        <a:cs typeface="Times New Roman" panose="02020603050405020304" pitchFamily="18" charset="0"/>
                      </a:defRPr>
                    </a:pPr>
                    <a:fld id="{B9506AB8-60F3-4174-AFD1-F81F9BAE8BE1}" type="VALUE">
                      <a:rPr lang="ru-RU" b="1" baseline="0"/>
                      <a:pPr algn="ctr">
                        <a:defRPr sz="1000">
                          <a:latin typeface="Times New Roman" panose="02020603050405020304" pitchFamily="18" charset="0"/>
                          <a:cs typeface="Times New Roman" panose="02020603050405020304" pitchFamily="18" charset="0"/>
                        </a:defRPr>
                      </a:pPr>
                      <a:t>[ЗНАЧЕНИЕ]</a:t>
                    </a:fld>
                    <a:r>
                      <a:rPr lang="ru-RU" b="1" baseline="0"/>
                      <a:t>млн рублей; </a:t>
                    </a:r>
                    <a:fld id="{CE6B5D64-FD1B-45DD-9744-95A51A0F1844}" type="PERCENTAGE">
                      <a:rPr lang="ru-RU" b="1" baseline="0"/>
                      <a:pPr algn="ctr">
                        <a:defRPr sz="1000">
                          <a:latin typeface="Times New Roman" panose="02020603050405020304" pitchFamily="18" charset="0"/>
                          <a:cs typeface="Times New Roman" panose="02020603050405020304" pitchFamily="18" charset="0"/>
                        </a:defRPr>
                      </a:pPr>
                      <a:t>[ПРОЦЕНТ]</a:t>
                    </a:fld>
                    <a:endParaRPr lang="ru-RU" b="1" baseline="0"/>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xmlns:c16r2="http://schemas.microsoft.com/office/drawing/2015/06/chart">
                <c:ext xmlns:c16="http://schemas.microsoft.com/office/drawing/2014/chart" uri="{C3380CC4-5D6E-409C-BE32-E72D297353CC}">
                  <c16:uniqueId val="{00000007-5667-4FC5-ABD3-FABDA36283C2}"/>
                </c:ext>
                <c:ext xmlns:c15="http://schemas.microsoft.com/office/drawing/2012/chart" uri="{CE6537A1-D6FC-4f65-9D91-7224C49458BB}">
                  <c15:layout>
                    <c:manualLayout>
                      <c:w val="0.34378255230515181"/>
                      <c:h val="0.27018029465482868"/>
                    </c:manualLayout>
                  </c15:layout>
                  <c15:dlblFieldTable/>
                  <c15:showDataLabelsRange val="0"/>
                </c:ext>
              </c:extLst>
            </c:dLbl>
            <c:dLbl>
              <c:idx val="4"/>
              <c:layout>
                <c:manualLayout>
                  <c:x val="0.23203748753557613"/>
                  <c:y val="4.2603625779811673E-2"/>
                </c:manualLayout>
              </c:layout>
              <c:tx>
                <c:rich>
                  <a:bodyPr rot="0" spcFirstLastPara="1" vertOverflow="ellipsis" vert="horz" wrap="square" lIns="38100" tIns="19050" rIns="38100" bIns="19050" anchor="ctr" anchorCtr="0">
                    <a:noAutofit/>
                  </a:bodyPr>
                  <a:lstStyle/>
                  <a:p>
                    <a:pPr algn="ct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fld id="{806C3E21-83D7-4436-B8D2-1B6A978EB795}" type="CATEGORYNAME">
                      <a:rPr lang="ru-RU" sz="900"/>
                      <a:pPr algn="ctr">
                        <a:defRPr sz="1000">
                          <a:latin typeface="Times New Roman" panose="02020603050405020304" pitchFamily="18" charset="0"/>
                          <a:cs typeface="Times New Roman" panose="02020603050405020304" pitchFamily="18" charset="0"/>
                        </a:defRPr>
                      </a:pPr>
                      <a:t>[ИМЯ КАТЕГОРИИ]</a:t>
                    </a:fld>
                    <a:r>
                      <a:rPr lang="ru-RU" baseline="0"/>
                      <a:t>;</a:t>
                    </a:r>
                  </a:p>
                  <a:p>
                    <a:pPr algn="ctr">
                      <a:defRPr sz="1000">
                        <a:latin typeface="Times New Roman" panose="02020603050405020304" pitchFamily="18" charset="0"/>
                        <a:cs typeface="Times New Roman" panose="02020603050405020304" pitchFamily="18" charset="0"/>
                      </a:defRPr>
                    </a:pPr>
                    <a:r>
                      <a:rPr lang="ru-RU" baseline="0"/>
                      <a:t> </a:t>
                    </a:r>
                    <a:fld id="{A0ACF0C3-A6B6-470C-8431-0455447EC000}" type="VALUE">
                      <a:rPr lang="ru-RU" b="1" baseline="0"/>
                      <a:pPr algn="ctr">
                        <a:defRPr sz="1000">
                          <a:latin typeface="Times New Roman" panose="02020603050405020304" pitchFamily="18" charset="0"/>
                          <a:cs typeface="Times New Roman" panose="02020603050405020304" pitchFamily="18" charset="0"/>
                        </a:defRPr>
                      </a:pPr>
                      <a:t>[ЗНАЧЕНИЕ]</a:t>
                    </a:fld>
                    <a:r>
                      <a:rPr lang="ru-RU" b="1" baseline="0"/>
                      <a:t> млн рублей; </a:t>
                    </a:r>
                    <a:fld id="{C1C02F6A-5620-4C74-B5C7-B4BE487A0B91}" type="PERCENTAGE">
                      <a:rPr lang="ru-RU" b="1" baseline="0"/>
                      <a:pPr algn="ctr">
                        <a:defRPr sz="1000">
                          <a:latin typeface="Times New Roman" panose="02020603050405020304" pitchFamily="18" charset="0"/>
                          <a:cs typeface="Times New Roman" panose="02020603050405020304" pitchFamily="18" charset="0"/>
                        </a:defRPr>
                      </a:pPr>
                      <a:t>[ПРОЦЕНТ]</a:t>
                    </a:fld>
                    <a:endParaRPr lang="ru-RU" b="1" baseline="0"/>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xmlns:c16r2="http://schemas.microsoft.com/office/drawing/2015/06/chart">
                <c:ext xmlns:c16="http://schemas.microsoft.com/office/drawing/2014/chart" uri="{C3380CC4-5D6E-409C-BE32-E72D297353CC}">
                  <c16:uniqueId val="{00000009-5667-4FC5-ABD3-FABDA36283C2}"/>
                </c:ext>
                <c:ext xmlns:c15="http://schemas.microsoft.com/office/drawing/2012/chart" uri="{CE6537A1-D6FC-4f65-9D91-7224C49458BB}">
                  <c15:layout>
                    <c:manualLayout>
                      <c:w val="0.34679604681853388"/>
                      <c:h val="0.29845897820221096"/>
                    </c:manualLayout>
                  </c15:layout>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'инвестиц по видам'!$A$3:$A$7</c:f>
              <c:strCache>
                <c:ptCount val="5"/>
                <c:pt idx="0">
                  <c:v>Машины и оборудование, включая хозяйственный инвентарь, и другие объекты </c:v>
                </c:pt>
                <c:pt idx="1">
                  <c:v>Здания (кроме жилых) сооружения, расходы на улучшение земель</c:v>
                </c:pt>
                <c:pt idx="2">
                  <c:v>Прочие</c:v>
                </c:pt>
                <c:pt idx="3">
                  <c:v>Объекты интеллектуальной собственности </c:v>
                </c:pt>
                <c:pt idx="4">
                  <c:v>Жилые задания и помещения</c:v>
                </c:pt>
              </c:strCache>
            </c:strRef>
          </c:cat>
          <c:val>
            <c:numRef>
              <c:f>'инвестиц по видам'!$B$3:$B$7</c:f>
              <c:numCache>
                <c:formatCode>_-* #\ ##0.0_-;\-* #\ ##0.0_-;_-* "-"??_-;_-@_-</c:formatCode>
                <c:ptCount val="5"/>
                <c:pt idx="0">
                  <c:v>152438.20000000001</c:v>
                </c:pt>
                <c:pt idx="1">
                  <c:v>228772.9</c:v>
                </c:pt>
                <c:pt idx="2">
                  <c:v>3683.5</c:v>
                </c:pt>
                <c:pt idx="3">
                  <c:v>4034.2</c:v>
                </c:pt>
                <c:pt idx="4">
                  <c:v>36661.199999999997</c:v>
                </c:pt>
              </c:numCache>
            </c:numRef>
          </c:val>
          <c:extLst xmlns:c16r2="http://schemas.microsoft.com/office/drawing/2015/06/chart">
            <c:ext xmlns:c16="http://schemas.microsoft.com/office/drawing/2014/chart" uri="{C3380CC4-5D6E-409C-BE32-E72D297353CC}">
              <c16:uniqueId val="{0000000A-5667-4FC5-ABD3-FABDA36283C2}"/>
            </c:ext>
          </c:extLst>
        </c:ser>
        <c:dLbls>
          <c:showLegendKey val="0"/>
          <c:showVal val="0"/>
          <c:showCatName val="0"/>
          <c:showSerName val="0"/>
          <c:showPercent val="0"/>
          <c:showBubbleSize val="0"/>
          <c:showLeaderLines val="1"/>
        </c:dLbls>
        <c:firstSliceAng val="68"/>
        <c:holeSize val="58"/>
      </c:doughnut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itchFamily="18" charset="0"/>
                <a:ea typeface="+mn-ea"/>
                <a:cs typeface="Times New Roman" pitchFamily="18" charset="0"/>
              </a:defRPr>
            </a:pPr>
            <a:r>
              <a:rPr lang="ru-RU" sz="1050" b="1" i="0" u="none" strike="noStrike" kern="1200" baseline="0">
                <a:solidFill>
                  <a:sysClr val="windowText" lastClr="000000"/>
                </a:solidFill>
                <a:latin typeface="Times New Roman" pitchFamily="18" charset="0"/>
                <a:ea typeface="+mn-ea"/>
                <a:cs typeface="Times New Roman" pitchFamily="18" charset="0"/>
              </a:rPr>
              <a:t>Валовой региональный продукт (в основных ценах соответствующих лет), </a:t>
            </a:r>
            <a:br>
              <a:rPr lang="ru-RU" sz="1050" b="1" i="0" u="none" strike="noStrike" kern="1200" baseline="0">
                <a:solidFill>
                  <a:sysClr val="windowText" lastClr="000000"/>
                </a:solidFill>
                <a:latin typeface="Times New Roman" pitchFamily="18" charset="0"/>
                <a:ea typeface="+mn-ea"/>
                <a:cs typeface="Times New Roman" pitchFamily="18" charset="0"/>
              </a:rPr>
            </a:br>
            <a:r>
              <a:rPr lang="ru-RU" sz="1050" b="1" i="0" u="none" strike="noStrike" kern="1200" baseline="0">
                <a:solidFill>
                  <a:sysClr val="windowText" lastClr="000000"/>
                </a:solidFill>
                <a:latin typeface="Times New Roman" pitchFamily="18" charset="0"/>
                <a:ea typeface="+mn-ea"/>
                <a:cs typeface="Times New Roman" pitchFamily="18" charset="0"/>
              </a:rPr>
              <a:t>млрд рублей</a:t>
            </a:r>
          </a:p>
        </c:rich>
      </c:tx>
      <c:layout>
        <c:manualLayout>
          <c:xMode val="edge"/>
          <c:yMode val="edge"/>
          <c:x val="0.14826432025168251"/>
          <c:y val="3.3613445378151259E-2"/>
        </c:manualLayout>
      </c:layout>
      <c:overlay val="0"/>
      <c:spPr>
        <a:noFill/>
        <a:ln>
          <a:noFill/>
        </a:ln>
        <a:effectLst/>
      </c:spPr>
    </c:title>
    <c:autoTitleDeleted val="0"/>
    <c:plotArea>
      <c:layout>
        <c:manualLayout>
          <c:layoutTarget val="inner"/>
          <c:xMode val="edge"/>
          <c:yMode val="edge"/>
          <c:x val="5.2036745406824146E-2"/>
          <c:y val="0.33210104393059464"/>
          <c:w val="0.8032211070097508"/>
          <c:h val="0.48562120911356671"/>
        </c:manualLayout>
      </c:layout>
      <c:barChart>
        <c:barDir val="col"/>
        <c:grouping val="clustered"/>
        <c:varyColors val="0"/>
        <c:ser>
          <c:idx val="0"/>
          <c:order val="0"/>
          <c:spPr>
            <a:gradFill flip="none" rotWithShape="1">
              <a:gsLst>
                <a:gs pos="0">
                  <a:srgbClr val="00B050"/>
                </a:gs>
                <a:gs pos="100000">
                  <a:srgbClr val="C4E69A"/>
                </a:gs>
              </a:gsLst>
              <a:lin ang="16200000" scaled="1"/>
              <a:tileRect/>
            </a:gradFill>
            <a:ln>
              <a:solidFill>
                <a:srgbClr val="92D050"/>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Лист1!$J$3:$J$5</c:f>
              <c:strCache>
                <c:ptCount val="3"/>
                <c:pt idx="0">
                  <c:v>Отчет 2022 год</c:v>
                </c:pt>
                <c:pt idx="1">
                  <c:v>Отчет 2023 год</c:v>
                </c:pt>
                <c:pt idx="2">
                  <c:v>Оценка 2024 год</c:v>
                </c:pt>
              </c:strCache>
            </c:strRef>
          </c:cat>
          <c:val>
            <c:numRef>
              <c:f>Лист1!$K$3:$K$5</c:f>
              <c:numCache>
                <c:formatCode>0.00</c:formatCode>
                <c:ptCount val="3"/>
                <c:pt idx="0">
                  <c:v>1467.96</c:v>
                </c:pt>
                <c:pt idx="1">
                  <c:v>1692.92</c:v>
                </c:pt>
                <c:pt idx="2">
                  <c:v>1908.62</c:v>
                </c:pt>
              </c:numCache>
            </c:numRef>
          </c:val>
          <c:extLst xmlns:c16r2="http://schemas.microsoft.com/office/drawing/2015/06/chart">
            <c:ext xmlns:c16="http://schemas.microsoft.com/office/drawing/2014/chart" uri="{C3380CC4-5D6E-409C-BE32-E72D297353CC}">
              <c16:uniqueId val="{00000000-CB4A-4EBB-AFC0-0BD39350C781}"/>
            </c:ext>
          </c:extLst>
        </c:ser>
        <c:dLbls>
          <c:showLegendKey val="0"/>
          <c:showVal val="0"/>
          <c:showCatName val="0"/>
          <c:showSerName val="0"/>
          <c:showPercent val="0"/>
          <c:showBubbleSize val="0"/>
        </c:dLbls>
        <c:gapWidth val="25"/>
        <c:axId val="173551536"/>
        <c:axId val="173551928"/>
      </c:barChart>
      <c:lineChart>
        <c:grouping val="standard"/>
        <c:varyColors val="0"/>
        <c:ser>
          <c:idx val="1"/>
          <c:order val="1"/>
          <c:spPr>
            <a:ln w="28575" cap="rnd">
              <a:noFill/>
              <a:round/>
            </a:ln>
            <a:effectLst/>
          </c:spPr>
          <c:marker>
            <c:symbol val="circle"/>
            <c:size val="5"/>
            <c:spPr>
              <a:noFill/>
              <a:ln w="9525">
                <a:noFill/>
              </a:ln>
              <a:effectLst/>
            </c:spPr>
          </c:marker>
          <c:dLbls>
            <c:dLbl>
              <c:idx val="1"/>
              <c:layout>
                <c:manualLayout>
                  <c:x val="-0.2290030621172354"/>
                  <c:y val="-0.3291305328915334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B4A-4EBB-AFC0-0BD39350C781}"/>
                </c:ext>
                <c:ext xmlns:c15="http://schemas.microsoft.com/office/drawing/2012/chart" uri="{CE6537A1-D6FC-4f65-9D91-7224C49458BB}">
                  <c15:layout/>
                </c:ext>
              </c:extLst>
            </c:dLbl>
            <c:dLbl>
              <c:idx val="2"/>
              <c:layout>
                <c:manualLayout>
                  <c:x val="-0.20566666666666666"/>
                  <c:y val="-0.388187313689861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CB4A-4EBB-AFC0-0BD39350C781}"/>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Лист1!$J$3:$J$5</c:f>
              <c:strCache>
                <c:ptCount val="3"/>
                <c:pt idx="0">
                  <c:v>Отчет 2022 год</c:v>
                </c:pt>
                <c:pt idx="1">
                  <c:v>Отчет 2023 год</c:v>
                </c:pt>
                <c:pt idx="2">
                  <c:v>Оценка 2024 год</c:v>
                </c:pt>
              </c:strCache>
            </c:strRef>
          </c:cat>
          <c:val>
            <c:numRef>
              <c:f>Лист1!$L$3:$L$5</c:f>
              <c:numCache>
                <c:formatCode>0.00</c:formatCode>
                <c:ptCount val="3"/>
                <c:pt idx="1">
                  <c:v>224.96000000000004</c:v>
                </c:pt>
                <c:pt idx="2">
                  <c:v>215.69999999999982</c:v>
                </c:pt>
              </c:numCache>
            </c:numRef>
          </c:val>
          <c:smooth val="0"/>
          <c:extLst xmlns:c16r2="http://schemas.microsoft.com/office/drawing/2015/06/chart">
            <c:ext xmlns:c16="http://schemas.microsoft.com/office/drawing/2014/chart" uri="{C3380CC4-5D6E-409C-BE32-E72D297353CC}">
              <c16:uniqueId val="{00000003-CB4A-4EBB-AFC0-0BD39350C781}"/>
            </c:ext>
          </c:extLst>
        </c:ser>
        <c:dLbls>
          <c:showLegendKey val="0"/>
          <c:showVal val="0"/>
          <c:showCatName val="0"/>
          <c:showSerName val="0"/>
          <c:showPercent val="0"/>
          <c:showBubbleSize val="0"/>
        </c:dLbls>
        <c:marker val="1"/>
        <c:smooth val="0"/>
        <c:axId val="173555064"/>
        <c:axId val="173553104"/>
      </c:lineChart>
      <c:catAx>
        <c:axId val="173551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3551928"/>
        <c:crosses val="autoZero"/>
        <c:auto val="1"/>
        <c:lblAlgn val="ctr"/>
        <c:lblOffset val="100"/>
        <c:noMultiLvlLbl val="0"/>
      </c:catAx>
      <c:valAx>
        <c:axId val="173551928"/>
        <c:scaling>
          <c:orientation val="minMax"/>
        </c:scaling>
        <c:delete val="1"/>
        <c:axPos val="l"/>
        <c:numFmt formatCode="0.00" sourceLinked="1"/>
        <c:majorTickMark val="none"/>
        <c:minorTickMark val="none"/>
        <c:tickLblPos val="nextTo"/>
        <c:crossAx val="173551536"/>
        <c:crosses val="autoZero"/>
        <c:crossBetween val="between"/>
      </c:valAx>
      <c:valAx>
        <c:axId val="173553104"/>
        <c:scaling>
          <c:orientation val="minMax"/>
        </c:scaling>
        <c:delete val="1"/>
        <c:axPos val="r"/>
        <c:numFmt formatCode="0.00" sourceLinked="1"/>
        <c:majorTickMark val="out"/>
        <c:minorTickMark val="none"/>
        <c:tickLblPos val="nextTo"/>
        <c:crossAx val="173555064"/>
        <c:crosses val="max"/>
        <c:crossBetween val="between"/>
      </c:valAx>
      <c:catAx>
        <c:axId val="173555064"/>
        <c:scaling>
          <c:orientation val="minMax"/>
        </c:scaling>
        <c:delete val="1"/>
        <c:axPos val="b"/>
        <c:numFmt formatCode="General" sourceLinked="1"/>
        <c:majorTickMark val="out"/>
        <c:minorTickMark val="none"/>
        <c:tickLblPos val="nextTo"/>
        <c:crossAx val="173553104"/>
        <c:crosses val="autoZero"/>
        <c:auto val="1"/>
        <c:lblAlgn val="ctr"/>
        <c:lblOffset val="100"/>
        <c:noMultiLvlLbl val="0"/>
      </c:catAx>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userShapes r:id="rId3"/>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ru-RU" sz="105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05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rPr>
              <a:t>Индекс физического объема валового регионального продукта,</a:t>
            </a:r>
            <a:br>
              <a:rPr lang="ru-RU" sz="105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rPr>
            </a:br>
            <a:r>
              <a:rPr lang="ru-RU" sz="105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rPr>
              <a:t>в % к предыдущему году</a:t>
            </a:r>
          </a:p>
        </c:rich>
      </c:tx>
      <c:layout>
        <c:manualLayout>
          <c:xMode val="edge"/>
          <c:yMode val="edge"/>
          <c:x val="0.14209923278820916"/>
          <c:y val="0"/>
        </c:manualLayout>
      </c:layout>
      <c:overlay val="0"/>
      <c:spPr>
        <a:noFill/>
        <a:ln>
          <a:noFill/>
        </a:ln>
        <a:effectLst/>
      </c:spPr>
      <c:txPr>
        <a:bodyPr rot="0" spcFirstLastPara="1" vertOverflow="ellipsis" vert="horz" wrap="square" anchor="ctr" anchorCtr="1"/>
        <a:lstStyle/>
        <a:p>
          <a:pPr algn="ctr" rtl="0">
            <a:defRPr lang="ru-RU" sz="105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4.8129694540087524E-2"/>
          <c:y val="0.38260121740101638"/>
          <c:w val="0.86072982812632282"/>
          <c:h val="0.41529636455017588"/>
        </c:manualLayout>
      </c:layout>
      <c:barChart>
        <c:barDir val="col"/>
        <c:grouping val="clustered"/>
        <c:varyColors val="0"/>
        <c:ser>
          <c:idx val="0"/>
          <c:order val="0"/>
          <c:spPr>
            <a:gradFill flip="none" rotWithShape="1">
              <a:gsLst>
                <a:gs pos="42000">
                  <a:srgbClr val="C2A4BE"/>
                </a:gs>
                <a:gs pos="100000">
                  <a:srgbClr val="99618E"/>
                </a:gs>
                <a:gs pos="0">
                  <a:srgbClr val="4F81BD">
                    <a:lumMod val="5000"/>
                    <a:lumOff val="95000"/>
                  </a:srgbClr>
                </a:gs>
                <a:gs pos="100000">
                  <a:srgbClr val="4F81BD">
                    <a:lumMod val="75000"/>
                  </a:srgbClr>
                </a:gs>
              </a:gsLst>
              <a:lin ang="5400000" scaled="1"/>
              <a:tileRect/>
            </a:gradFill>
            <a:ln>
              <a:solidFill>
                <a:srgbClr val="99618E"/>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Лист1!$J$66:$J$68</c:f>
              <c:strCache>
                <c:ptCount val="3"/>
                <c:pt idx="0">
                  <c:v>Отчет 2022 год</c:v>
                </c:pt>
                <c:pt idx="1">
                  <c:v>Отчет 2023 год</c:v>
                </c:pt>
                <c:pt idx="2">
                  <c:v>Оценка 2024 год</c:v>
                </c:pt>
              </c:strCache>
            </c:strRef>
          </c:cat>
          <c:val>
            <c:numRef>
              <c:f>Лист1!$K$66:$K$68</c:f>
              <c:numCache>
                <c:formatCode>0.00</c:formatCode>
                <c:ptCount val="3"/>
                <c:pt idx="0">
                  <c:v>102.2</c:v>
                </c:pt>
                <c:pt idx="1">
                  <c:v>102.7</c:v>
                </c:pt>
                <c:pt idx="2">
                  <c:v>103.3</c:v>
                </c:pt>
              </c:numCache>
            </c:numRef>
          </c:val>
          <c:extLst xmlns:c16r2="http://schemas.microsoft.com/office/drawing/2015/06/chart">
            <c:ext xmlns:c16="http://schemas.microsoft.com/office/drawing/2014/chart" uri="{C3380CC4-5D6E-409C-BE32-E72D297353CC}">
              <c16:uniqueId val="{00000000-5701-4A72-B217-1EEA6DDC78A4}"/>
            </c:ext>
          </c:extLst>
        </c:ser>
        <c:dLbls>
          <c:showLegendKey val="0"/>
          <c:showVal val="0"/>
          <c:showCatName val="0"/>
          <c:showSerName val="0"/>
          <c:showPercent val="0"/>
          <c:showBubbleSize val="0"/>
        </c:dLbls>
        <c:gapWidth val="39"/>
        <c:overlap val="2"/>
        <c:axId val="173547616"/>
        <c:axId val="173550360"/>
      </c:barChart>
      <c:catAx>
        <c:axId val="173547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3550360"/>
        <c:crosses val="autoZero"/>
        <c:auto val="1"/>
        <c:lblAlgn val="ctr"/>
        <c:lblOffset val="100"/>
        <c:noMultiLvlLbl val="0"/>
      </c:catAx>
      <c:valAx>
        <c:axId val="173550360"/>
        <c:scaling>
          <c:orientation val="minMax"/>
        </c:scaling>
        <c:delete val="1"/>
        <c:axPos val="l"/>
        <c:numFmt formatCode="#,##0.00" sourceLinked="0"/>
        <c:majorTickMark val="none"/>
        <c:minorTickMark val="none"/>
        <c:tickLblPos val="nextTo"/>
        <c:crossAx val="1735476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strRef>
          <c:f>Лист1!$A$97</c:f>
          <c:strCache>
            <c:ptCount val="1"/>
            <c:pt idx="0">
              <c:v>Продукция сельского хозяйства, млрд рублей</c:v>
            </c:pt>
          </c:strCache>
        </c:strRef>
      </c:tx>
      <c:layout>
        <c:manualLayout>
          <c:xMode val="edge"/>
          <c:yMode val="edge"/>
          <c:x val="0.17987170569731631"/>
          <c:y val="5.5913317627708002E-3"/>
        </c:manualLayout>
      </c:layout>
      <c:overlay val="0"/>
      <c:spPr>
        <a:noFill/>
        <a:ln>
          <a:noFill/>
        </a:ln>
        <a:effectLst/>
      </c:spPr>
      <c:txPr>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itchFamily="18" charset="0"/>
              <a:ea typeface="+mn-ea"/>
              <a:cs typeface="Times New Roman" pitchFamily="18" charset="0"/>
            </a:defRPr>
          </a:pPr>
          <a:endParaRPr lang="ru-RU"/>
        </a:p>
      </c:txPr>
    </c:title>
    <c:autoTitleDeleted val="0"/>
    <c:plotArea>
      <c:layout>
        <c:manualLayout>
          <c:layoutTarget val="inner"/>
          <c:xMode val="edge"/>
          <c:yMode val="edge"/>
          <c:x val="6.7985166872682329E-2"/>
          <c:y val="0.28619273301737758"/>
          <c:w val="0.8640296662546354"/>
          <c:h val="0.59847147068701723"/>
        </c:manualLayout>
      </c:layout>
      <c:barChart>
        <c:barDir val="col"/>
        <c:grouping val="clustered"/>
        <c:varyColors val="0"/>
        <c:ser>
          <c:idx val="0"/>
          <c:order val="0"/>
          <c:tx>
            <c:strRef>
              <c:f>Лист1!$B$97</c:f>
              <c:strCache>
                <c:ptCount val="1"/>
              </c:strCache>
            </c:strRef>
          </c:tx>
          <c:spPr>
            <a:gradFill>
              <a:gsLst>
                <a:gs pos="24000">
                  <a:srgbClr val="A3F3F7"/>
                </a:gs>
                <a:gs pos="0">
                  <a:srgbClr val="4F81BD">
                    <a:lumMod val="5000"/>
                    <a:lumOff val="95000"/>
                  </a:srgbClr>
                </a:gs>
                <a:gs pos="43000">
                  <a:srgbClr val="73E1E7"/>
                </a:gs>
              </a:gsLst>
              <a:lin ang="5400000" scaled="1"/>
            </a:gradFill>
            <a:ln>
              <a:solidFill>
                <a:srgbClr val="20A097"/>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Лист1!$A$98:$A$100</c:f>
              <c:strCache>
                <c:ptCount val="3"/>
                <c:pt idx="0">
                  <c:v>Отчет 2022 год</c:v>
                </c:pt>
                <c:pt idx="1">
                  <c:v>Отчет  2023 год</c:v>
                </c:pt>
                <c:pt idx="2">
                  <c:v>Факт 2024 год</c:v>
                </c:pt>
              </c:strCache>
            </c:strRef>
          </c:cat>
          <c:val>
            <c:numRef>
              <c:f>Лист1!$B$98:$B$100</c:f>
              <c:numCache>
                <c:formatCode>0.00</c:formatCode>
                <c:ptCount val="3"/>
                <c:pt idx="0">
                  <c:v>69.55</c:v>
                </c:pt>
                <c:pt idx="1">
                  <c:v>67.91</c:v>
                </c:pt>
                <c:pt idx="2">
                  <c:v>79.03</c:v>
                </c:pt>
              </c:numCache>
            </c:numRef>
          </c:val>
          <c:extLst xmlns:c16r2="http://schemas.microsoft.com/office/drawing/2015/06/chart">
            <c:ext xmlns:c16="http://schemas.microsoft.com/office/drawing/2014/chart" uri="{C3380CC4-5D6E-409C-BE32-E72D297353CC}">
              <c16:uniqueId val="{00000000-6B99-44D9-BE1B-8F9CEC823316}"/>
            </c:ext>
          </c:extLst>
        </c:ser>
        <c:dLbls>
          <c:showLegendKey val="0"/>
          <c:showVal val="0"/>
          <c:showCatName val="0"/>
          <c:showSerName val="0"/>
          <c:showPercent val="0"/>
          <c:showBubbleSize val="0"/>
        </c:dLbls>
        <c:gapWidth val="39"/>
        <c:axId val="173548400"/>
        <c:axId val="173549968"/>
      </c:barChart>
      <c:lineChart>
        <c:grouping val="standard"/>
        <c:varyColors val="0"/>
        <c:ser>
          <c:idx val="1"/>
          <c:order val="1"/>
          <c:tx>
            <c:strRef>
              <c:f>Лист1!$C$97</c:f>
              <c:strCache>
                <c:ptCount val="1"/>
              </c:strCache>
            </c:strRef>
          </c:tx>
          <c:spPr>
            <a:ln w="28575" cap="rnd">
              <a:noFill/>
              <a:round/>
            </a:ln>
            <a:effectLst/>
          </c:spPr>
          <c:marker>
            <c:symbol val="circle"/>
            <c:size val="5"/>
            <c:spPr>
              <a:noFill/>
              <a:ln w="9525">
                <a:noFill/>
              </a:ln>
              <a:effectLst/>
            </c:spPr>
          </c:marker>
          <c:dLbls>
            <c:dLbl>
              <c:idx val="1"/>
              <c:layout>
                <c:manualLayout>
                  <c:x val="-0.28533201280746057"/>
                  <c:y val="-0.4743672659664440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6B99-44D9-BE1B-8F9CEC823316}"/>
                </c:ext>
                <c:ext xmlns:c15="http://schemas.microsoft.com/office/drawing/2012/chart" uri="{CE6537A1-D6FC-4f65-9D91-7224C49458BB}">
                  <c15:layout>
                    <c:manualLayout>
                      <c:w val="0.23576791376977768"/>
                      <c:h val="0.13245864946004024"/>
                    </c:manualLayout>
                  </c15:layout>
                </c:ext>
              </c:extLst>
            </c:dLbl>
            <c:dLbl>
              <c:idx val="2"/>
              <c:layout>
                <c:manualLayout>
                  <c:x val="-0.16325613423785562"/>
                  <c:y val="-0.4459290219054371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6B99-44D9-BE1B-8F9CEC823316}"/>
                </c:ext>
                <c:ext xmlns:c15="http://schemas.microsoft.com/office/drawing/2012/chart" uri="{CE6537A1-D6FC-4f65-9D91-7224C49458BB}">
                  <c15:layout>
                    <c:manualLayout>
                      <c:w val="0.26366944202655612"/>
                      <c:h val="0.13245864946004024"/>
                    </c:manualLayout>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Лист1!$A$98:$A$100</c:f>
              <c:strCache>
                <c:ptCount val="3"/>
                <c:pt idx="0">
                  <c:v>Отчет 2022 год</c:v>
                </c:pt>
                <c:pt idx="1">
                  <c:v>Отчет  2023 год</c:v>
                </c:pt>
                <c:pt idx="2">
                  <c:v>Факт 2024 год</c:v>
                </c:pt>
              </c:strCache>
            </c:strRef>
          </c:cat>
          <c:val>
            <c:numRef>
              <c:f>Лист1!$C$98:$C$100</c:f>
              <c:numCache>
                <c:formatCode>0.00</c:formatCode>
                <c:ptCount val="3"/>
                <c:pt idx="1">
                  <c:v>-1.6400000000000006</c:v>
                </c:pt>
                <c:pt idx="2">
                  <c:v>11.120000000000005</c:v>
                </c:pt>
              </c:numCache>
            </c:numRef>
          </c:val>
          <c:smooth val="0"/>
          <c:extLst xmlns:c16r2="http://schemas.microsoft.com/office/drawing/2015/06/chart">
            <c:ext xmlns:c16="http://schemas.microsoft.com/office/drawing/2014/chart" uri="{C3380CC4-5D6E-409C-BE32-E72D297353CC}">
              <c16:uniqueId val="{00000003-6B99-44D9-BE1B-8F9CEC823316}"/>
            </c:ext>
          </c:extLst>
        </c:ser>
        <c:dLbls>
          <c:showLegendKey val="0"/>
          <c:showVal val="0"/>
          <c:showCatName val="0"/>
          <c:showSerName val="0"/>
          <c:showPercent val="0"/>
          <c:showBubbleSize val="0"/>
        </c:dLbls>
        <c:marker val="1"/>
        <c:smooth val="0"/>
        <c:axId val="174414216"/>
        <c:axId val="173549576"/>
      </c:lineChart>
      <c:catAx>
        <c:axId val="173548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3549968"/>
        <c:crosses val="autoZero"/>
        <c:auto val="1"/>
        <c:lblAlgn val="ctr"/>
        <c:lblOffset val="100"/>
        <c:noMultiLvlLbl val="0"/>
      </c:catAx>
      <c:valAx>
        <c:axId val="173549968"/>
        <c:scaling>
          <c:orientation val="minMax"/>
        </c:scaling>
        <c:delete val="1"/>
        <c:axPos val="l"/>
        <c:numFmt formatCode="0.00" sourceLinked="1"/>
        <c:majorTickMark val="none"/>
        <c:minorTickMark val="none"/>
        <c:tickLblPos val="nextTo"/>
        <c:crossAx val="173548400"/>
        <c:crosses val="autoZero"/>
        <c:crossBetween val="between"/>
      </c:valAx>
      <c:valAx>
        <c:axId val="173549576"/>
        <c:scaling>
          <c:orientation val="minMax"/>
        </c:scaling>
        <c:delete val="1"/>
        <c:axPos val="r"/>
        <c:numFmt formatCode="0.00" sourceLinked="1"/>
        <c:majorTickMark val="out"/>
        <c:minorTickMark val="none"/>
        <c:tickLblPos val="nextTo"/>
        <c:crossAx val="174414216"/>
        <c:crosses val="max"/>
        <c:crossBetween val="between"/>
      </c:valAx>
      <c:catAx>
        <c:axId val="174414216"/>
        <c:scaling>
          <c:orientation val="minMax"/>
        </c:scaling>
        <c:delete val="1"/>
        <c:axPos val="b"/>
        <c:numFmt formatCode="General" sourceLinked="1"/>
        <c:majorTickMark val="out"/>
        <c:minorTickMark val="none"/>
        <c:tickLblPos val="nextTo"/>
        <c:crossAx val="173549576"/>
        <c:crosses val="autoZero"/>
        <c:auto val="1"/>
        <c:lblAlgn val="ctr"/>
        <c:lblOffset val="100"/>
        <c:noMultiLvlLbl val="0"/>
      </c:catAx>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strRef>
          <c:f>Лист1!$A$116</c:f>
          <c:strCache>
            <c:ptCount val="1"/>
            <c:pt idx="0">
              <c:v>Индекс производства продукции сельского хозяйства, в % к предыдущему году</c:v>
            </c:pt>
          </c:strCache>
        </c:strRef>
      </c:tx>
      <c:layout>
        <c:manualLayout>
          <c:xMode val="edge"/>
          <c:yMode val="edge"/>
          <c:x val="0.15468092904818859"/>
          <c:y val="1.2551292288960398E-2"/>
        </c:manualLayout>
      </c:layout>
      <c:overlay val="0"/>
      <c:spPr>
        <a:noFill/>
        <a:ln>
          <a:noFill/>
        </a:ln>
        <a:effectLst/>
      </c:spPr>
      <c:txPr>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8.6149691941098533E-2"/>
          <c:y val="0.29384433580873481"/>
          <c:w val="0.89168044568417915"/>
          <c:h val="0.49486435048699479"/>
        </c:manualLayout>
      </c:layout>
      <c:barChart>
        <c:barDir val="col"/>
        <c:grouping val="clustered"/>
        <c:varyColors val="0"/>
        <c:ser>
          <c:idx val="0"/>
          <c:order val="0"/>
          <c:spPr>
            <a:gradFill flip="none" rotWithShape="1">
              <a:gsLst>
                <a:gs pos="53500">
                  <a:srgbClr val="C0504D">
                    <a:lumMod val="60000"/>
                    <a:lumOff val="40000"/>
                  </a:srgbClr>
                </a:gs>
                <a:gs pos="100000">
                  <a:srgbClr val="C0504D">
                    <a:lumMod val="75000"/>
                  </a:srgbClr>
                </a:gs>
                <a:gs pos="0">
                  <a:srgbClr val="4F81BD">
                    <a:lumMod val="5000"/>
                    <a:lumOff val="95000"/>
                  </a:srgbClr>
                </a:gs>
              </a:gsLst>
              <a:lin ang="5400000" scaled="1"/>
              <a:tileRect/>
            </a:gradFill>
            <a:ln>
              <a:solidFill>
                <a:srgbClr val="C0504D">
                  <a:lumMod val="75000"/>
                </a:srgbClr>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Лист1!$A$117:$A$119</c:f>
              <c:strCache>
                <c:ptCount val="3"/>
                <c:pt idx="0">
                  <c:v>Отчет 2022 год</c:v>
                </c:pt>
                <c:pt idx="1">
                  <c:v>Отчет  2023 год</c:v>
                </c:pt>
                <c:pt idx="2">
                  <c:v>Факт 2024 год</c:v>
                </c:pt>
              </c:strCache>
            </c:strRef>
          </c:cat>
          <c:val>
            <c:numRef>
              <c:f>Лист1!$B$117:$B$119</c:f>
              <c:numCache>
                <c:formatCode>0.00</c:formatCode>
                <c:ptCount val="3"/>
                <c:pt idx="0">
                  <c:v>116.1</c:v>
                </c:pt>
                <c:pt idx="1">
                  <c:v>87</c:v>
                </c:pt>
                <c:pt idx="2">
                  <c:v>94.2</c:v>
                </c:pt>
              </c:numCache>
            </c:numRef>
          </c:val>
          <c:extLst xmlns:c16r2="http://schemas.microsoft.com/office/drawing/2015/06/chart">
            <c:ext xmlns:c16="http://schemas.microsoft.com/office/drawing/2014/chart" uri="{C3380CC4-5D6E-409C-BE32-E72D297353CC}">
              <c16:uniqueId val="{00000000-3CFB-4371-A8BC-1A6B7ECADC1C}"/>
            </c:ext>
          </c:extLst>
        </c:ser>
        <c:dLbls>
          <c:showLegendKey val="0"/>
          <c:showVal val="0"/>
          <c:showCatName val="0"/>
          <c:showSerName val="0"/>
          <c:showPercent val="0"/>
          <c:showBubbleSize val="0"/>
        </c:dLbls>
        <c:gapWidth val="39"/>
        <c:overlap val="2"/>
        <c:axId val="174407944"/>
        <c:axId val="174410296"/>
      </c:barChart>
      <c:catAx>
        <c:axId val="174407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4410296"/>
        <c:crosses val="autoZero"/>
        <c:auto val="1"/>
        <c:lblAlgn val="ctr"/>
        <c:lblOffset val="100"/>
        <c:noMultiLvlLbl val="0"/>
      </c:catAx>
      <c:valAx>
        <c:axId val="174410296"/>
        <c:scaling>
          <c:orientation val="minMax"/>
        </c:scaling>
        <c:delete val="1"/>
        <c:axPos val="l"/>
        <c:numFmt formatCode="0.00" sourceLinked="1"/>
        <c:majorTickMark val="none"/>
        <c:minorTickMark val="none"/>
        <c:tickLblPos val="nextTo"/>
        <c:crossAx val="174407944"/>
        <c:crosses val="autoZero"/>
        <c:crossBetween val="between"/>
      </c:valAx>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itchFamily="18" charset="0"/>
                <a:ea typeface="+mn-ea"/>
                <a:cs typeface="Times New Roman" pitchFamily="18" charset="0"/>
              </a:defRPr>
            </a:pPr>
            <a:r>
              <a:rPr lang="ru-RU" sz="1100" b="1" i="0" u="none" strike="noStrike" kern="1200" baseline="0">
                <a:solidFill>
                  <a:sysClr val="windowText" lastClr="000000"/>
                </a:solidFill>
                <a:latin typeface="Times New Roman" pitchFamily="18" charset="0"/>
                <a:ea typeface="+mn-ea"/>
                <a:cs typeface="Times New Roman" pitchFamily="18" charset="0"/>
              </a:rPr>
              <a:t>Реальные располагаемые денежные доходы населения, в % к предыдущему году</a:t>
            </a:r>
          </a:p>
        </c:rich>
      </c:tx>
      <c:layout>
        <c:manualLayout>
          <c:xMode val="edge"/>
          <c:yMode val="edge"/>
          <c:x val="0.11958949592514338"/>
          <c:y val="3.4188034188034191E-2"/>
        </c:manualLayout>
      </c:layout>
      <c:overlay val="0"/>
      <c:spPr>
        <a:noFill/>
        <a:ln>
          <a:noFill/>
        </a:ln>
        <a:effectLst/>
      </c:spPr>
      <c:txPr>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itchFamily="18" charset="0"/>
              <a:ea typeface="+mn-ea"/>
              <a:cs typeface="Times New Roman" pitchFamily="18" charset="0"/>
            </a:defRPr>
          </a:pPr>
          <a:endParaRPr lang="ru-RU"/>
        </a:p>
      </c:txPr>
    </c:title>
    <c:autoTitleDeleted val="0"/>
    <c:plotArea>
      <c:layout>
        <c:manualLayout>
          <c:layoutTarget val="inner"/>
          <c:xMode val="edge"/>
          <c:yMode val="edge"/>
          <c:x val="4.2418437508169905E-2"/>
          <c:y val="0.4126935415124392"/>
          <c:w val="0.82461075552999274"/>
          <c:h val="0.42963366758642352"/>
        </c:manualLayout>
      </c:layout>
      <c:barChart>
        <c:barDir val="col"/>
        <c:grouping val="clustered"/>
        <c:varyColors val="0"/>
        <c:ser>
          <c:idx val="0"/>
          <c:order val="0"/>
          <c:spPr>
            <a:gradFill flip="none" rotWithShape="1">
              <a:gsLst>
                <a:gs pos="62000">
                  <a:srgbClr val="70A1CD"/>
                </a:gs>
                <a:gs pos="0">
                  <a:schemeClr val="accent1">
                    <a:lumMod val="5000"/>
                    <a:lumOff val="95000"/>
                  </a:schemeClr>
                </a:gs>
                <a:gs pos="100000">
                  <a:schemeClr val="accent1">
                    <a:lumMod val="75000"/>
                  </a:schemeClr>
                </a:gs>
              </a:gsLst>
              <a:lin ang="5400000" scaled="1"/>
              <a:tileRect/>
            </a:gradFill>
            <a:ln>
              <a:solidFill>
                <a:schemeClr val="accent5">
                  <a:lumMod val="60000"/>
                  <a:lumOff val="40000"/>
                </a:schemeClr>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Лист2!$A$2:$A$4</c:f>
              <c:strCache>
                <c:ptCount val="3"/>
                <c:pt idx="0">
                  <c:v>Отчет 2022 год</c:v>
                </c:pt>
                <c:pt idx="1">
                  <c:v>Отчет 2023 год</c:v>
                </c:pt>
                <c:pt idx="2">
                  <c:v>Факт 2024 год</c:v>
                </c:pt>
              </c:strCache>
            </c:strRef>
          </c:cat>
          <c:val>
            <c:numRef>
              <c:f>Лист2!$B$2:$B$4</c:f>
              <c:numCache>
                <c:formatCode>0.00</c:formatCode>
                <c:ptCount val="3"/>
                <c:pt idx="0">
                  <c:v>98</c:v>
                </c:pt>
                <c:pt idx="1">
                  <c:v>99.8</c:v>
                </c:pt>
                <c:pt idx="2">
                  <c:v>108.3</c:v>
                </c:pt>
              </c:numCache>
            </c:numRef>
          </c:val>
          <c:extLst xmlns:c16r2="http://schemas.microsoft.com/office/drawing/2015/06/chart">
            <c:ext xmlns:c16="http://schemas.microsoft.com/office/drawing/2014/chart" uri="{C3380CC4-5D6E-409C-BE32-E72D297353CC}">
              <c16:uniqueId val="{00000000-F40F-4E00-A98E-23DC297B2776}"/>
            </c:ext>
          </c:extLst>
        </c:ser>
        <c:dLbls>
          <c:showLegendKey val="0"/>
          <c:showVal val="0"/>
          <c:showCatName val="0"/>
          <c:showSerName val="0"/>
          <c:showPercent val="0"/>
          <c:showBubbleSize val="0"/>
        </c:dLbls>
        <c:gapWidth val="39"/>
        <c:overlap val="2"/>
        <c:axId val="174409512"/>
        <c:axId val="174413824"/>
      </c:barChart>
      <c:catAx>
        <c:axId val="174409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4413824"/>
        <c:crosses val="autoZero"/>
        <c:auto val="1"/>
        <c:lblAlgn val="ctr"/>
        <c:lblOffset val="100"/>
        <c:noMultiLvlLbl val="0"/>
      </c:catAx>
      <c:valAx>
        <c:axId val="174413824"/>
        <c:scaling>
          <c:orientation val="minMax"/>
        </c:scaling>
        <c:delete val="1"/>
        <c:axPos val="l"/>
        <c:numFmt formatCode="0.00" sourceLinked="1"/>
        <c:majorTickMark val="none"/>
        <c:minorTickMark val="none"/>
        <c:tickLblPos val="nextTo"/>
        <c:crossAx val="17440951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itchFamily="18" charset="0"/>
                <a:ea typeface="+mn-ea"/>
                <a:cs typeface="Times New Roman" pitchFamily="18" charset="0"/>
              </a:defRPr>
            </a:pPr>
            <a:r>
              <a:rPr lang="ru-RU" sz="1100" b="1" i="0" u="none" strike="noStrike" kern="1200" baseline="0">
                <a:solidFill>
                  <a:sysClr val="windowText" lastClr="000000"/>
                </a:solidFill>
                <a:latin typeface="Times New Roman" pitchFamily="18" charset="0"/>
                <a:ea typeface="+mn-ea"/>
                <a:cs typeface="Times New Roman" pitchFamily="18" charset="0"/>
              </a:rPr>
              <a:t>Величина прожиточного минимума (в среднем на душу населения) в месяц, рублей</a:t>
            </a:r>
          </a:p>
        </c:rich>
      </c:tx>
      <c:layout>
        <c:manualLayout>
          <c:xMode val="edge"/>
          <c:yMode val="edge"/>
          <c:x val="7.3991553524945186E-2"/>
          <c:y val="3.3755274261603373E-2"/>
        </c:manualLayout>
      </c:layout>
      <c:overlay val="0"/>
      <c:spPr>
        <a:noFill/>
        <a:ln>
          <a:noFill/>
        </a:ln>
        <a:effectLst/>
      </c:spPr>
    </c:title>
    <c:autoTitleDeleted val="0"/>
    <c:plotArea>
      <c:layout>
        <c:manualLayout>
          <c:layoutTarget val="inner"/>
          <c:xMode val="edge"/>
          <c:yMode val="edge"/>
          <c:x val="2.7434842249657063E-2"/>
          <c:y val="0.38419508318432305"/>
          <c:w val="0.74390892496462646"/>
          <c:h val="0.45186435360918531"/>
        </c:manualLayout>
      </c:layout>
      <c:barChart>
        <c:barDir val="col"/>
        <c:grouping val="clustered"/>
        <c:varyColors val="0"/>
        <c:ser>
          <c:idx val="0"/>
          <c:order val="0"/>
          <c:spPr>
            <a:gradFill flip="none" rotWithShape="1">
              <a:gsLst>
                <a:gs pos="0">
                  <a:srgbClr val="309C97"/>
                </a:gs>
                <a:gs pos="100000">
                  <a:sysClr val="window" lastClr="FFFFFF">
                    <a:lumMod val="95000"/>
                  </a:sysClr>
                </a:gs>
              </a:gsLst>
              <a:lin ang="16200000" scaled="1"/>
              <a:tileRect/>
            </a:gradFill>
            <a:ln>
              <a:solidFill>
                <a:srgbClr val="98E0E8"/>
              </a:solidFill>
            </a:ln>
            <a:effectLst/>
            <a:scene3d>
              <a:camera prst="orthographicFront"/>
              <a:lightRig rig="threePt" dir="t"/>
            </a:scene3d>
            <a:sp3d prstMaterial="matte">
              <a:bevelT w="0" h="0"/>
              <a:bevelB w="247650" h="146050" prst="softRound"/>
            </a:sp3d>
          </c:spPr>
          <c:invertIfNegative val="0"/>
          <c:dLbls>
            <c:dLbl>
              <c:idx val="2"/>
              <c:layout>
                <c:manualLayout>
                  <c:x val="1.4783508549651646E-2"/>
                  <c:y val="0.29095723004357865"/>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90C1-40E5-ABD8-FEB9C41E370F}"/>
                </c:ext>
                <c:ext xmlns:c15="http://schemas.microsoft.com/office/drawing/2012/chart" uri="{CE6537A1-D6FC-4f65-9D91-7224C49458BB}">
                  <c15:layout>
                    <c:manualLayout>
                      <c:w val="0.27085620470280714"/>
                      <c:h val="0.12584338350111299"/>
                    </c:manualLayout>
                  </c15:layout>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Лист2!$F$2:$F$4</c:f>
              <c:strCache>
                <c:ptCount val="3"/>
                <c:pt idx="0">
                  <c:v>Отчет 2022 год</c:v>
                </c:pt>
                <c:pt idx="1">
                  <c:v>Отчет 2023 год</c:v>
                </c:pt>
                <c:pt idx="2">
                  <c:v>Факт 2024 год</c:v>
                </c:pt>
              </c:strCache>
            </c:strRef>
          </c:cat>
          <c:val>
            <c:numRef>
              <c:f>Лист2!$G$2:$G$4</c:f>
              <c:numCache>
                <c:formatCode>0.00</c:formatCode>
                <c:ptCount val="3"/>
                <c:pt idx="0">
                  <c:v>16564</c:v>
                </c:pt>
                <c:pt idx="1">
                  <c:v>17106</c:v>
                </c:pt>
                <c:pt idx="2">
                  <c:v>18389</c:v>
                </c:pt>
              </c:numCache>
            </c:numRef>
          </c:val>
          <c:extLst xmlns:c16r2="http://schemas.microsoft.com/office/drawing/2015/06/chart">
            <c:ext xmlns:c16="http://schemas.microsoft.com/office/drawing/2014/chart" uri="{C3380CC4-5D6E-409C-BE32-E72D297353CC}">
              <c16:uniqueId val="{00000000-90C1-40E5-ABD8-FEB9C41E370F}"/>
            </c:ext>
          </c:extLst>
        </c:ser>
        <c:dLbls>
          <c:showLegendKey val="0"/>
          <c:showVal val="0"/>
          <c:showCatName val="0"/>
          <c:showSerName val="0"/>
          <c:showPercent val="0"/>
          <c:showBubbleSize val="0"/>
        </c:dLbls>
        <c:gapWidth val="22"/>
        <c:axId val="174408728"/>
        <c:axId val="174411080"/>
      </c:barChart>
      <c:lineChart>
        <c:grouping val="standard"/>
        <c:varyColors val="0"/>
        <c:ser>
          <c:idx val="1"/>
          <c:order val="1"/>
          <c:spPr>
            <a:ln w="28575" cap="rnd">
              <a:noFill/>
              <a:round/>
            </a:ln>
            <a:effectLst/>
          </c:spPr>
          <c:marker>
            <c:symbol val="circle"/>
            <c:size val="5"/>
            <c:spPr>
              <a:noFill/>
              <a:ln w="9525">
                <a:noFill/>
              </a:ln>
              <a:effectLst/>
            </c:spPr>
          </c:marker>
          <c:dLbls>
            <c:dLbl>
              <c:idx val="1"/>
              <c:layout>
                <c:manualLayout>
                  <c:x val="-0.15626842940928681"/>
                  <c:y val="-0.4347214193162563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90C1-40E5-ABD8-FEB9C41E370F}"/>
                </c:ext>
                <c:ext xmlns:c15="http://schemas.microsoft.com/office/drawing/2012/chart" uri="{CE6537A1-D6FC-4f65-9D91-7224C49458BB}">
                  <c15:layout/>
                </c:ext>
              </c:extLst>
            </c:dLbl>
            <c:dLbl>
              <c:idx val="2"/>
              <c:layout>
                <c:manualLayout>
                  <c:x val="-0.14258643595476492"/>
                  <c:y val="-0.4326356357354065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90C1-40E5-ABD8-FEB9C41E370F}"/>
                </c:ext>
                <c:ext xmlns:c15="http://schemas.microsoft.com/office/drawing/2012/chart" uri="{CE6537A1-D6FC-4f65-9D91-7224C49458BB}">
                  <c15:layout>
                    <c:manualLayout>
                      <c:w val="0.28384279475982532"/>
                      <c:h val="0.12584329349269588"/>
                    </c:manualLayout>
                  </c15:layout>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Лист2!$F$2:$F$4</c:f>
              <c:strCache>
                <c:ptCount val="3"/>
                <c:pt idx="0">
                  <c:v>Отчет 2022 год</c:v>
                </c:pt>
                <c:pt idx="1">
                  <c:v>Отчет 2023 год</c:v>
                </c:pt>
                <c:pt idx="2">
                  <c:v>Факт 2024 год</c:v>
                </c:pt>
              </c:strCache>
            </c:strRef>
          </c:cat>
          <c:val>
            <c:numRef>
              <c:f>Лист2!$H$2:$H$4</c:f>
              <c:numCache>
                <c:formatCode>0.00</c:formatCode>
                <c:ptCount val="3"/>
                <c:pt idx="1">
                  <c:v>542</c:v>
                </c:pt>
                <c:pt idx="2">
                  <c:v>1283</c:v>
                </c:pt>
              </c:numCache>
            </c:numRef>
          </c:val>
          <c:smooth val="0"/>
          <c:extLst xmlns:c16r2="http://schemas.microsoft.com/office/drawing/2015/06/chart">
            <c:ext xmlns:c16="http://schemas.microsoft.com/office/drawing/2014/chart" uri="{C3380CC4-5D6E-409C-BE32-E72D297353CC}">
              <c16:uniqueId val="{00000003-90C1-40E5-ABD8-FEB9C41E370F}"/>
            </c:ext>
          </c:extLst>
        </c:ser>
        <c:dLbls>
          <c:showLegendKey val="0"/>
          <c:showVal val="0"/>
          <c:showCatName val="0"/>
          <c:showSerName val="0"/>
          <c:showPercent val="0"/>
          <c:showBubbleSize val="0"/>
        </c:dLbls>
        <c:marker val="1"/>
        <c:smooth val="0"/>
        <c:axId val="174414608"/>
        <c:axId val="174409120"/>
      </c:lineChart>
      <c:catAx>
        <c:axId val="174408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4411080"/>
        <c:crosses val="autoZero"/>
        <c:auto val="1"/>
        <c:lblAlgn val="ctr"/>
        <c:lblOffset val="100"/>
        <c:noMultiLvlLbl val="0"/>
      </c:catAx>
      <c:valAx>
        <c:axId val="174411080"/>
        <c:scaling>
          <c:orientation val="minMax"/>
        </c:scaling>
        <c:delete val="1"/>
        <c:axPos val="l"/>
        <c:numFmt formatCode="0.00" sourceLinked="1"/>
        <c:majorTickMark val="none"/>
        <c:minorTickMark val="none"/>
        <c:tickLblPos val="nextTo"/>
        <c:crossAx val="174408728"/>
        <c:crosses val="autoZero"/>
        <c:crossBetween val="between"/>
      </c:valAx>
      <c:valAx>
        <c:axId val="174409120"/>
        <c:scaling>
          <c:orientation val="minMax"/>
        </c:scaling>
        <c:delete val="1"/>
        <c:axPos val="r"/>
        <c:numFmt formatCode="0.00" sourceLinked="1"/>
        <c:majorTickMark val="out"/>
        <c:minorTickMark val="none"/>
        <c:tickLblPos val="nextTo"/>
        <c:crossAx val="174414608"/>
        <c:crosses val="max"/>
        <c:crossBetween val="between"/>
      </c:valAx>
      <c:catAx>
        <c:axId val="174414608"/>
        <c:scaling>
          <c:orientation val="minMax"/>
        </c:scaling>
        <c:delete val="1"/>
        <c:axPos val="b"/>
        <c:numFmt formatCode="General" sourceLinked="1"/>
        <c:majorTickMark val="out"/>
        <c:minorTickMark val="none"/>
        <c:tickLblPos val="nextTo"/>
        <c:crossAx val="174409120"/>
        <c:crosses val="autoZero"/>
        <c:auto val="1"/>
        <c:lblAlgn val="ctr"/>
        <c:lblOffset val="100"/>
        <c:noMultiLvlLbl val="0"/>
      </c:catAx>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userShapes r:id="rId3"/>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itchFamily="18" charset="0"/>
                <a:ea typeface="+mn-ea"/>
                <a:cs typeface="Times New Roman" pitchFamily="18" charset="0"/>
              </a:defRPr>
            </a:pPr>
            <a:r>
              <a:rPr lang="ru-RU" sz="1100" b="1" i="0" u="none" strike="noStrike" kern="1200" baseline="0">
                <a:solidFill>
                  <a:sysClr val="windowText" lastClr="000000"/>
                </a:solidFill>
                <a:latin typeface="Times New Roman" pitchFamily="18" charset="0"/>
                <a:ea typeface="+mn-ea"/>
                <a:cs typeface="Times New Roman" pitchFamily="18" charset="0"/>
              </a:rPr>
              <a:t>Номинальная начисленная среднемесячная заработная плата работников организаций, тыс. рублей</a:t>
            </a:r>
          </a:p>
        </c:rich>
      </c:tx>
      <c:layout>
        <c:manualLayout>
          <c:xMode val="edge"/>
          <c:yMode val="edge"/>
          <c:x val="2.9760742717077727E-2"/>
          <c:y val="1.5278731184242996E-2"/>
        </c:manualLayout>
      </c:layout>
      <c:overlay val="0"/>
      <c:spPr>
        <a:noFill/>
        <a:ln>
          <a:noFill/>
        </a:ln>
        <a:effectLst/>
      </c:spPr>
    </c:title>
    <c:autoTitleDeleted val="0"/>
    <c:plotArea>
      <c:layout>
        <c:manualLayout>
          <c:layoutTarget val="inner"/>
          <c:xMode val="edge"/>
          <c:yMode val="edge"/>
          <c:x val="1.9422997226561253E-2"/>
          <c:y val="0.45605132691746864"/>
          <c:w val="0.78335214171103107"/>
          <c:h val="0.38357225706068176"/>
        </c:manualLayout>
      </c:layout>
      <c:barChart>
        <c:barDir val="col"/>
        <c:grouping val="clustered"/>
        <c:varyColors val="0"/>
        <c:ser>
          <c:idx val="0"/>
          <c:order val="0"/>
          <c:spPr>
            <a:gradFill flip="none" rotWithShape="1">
              <a:gsLst>
                <a:gs pos="63000">
                  <a:srgbClr val="83D8E3"/>
                </a:gs>
                <a:gs pos="0">
                  <a:srgbClr val="2CC4D8"/>
                </a:gs>
                <a:gs pos="100000">
                  <a:sysClr val="window" lastClr="FFFFFF">
                    <a:lumMod val="95000"/>
                  </a:sysClr>
                </a:gs>
              </a:gsLst>
              <a:lin ang="16200000" scaled="1"/>
              <a:tileRect/>
            </a:gradFill>
            <a:ln>
              <a:solidFill>
                <a:srgbClr val="98E0E8"/>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Лист2!$F$25:$F$27</c:f>
              <c:strCache>
                <c:ptCount val="3"/>
                <c:pt idx="0">
                  <c:v>Отчет 2022 год</c:v>
                </c:pt>
                <c:pt idx="1">
                  <c:v>Отчет 2023 год</c:v>
                </c:pt>
                <c:pt idx="2">
                  <c:v>Факт 2024 год</c:v>
                </c:pt>
              </c:strCache>
            </c:strRef>
          </c:cat>
          <c:val>
            <c:numRef>
              <c:f>Лист2!$G$25:$G$27</c:f>
              <c:numCache>
                <c:formatCode>0.00</c:formatCode>
                <c:ptCount val="3"/>
                <c:pt idx="0">
                  <c:v>63.59</c:v>
                </c:pt>
                <c:pt idx="1">
                  <c:v>73.959999999999994</c:v>
                </c:pt>
                <c:pt idx="2">
                  <c:v>84.91</c:v>
                </c:pt>
              </c:numCache>
            </c:numRef>
          </c:val>
          <c:extLst xmlns:c16r2="http://schemas.microsoft.com/office/drawing/2015/06/chart">
            <c:ext xmlns:c16="http://schemas.microsoft.com/office/drawing/2014/chart" uri="{C3380CC4-5D6E-409C-BE32-E72D297353CC}">
              <c16:uniqueId val="{00000000-05B4-4A9A-AF9D-7FA5D8029AB9}"/>
            </c:ext>
          </c:extLst>
        </c:ser>
        <c:dLbls>
          <c:showLegendKey val="0"/>
          <c:showVal val="0"/>
          <c:showCatName val="0"/>
          <c:showSerName val="0"/>
          <c:showPercent val="0"/>
          <c:showBubbleSize val="0"/>
        </c:dLbls>
        <c:gapWidth val="39"/>
        <c:axId val="174415000"/>
        <c:axId val="174412648"/>
      </c:barChart>
      <c:lineChart>
        <c:grouping val="standard"/>
        <c:varyColors val="0"/>
        <c:ser>
          <c:idx val="1"/>
          <c:order val="1"/>
          <c:spPr>
            <a:ln w="28575" cap="rnd">
              <a:noFill/>
              <a:round/>
            </a:ln>
            <a:effectLst/>
          </c:spPr>
          <c:marker>
            <c:symbol val="circle"/>
            <c:size val="5"/>
            <c:spPr>
              <a:noFill/>
              <a:ln w="9525">
                <a:noFill/>
              </a:ln>
              <a:effectLst/>
            </c:spPr>
          </c:marker>
          <c:dLbls>
            <c:dLbl>
              <c:idx val="1"/>
              <c:layout>
                <c:manualLayout>
                  <c:x val="-0.15834868819535214"/>
                  <c:y val="-0.333566637503645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5B4-4A9A-AF9D-7FA5D8029AB9}"/>
                </c:ext>
                <c:ext xmlns:c15="http://schemas.microsoft.com/office/drawing/2012/chart" uri="{CE6537A1-D6FC-4f65-9D91-7224C49458BB}">
                  <c15:layout/>
                </c:ext>
              </c:extLst>
            </c:dLbl>
            <c:dLbl>
              <c:idx val="2"/>
              <c:layout>
                <c:manualLayout>
                  <c:x val="-0.115482588967877"/>
                  <c:y val="-0.3471633353523118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05B4-4A9A-AF9D-7FA5D8029AB9}"/>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Лист2!$F$25:$F$27</c:f>
              <c:strCache>
                <c:ptCount val="3"/>
                <c:pt idx="0">
                  <c:v>Отчет 2022 год</c:v>
                </c:pt>
                <c:pt idx="1">
                  <c:v>Отчет 2023 год</c:v>
                </c:pt>
                <c:pt idx="2">
                  <c:v>Факт 2024 год</c:v>
                </c:pt>
              </c:strCache>
            </c:strRef>
          </c:cat>
          <c:val>
            <c:numRef>
              <c:f>Лист2!$H$25:$H$27</c:f>
              <c:numCache>
                <c:formatCode>0.00</c:formatCode>
                <c:ptCount val="3"/>
                <c:pt idx="1">
                  <c:v>10.36999999999999</c:v>
                </c:pt>
                <c:pt idx="2">
                  <c:v>10.950000000000003</c:v>
                </c:pt>
              </c:numCache>
            </c:numRef>
          </c:val>
          <c:smooth val="0"/>
          <c:extLst xmlns:c16r2="http://schemas.microsoft.com/office/drawing/2015/06/chart">
            <c:ext xmlns:c16="http://schemas.microsoft.com/office/drawing/2014/chart" uri="{C3380CC4-5D6E-409C-BE32-E72D297353CC}">
              <c16:uniqueId val="{00000003-05B4-4A9A-AF9D-7FA5D8029AB9}"/>
            </c:ext>
          </c:extLst>
        </c:ser>
        <c:dLbls>
          <c:showLegendKey val="0"/>
          <c:showVal val="0"/>
          <c:showCatName val="0"/>
          <c:showSerName val="0"/>
          <c:showPercent val="0"/>
          <c:showBubbleSize val="0"/>
        </c:dLbls>
        <c:marker val="1"/>
        <c:smooth val="0"/>
        <c:axId val="175343024"/>
        <c:axId val="173553496"/>
      </c:lineChart>
      <c:catAx>
        <c:axId val="174415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4412648"/>
        <c:crosses val="autoZero"/>
        <c:auto val="1"/>
        <c:lblAlgn val="ctr"/>
        <c:lblOffset val="100"/>
        <c:noMultiLvlLbl val="0"/>
      </c:catAx>
      <c:valAx>
        <c:axId val="174412648"/>
        <c:scaling>
          <c:orientation val="minMax"/>
        </c:scaling>
        <c:delete val="1"/>
        <c:axPos val="l"/>
        <c:numFmt formatCode="0.00" sourceLinked="1"/>
        <c:majorTickMark val="none"/>
        <c:minorTickMark val="none"/>
        <c:tickLblPos val="nextTo"/>
        <c:crossAx val="174415000"/>
        <c:crosses val="autoZero"/>
        <c:crossBetween val="between"/>
      </c:valAx>
      <c:valAx>
        <c:axId val="173553496"/>
        <c:scaling>
          <c:orientation val="minMax"/>
        </c:scaling>
        <c:delete val="1"/>
        <c:axPos val="r"/>
        <c:numFmt formatCode="0.00" sourceLinked="1"/>
        <c:majorTickMark val="out"/>
        <c:minorTickMark val="none"/>
        <c:tickLblPos val="nextTo"/>
        <c:crossAx val="175343024"/>
        <c:crosses val="max"/>
        <c:crossBetween val="between"/>
      </c:valAx>
      <c:catAx>
        <c:axId val="175343024"/>
        <c:scaling>
          <c:orientation val="minMax"/>
        </c:scaling>
        <c:delete val="1"/>
        <c:axPos val="b"/>
        <c:numFmt formatCode="General" sourceLinked="1"/>
        <c:majorTickMark val="out"/>
        <c:minorTickMark val="none"/>
        <c:tickLblPos val="nextTo"/>
        <c:crossAx val="173553496"/>
        <c:crosses val="autoZero"/>
        <c:auto val="1"/>
        <c:lblAlgn val="ctr"/>
        <c:lblOffset val="100"/>
        <c:noMultiLvlLbl val="0"/>
      </c:catAx>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userShapes r:id="rId3"/>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strRef>
          <c:f>Лист2!$F$52</c:f>
          <c:strCache>
            <c:ptCount val="1"/>
            <c:pt idx="0">
              <c:v>Номинальная начисленная среднемесячная заработная плата работников организаций, в % к предыдущему году</c:v>
            </c:pt>
          </c:strCache>
        </c:strRef>
      </c:tx>
      <c:layout>
        <c:manualLayout>
          <c:xMode val="edge"/>
          <c:yMode val="edge"/>
          <c:x val="4.8452380952380955E-2"/>
          <c:y val="2.9411764705882353E-2"/>
        </c:manualLayout>
      </c:layout>
      <c:overlay val="0"/>
      <c:spPr>
        <a:noFill/>
        <a:ln>
          <a:noFill/>
        </a:ln>
        <a:effectLst/>
      </c:spPr>
      <c:txPr>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itchFamily="18" charset="0"/>
              <a:ea typeface="+mn-ea"/>
              <a:cs typeface="Times New Roman" pitchFamily="18" charset="0"/>
            </a:defRPr>
          </a:pPr>
          <a:endParaRPr lang="ru-RU"/>
        </a:p>
      </c:txPr>
    </c:title>
    <c:autoTitleDeleted val="0"/>
    <c:plotArea>
      <c:layout>
        <c:manualLayout>
          <c:layoutTarget val="inner"/>
          <c:xMode val="edge"/>
          <c:yMode val="edge"/>
          <c:x val="6.8549233765134193E-2"/>
          <c:y val="0.46450517214759918"/>
          <c:w val="0.67360299720599448"/>
          <c:h val="0.36313416705264784"/>
        </c:manualLayout>
      </c:layout>
      <c:barChart>
        <c:barDir val="col"/>
        <c:grouping val="clustered"/>
        <c:varyColors val="0"/>
        <c:ser>
          <c:idx val="0"/>
          <c:order val="0"/>
          <c:spPr>
            <a:gradFill flip="none" rotWithShape="1">
              <a:gsLst>
                <a:gs pos="100000">
                  <a:srgbClr val="99618E"/>
                </a:gs>
                <a:gs pos="0">
                  <a:srgbClr val="4F81BD">
                    <a:lumMod val="5000"/>
                    <a:lumOff val="95000"/>
                  </a:srgbClr>
                </a:gs>
                <a:gs pos="100000">
                  <a:srgbClr val="4F81BD">
                    <a:lumMod val="75000"/>
                  </a:srgbClr>
                </a:gs>
              </a:gsLst>
              <a:lin ang="5400000" scaled="1"/>
              <a:tileRect/>
            </a:gradFill>
            <a:ln>
              <a:solidFill>
                <a:srgbClr val="99618E"/>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Лист2!$F$53:$F$55</c:f>
              <c:strCache>
                <c:ptCount val="3"/>
                <c:pt idx="0">
                  <c:v>Отчет 2022 год</c:v>
                </c:pt>
                <c:pt idx="1">
                  <c:v>Отчет 2023 год</c:v>
                </c:pt>
                <c:pt idx="2">
                  <c:v>Факт 2024 год</c:v>
                </c:pt>
              </c:strCache>
            </c:strRef>
          </c:cat>
          <c:val>
            <c:numRef>
              <c:f>Лист2!$G$53:$G$55</c:f>
              <c:numCache>
                <c:formatCode>0.0</c:formatCode>
                <c:ptCount val="3"/>
                <c:pt idx="0">
                  <c:v>114.3</c:v>
                </c:pt>
                <c:pt idx="1">
                  <c:v>116.3</c:v>
                </c:pt>
                <c:pt idx="2">
                  <c:v>117.6</c:v>
                </c:pt>
              </c:numCache>
            </c:numRef>
          </c:val>
          <c:extLst xmlns:c16r2="http://schemas.microsoft.com/office/drawing/2015/06/chart">
            <c:ext xmlns:c16="http://schemas.microsoft.com/office/drawing/2014/chart" uri="{C3380CC4-5D6E-409C-BE32-E72D297353CC}">
              <c16:uniqueId val="{00000000-81D8-40CD-B289-43F3E15EAE65}"/>
            </c:ext>
          </c:extLst>
        </c:ser>
        <c:dLbls>
          <c:showLegendKey val="0"/>
          <c:showVal val="0"/>
          <c:showCatName val="0"/>
          <c:showSerName val="0"/>
          <c:showPercent val="0"/>
          <c:showBubbleSize val="0"/>
        </c:dLbls>
        <c:gapWidth val="39"/>
        <c:overlap val="2"/>
        <c:axId val="175341064"/>
        <c:axId val="175343416"/>
      </c:barChart>
      <c:catAx>
        <c:axId val="175341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5343416"/>
        <c:crosses val="autoZero"/>
        <c:auto val="1"/>
        <c:lblAlgn val="ctr"/>
        <c:lblOffset val="100"/>
        <c:noMultiLvlLbl val="0"/>
      </c:catAx>
      <c:valAx>
        <c:axId val="175343416"/>
        <c:scaling>
          <c:orientation val="minMax"/>
        </c:scaling>
        <c:delete val="1"/>
        <c:axPos val="l"/>
        <c:numFmt formatCode="#,##0.0" sourceLinked="0"/>
        <c:majorTickMark val="out"/>
        <c:minorTickMark val="none"/>
        <c:tickLblPos val="nextTo"/>
        <c:crossAx val="1753410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itchFamily="18" charset="0"/>
                <a:ea typeface="+mn-ea"/>
                <a:cs typeface="Times New Roman" pitchFamily="18" charset="0"/>
              </a:defRPr>
            </a:pPr>
            <a:r>
              <a:rPr lang="ru-RU" sz="1100" b="1" i="0" u="none" strike="noStrike" kern="1200" baseline="0">
                <a:solidFill>
                  <a:sysClr val="windowText" lastClr="000000"/>
                </a:solidFill>
                <a:latin typeface="Times New Roman" pitchFamily="18" charset="0"/>
                <a:ea typeface="+mn-ea"/>
                <a:cs typeface="Times New Roman" pitchFamily="18" charset="0"/>
              </a:rPr>
              <a:t>Численность занятых в экономике, тыс. человек</a:t>
            </a:r>
          </a:p>
        </c:rich>
      </c:tx>
      <c:layout/>
      <c:overlay val="0"/>
      <c:spPr>
        <a:noFill/>
        <a:ln>
          <a:noFill/>
        </a:ln>
        <a:effectLst/>
      </c:spPr>
    </c:title>
    <c:autoTitleDeleted val="0"/>
    <c:plotArea>
      <c:layout>
        <c:manualLayout>
          <c:layoutTarget val="inner"/>
          <c:xMode val="edge"/>
          <c:yMode val="edge"/>
          <c:x val="4.7932728788048412E-2"/>
          <c:y val="0.33326917137063383"/>
          <c:w val="0.94189548581308857"/>
          <c:h val="0.46906483193296117"/>
        </c:manualLayout>
      </c:layout>
      <c:barChart>
        <c:barDir val="col"/>
        <c:grouping val="clustered"/>
        <c:varyColors val="0"/>
        <c:ser>
          <c:idx val="0"/>
          <c:order val="0"/>
          <c:spPr>
            <a:gradFill flip="none" rotWithShape="1">
              <a:gsLst>
                <a:gs pos="0">
                  <a:srgbClr val="62625E"/>
                </a:gs>
                <a:gs pos="100000">
                  <a:sysClr val="window" lastClr="FFFFFF">
                    <a:lumMod val="95000"/>
                  </a:sysClr>
                </a:gs>
              </a:gsLst>
              <a:lin ang="16200000" scaled="1"/>
              <a:tileRect/>
            </a:gradFill>
            <a:ln>
              <a:solidFill>
                <a:sysClr val="window" lastClr="FFFFFF">
                  <a:lumMod val="65000"/>
                </a:sysClr>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Лист2!$A$46:$A$48</c:f>
              <c:strCache>
                <c:ptCount val="3"/>
                <c:pt idx="0">
                  <c:v>Отчет 2022 год</c:v>
                </c:pt>
                <c:pt idx="1">
                  <c:v>Отчет 2023 год</c:v>
                </c:pt>
                <c:pt idx="2">
                  <c:v>Факт 2024 год</c:v>
                </c:pt>
              </c:strCache>
            </c:strRef>
          </c:cat>
          <c:val>
            <c:numRef>
              <c:f>Лист2!$B$46:$B$48</c:f>
              <c:numCache>
                <c:formatCode>0.0</c:formatCode>
                <c:ptCount val="3"/>
                <c:pt idx="0">
                  <c:v>928.3</c:v>
                </c:pt>
                <c:pt idx="1">
                  <c:v>936.2</c:v>
                </c:pt>
                <c:pt idx="2">
                  <c:v>980.8</c:v>
                </c:pt>
              </c:numCache>
            </c:numRef>
          </c:val>
          <c:extLst xmlns:c16r2="http://schemas.microsoft.com/office/drawing/2015/06/chart">
            <c:ext xmlns:c16="http://schemas.microsoft.com/office/drawing/2014/chart" uri="{C3380CC4-5D6E-409C-BE32-E72D297353CC}">
              <c16:uniqueId val="{00000000-DB19-4C0F-A57F-6A0B4527C7F3}"/>
            </c:ext>
          </c:extLst>
        </c:ser>
        <c:dLbls>
          <c:showLegendKey val="0"/>
          <c:showVal val="0"/>
          <c:showCatName val="0"/>
          <c:showSerName val="0"/>
          <c:showPercent val="0"/>
          <c:showBubbleSize val="0"/>
        </c:dLbls>
        <c:gapWidth val="39"/>
        <c:axId val="175339104"/>
        <c:axId val="175343808"/>
      </c:barChart>
      <c:lineChart>
        <c:grouping val="standard"/>
        <c:varyColors val="0"/>
        <c:ser>
          <c:idx val="1"/>
          <c:order val="1"/>
          <c:spPr>
            <a:ln w="28575" cap="rnd">
              <a:noFill/>
              <a:round/>
            </a:ln>
            <a:effectLst/>
          </c:spPr>
          <c:marker>
            <c:symbol val="circle"/>
            <c:size val="5"/>
            <c:spPr>
              <a:noFill/>
              <a:ln w="9525">
                <a:noFill/>
              </a:ln>
              <a:effectLst/>
            </c:spPr>
          </c:marker>
          <c:dLbls>
            <c:dLbl>
              <c:idx val="1"/>
              <c:layout>
                <c:manualLayout>
                  <c:x val="-0.23928549215708225"/>
                  <c:y val="-0.44351188264627811"/>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B19-4C0F-A57F-6A0B4527C7F3}"/>
                </c:ext>
                <c:ext xmlns:c15="http://schemas.microsoft.com/office/drawing/2012/chart" uri="{CE6537A1-D6FC-4f65-9D91-7224C49458BB}">
                  <c15:layout>
                    <c:manualLayout>
                      <c:w val="0.1614359816397358"/>
                      <c:h val="0.10522752465407843"/>
                    </c:manualLayout>
                  </c15:layout>
                </c:ext>
              </c:extLst>
            </c:dLbl>
            <c:dLbl>
              <c:idx val="2"/>
              <c:layout>
                <c:manualLayout>
                  <c:x val="-0.20824967969051261"/>
                  <c:y val="-0.4431607078108982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DB19-4C0F-A57F-6A0B4527C7F3}"/>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Лист2!$A$46:$A$48</c:f>
              <c:strCache>
                <c:ptCount val="3"/>
                <c:pt idx="0">
                  <c:v>Отчет 2022 год</c:v>
                </c:pt>
                <c:pt idx="1">
                  <c:v>Отчет 2023 год</c:v>
                </c:pt>
                <c:pt idx="2">
                  <c:v>Факт 2024 год</c:v>
                </c:pt>
              </c:strCache>
            </c:strRef>
          </c:cat>
          <c:val>
            <c:numRef>
              <c:f>Лист2!$C$46:$C$48</c:f>
              <c:numCache>
                <c:formatCode>0.00</c:formatCode>
                <c:ptCount val="3"/>
                <c:pt idx="1">
                  <c:v>7.9000000000000909</c:v>
                </c:pt>
                <c:pt idx="2">
                  <c:v>44.599999999999909</c:v>
                </c:pt>
              </c:numCache>
            </c:numRef>
          </c:val>
          <c:smooth val="0"/>
          <c:extLst xmlns:c16r2="http://schemas.microsoft.com/office/drawing/2015/06/chart">
            <c:ext xmlns:c16="http://schemas.microsoft.com/office/drawing/2014/chart" uri="{C3380CC4-5D6E-409C-BE32-E72D297353CC}">
              <c16:uniqueId val="{00000003-DB19-4C0F-A57F-6A0B4527C7F3}"/>
            </c:ext>
          </c:extLst>
        </c:ser>
        <c:dLbls>
          <c:showLegendKey val="0"/>
          <c:showVal val="0"/>
          <c:showCatName val="0"/>
          <c:showSerName val="0"/>
          <c:showPercent val="0"/>
          <c:showBubbleSize val="0"/>
        </c:dLbls>
        <c:marker val="1"/>
        <c:smooth val="0"/>
        <c:axId val="175337536"/>
        <c:axId val="175341848"/>
      </c:lineChart>
      <c:catAx>
        <c:axId val="17533910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5343808"/>
        <c:crosses val="autoZero"/>
        <c:auto val="1"/>
        <c:lblAlgn val="ctr"/>
        <c:lblOffset val="100"/>
        <c:noMultiLvlLbl val="0"/>
      </c:catAx>
      <c:valAx>
        <c:axId val="175343808"/>
        <c:scaling>
          <c:orientation val="minMax"/>
        </c:scaling>
        <c:delete val="1"/>
        <c:axPos val="l"/>
        <c:numFmt formatCode="0.0" sourceLinked="1"/>
        <c:majorTickMark val="out"/>
        <c:minorTickMark val="none"/>
        <c:tickLblPos val="nextTo"/>
        <c:crossAx val="175339104"/>
        <c:crosses val="autoZero"/>
        <c:crossBetween val="between"/>
      </c:valAx>
      <c:valAx>
        <c:axId val="175341848"/>
        <c:scaling>
          <c:orientation val="minMax"/>
        </c:scaling>
        <c:delete val="1"/>
        <c:axPos val="r"/>
        <c:numFmt formatCode="0.00" sourceLinked="1"/>
        <c:majorTickMark val="out"/>
        <c:minorTickMark val="none"/>
        <c:tickLblPos val="nextTo"/>
        <c:crossAx val="175337536"/>
        <c:crosses val="max"/>
        <c:crossBetween val="between"/>
      </c:valAx>
      <c:catAx>
        <c:axId val="175337536"/>
        <c:scaling>
          <c:orientation val="minMax"/>
        </c:scaling>
        <c:delete val="1"/>
        <c:axPos val="t"/>
        <c:numFmt formatCode="General" sourceLinked="1"/>
        <c:majorTickMark val="out"/>
        <c:minorTickMark val="none"/>
        <c:tickLblPos val="nextTo"/>
        <c:crossAx val="175341848"/>
        <c:crosses val="max"/>
        <c:auto val="1"/>
        <c:lblAlgn val="ctr"/>
        <c:lblOffset val="100"/>
        <c:noMultiLvlLbl val="0"/>
      </c:catAx>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userShapes r:id="rId3"/>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itchFamily="18" charset="0"/>
                <a:ea typeface="+mn-ea"/>
                <a:cs typeface="Times New Roman" pitchFamily="18" charset="0"/>
              </a:defRPr>
            </a:pPr>
            <a:r>
              <a:rPr lang="ru-RU" sz="1100" b="1" i="0" u="none" strike="noStrike" kern="1200" baseline="0">
                <a:solidFill>
                  <a:sysClr val="windowText" lastClr="000000"/>
                </a:solidFill>
                <a:latin typeface="Times New Roman" pitchFamily="18" charset="0"/>
                <a:ea typeface="+mn-ea"/>
                <a:cs typeface="Times New Roman" pitchFamily="18" charset="0"/>
              </a:rPr>
              <a:t>Численность безработных (по методологии МОТ) (тыс. человек)</a:t>
            </a:r>
          </a:p>
        </c:rich>
      </c:tx>
      <c:layout/>
      <c:overlay val="0"/>
      <c:spPr>
        <a:noFill/>
        <a:ln>
          <a:noFill/>
        </a:ln>
        <a:effectLst/>
      </c:spPr>
    </c:title>
    <c:autoTitleDeleted val="0"/>
    <c:plotArea>
      <c:layout>
        <c:manualLayout>
          <c:layoutTarget val="inner"/>
          <c:xMode val="edge"/>
          <c:yMode val="edge"/>
          <c:x val="4.6413502109704644E-2"/>
          <c:y val="0.49300685515576376"/>
          <c:w val="0.88185654008438819"/>
          <c:h val="0.49018904282534315"/>
        </c:manualLayout>
      </c:layout>
      <c:barChart>
        <c:barDir val="col"/>
        <c:grouping val="clustered"/>
        <c:varyColors val="0"/>
        <c:ser>
          <c:idx val="0"/>
          <c:order val="0"/>
          <c:spPr>
            <a:gradFill flip="none" rotWithShape="1">
              <a:gsLst>
                <a:gs pos="47000">
                  <a:srgbClr val="7085C7"/>
                </a:gs>
                <a:gs pos="100000">
                  <a:sysClr val="window" lastClr="FFFFFF">
                    <a:lumMod val="95000"/>
                  </a:sysClr>
                </a:gs>
              </a:gsLst>
              <a:lin ang="16200000" scaled="1"/>
              <a:tileRect/>
            </a:gradFill>
            <a:ln>
              <a:solidFill>
                <a:srgbClr val="7085C7"/>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Лист3!$F$3:$F$5</c:f>
              <c:strCache>
                <c:ptCount val="3"/>
                <c:pt idx="0">
                  <c:v>Отчет 2022 год</c:v>
                </c:pt>
                <c:pt idx="1">
                  <c:v>Отчет 2023 год</c:v>
                </c:pt>
                <c:pt idx="2">
                  <c:v>Факт 2024 год</c:v>
                </c:pt>
              </c:strCache>
            </c:strRef>
          </c:cat>
          <c:val>
            <c:numRef>
              <c:f>Лист3!$G$3:$G$5</c:f>
              <c:numCache>
                <c:formatCode>0.00</c:formatCode>
                <c:ptCount val="3"/>
                <c:pt idx="0">
                  <c:v>33.5</c:v>
                </c:pt>
                <c:pt idx="1">
                  <c:v>25.3</c:v>
                </c:pt>
                <c:pt idx="2">
                  <c:v>22.5</c:v>
                </c:pt>
              </c:numCache>
            </c:numRef>
          </c:val>
          <c:extLst xmlns:c16r2="http://schemas.microsoft.com/office/drawing/2015/06/chart">
            <c:ext xmlns:c16="http://schemas.microsoft.com/office/drawing/2014/chart" uri="{C3380CC4-5D6E-409C-BE32-E72D297353CC}">
              <c16:uniqueId val="{00000000-C0C5-47CB-9D46-FC902EE4C4AB}"/>
            </c:ext>
          </c:extLst>
        </c:ser>
        <c:dLbls>
          <c:showLegendKey val="0"/>
          <c:showVal val="0"/>
          <c:showCatName val="0"/>
          <c:showSerName val="0"/>
          <c:showPercent val="0"/>
          <c:showBubbleSize val="0"/>
        </c:dLbls>
        <c:gapWidth val="39"/>
        <c:axId val="175340280"/>
        <c:axId val="175342632"/>
      </c:barChart>
      <c:lineChart>
        <c:grouping val="standard"/>
        <c:varyColors val="0"/>
        <c:ser>
          <c:idx val="1"/>
          <c:order val="1"/>
          <c:spPr>
            <a:ln w="28575" cap="rnd">
              <a:noFill/>
              <a:round/>
            </a:ln>
            <a:effectLst/>
          </c:spPr>
          <c:marker>
            <c:symbol val="circle"/>
            <c:size val="5"/>
            <c:spPr>
              <a:noFill/>
              <a:ln w="9525">
                <a:noFill/>
              </a:ln>
              <a:effectLst/>
            </c:spPr>
          </c:marker>
          <c:dLbls>
            <c:dLbl>
              <c:idx val="1"/>
              <c:layout>
                <c:manualLayout>
                  <c:x val="-0.18647098720563604"/>
                  <c:y val="-0.3941946693283057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0C5-47CB-9D46-FC902EE4C4AB}"/>
                </c:ext>
                <c:ext xmlns:c15="http://schemas.microsoft.com/office/drawing/2012/chart" uri="{CE6537A1-D6FC-4f65-9D91-7224C49458BB}">
                  <c15:layout/>
                </c:ext>
              </c:extLst>
            </c:dLbl>
            <c:dLbl>
              <c:idx val="2"/>
              <c:layout>
                <c:manualLayout>
                  <c:x val="-0.14989704706176935"/>
                  <c:y val="-0.3121574063805404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C0C5-47CB-9D46-FC902EE4C4AB}"/>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Лист3!$F$3:$F$5</c:f>
              <c:strCache>
                <c:ptCount val="3"/>
                <c:pt idx="0">
                  <c:v>Отчет 2022 год</c:v>
                </c:pt>
                <c:pt idx="1">
                  <c:v>Отчет 2023 год</c:v>
                </c:pt>
                <c:pt idx="2">
                  <c:v>Факт 2024 год</c:v>
                </c:pt>
              </c:strCache>
            </c:strRef>
          </c:cat>
          <c:val>
            <c:numRef>
              <c:f>Лист3!$H$3:$H$5</c:f>
              <c:numCache>
                <c:formatCode>0.00</c:formatCode>
                <c:ptCount val="3"/>
                <c:pt idx="1">
                  <c:v>-8.1999999999999993</c:v>
                </c:pt>
                <c:pt idx="2">
                  <c:v>-2.8000000000000007</c:v>
                </c:pt>
              </c:numCache>
            </c:numRef>
          </c:val>
          <c:smooth val="0"/>
          <c:extLst xmlns:c16r2="http://schemas.microsoft.com/office/drawing/2015/06/chart">
            <c:ext xmlns:c16="http://schemas.microsoft.com/office/drawing/2014/chart" uri="{C3380CC4-5D6E-409C-BE32-E72D297353CC}">
              <c16:uniqueId val="{00000003-C0C5-47CB-9D46-FC902EE4C4AB}"/>
            </c:ext>
          </c:extLst>
        </c:ser>
        <c:dLbls>
          <c:showLegendKey val="0"/>
          <c:showVal val="0"/>
          <c:showCatName val="0"/>
          <c:showSerName val="0"/>
          <c:showPercent val="0"/>
          <c:showBubbleSize val="0"/>
        </c:dLbls>
        <c:marker val="1"/>
        <c:smooth val="0"/>
        <c:axId val="175344200"/>
        <c:axId val="175344984"/>
      </c:lineChart>
      <c:catAx>
        <c:axId val="175340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5342632"/>
        <c:crosses val="autoZero"/>
        <c:auto val="1"/>
        <c:lblAlgn val="ctr"/>
        <c:lblOffset val="100"/>
        <c:noMultiLvlLbl val="0"/>
      </c:catAx>
      <c:valAx>
        <c:axId val="175342632"/>
        <c:scaling>
          <c:orientation val="minMax"/>
        </c:scaling>
        <c:delete val="1"/>
        <c:axPos val="l"/>
        <c:numFmt formatCode="0.00" sourceLinked="1"/>
        <c:majorTickMark val="none"/>
        <c:minorTickMark val="none"/>
        <c:tickLblPos val="nextTo"/>
        <c:crossAx val="175340280"/>
        <c:crosses val="autoZero"/>
        <c:crossBetween val="between"/>
      </c:valAx>
      <c:valAx>
        <c:axId val="175344984"/>
        <c:scaling>
          <c:orientation val="minMax"/>
        </c:scaling>
        <c:delete val="1"/>
        <c:axPos val="r"/>
        <c:numFmt formatCode="0.00" sourceLinked="1"/>
        <c:majorTickMark val="out"/>
        <c:minorTickMark val="none"/>
        <c:tickLblPos val="nextTo"/>
        <c:crossAx val="175344200"/>
        <c:crosses val="max"/>
        <c:crossBetween val="between"/>
      </c:valAx>
      <c:catAx>
        <c:axId val="175344200"/>
        <c:scaling>
          <c:orientation val="minMax"/>
        </c:scaling>
        <c:delete val="1"/>
        <c:axPos val="b"/>
        <c:numFmt formatCode="General" sourceLinked="1"/>
        <c:majorTickMark val="out"/>
        <c:minorTickMark val="none"/>
        <c:tickLblPos val="nextTo"/>
        <c:crossAx val="175344984"/>
        <c:crosses val="autoZero"/>
        <c:auto val="1"/>
        <c:lblAlgn val="ctr"/>
        <c:lblOffset val="100"/>
        <c:noMultiLvlLbl val="0"/>
      </c:catAx>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ru-RU" sz="1100" b="1">
                <a:solidFill>
                  <a:sysClr val="windowText" lastClr="000000"/>
                </a:solidFill>
                <a:latin typeface="Times New Roman" panose="02020603050405020304" pitchFamily="18" charset="0"/>
                <a:cs typeface="Times New Roman" panose="02020603050405020304" pitchFamily="18" charset="0"/>
              </a:rPr>
              <a:t>Индекс промышленного производства, в % к предыдущему году</a:t>
            </a:r>
          </a:p>
        </c:rich>
      </c:tx>
      <c:layout>
        <c:manualLayout>
          <c:xMode val="edge"/>
          <c:yMode val="edge"/>
          <c:x val="0.13084529505582138"/>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ru-RU"/>
        </a:p>
      </c:txPr>
    </c:title>
    <c:autoTitleDeleted val="0"/>
    <c:plotArea>
      <c:layout>
        <c:manualLayout>
          <c:layoutTarget val="inner"/>
          <c:xMode val="edge"/>
          <c:yMode val="edge"/>
          <c:x val="3.9430948790975598E-2"/>
          <c:y val="0.36308900984692349"/>
          <c:w val="0.92542525269447706"/>
          <c:h val="0.46829827899029403"/>
        </c:manualLayout>
      </c:layout>
      <c:barChart>
        <c:barDir val="col"/>
        <c:grouping val="clustered"/>
        <c:varyColors val="0"/>
        <c:ser>
          <c:idx val="0"/>
          <c:order val="0"/>
          <c:spPr>
            <a:gradFill flip="none" rotWithShape="1">
              <a:gsLst>
                <a:gs pos="62000">
                  <a:srgbClr val="70A1CD"/>
                </a:gs>
                <a:gs pos="0">
                  <a:schemeClr val="accent1">
                    <a:lumMod val="5000"/>
                    <a:lumOff val="95000"/>
                  </a:schemeClr>
                </a:gs>
                <a:gs pos="100000">
                  <a:schemeClr val="accent1">
                    <a:lumMod val="75000"/>
                  </a:schemeClr>
                </a:gs>
              </a:gsLst>
              <a:lin ang="5400000" scaled="1"/>
              <a:tileRect/>
            </a:gradFill>
            <a:ln>
              <a:solidFill>
                <a:schemeClr val="accent5">
                  <a:lumMod val="60000"/>
                  <a:lumOff val="40000"/>
                </a:schemeClr>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Лист1!$E$34:$E$36</c:f>
              <c:strCache>
                <c:ptCount val="3"/>
                <c:pt idx="0">
                  <c:v>Отчет 2022 год</c:v>
                </c:pt>
                <c:pt idx="1">
                  <c:v>Отчет  2023 год</c:v>
                </c:pt>
                <c:pt idx="2">
                  <c:v>Факт 2024 год</c:v>
                </c:pt>
              </c:strCache>
            </c:strRef>
          </c:cat>
          <c:val>
            <c:numRef>
              <c:f>Лист1!$F$34:$F$36</c:f>
              <c:numCache>
                <c:formatCode>0.00</c:formatCode>
                <c:ptCount val="3"/>
                <c:pt idx="0">
                  <c:v>99.8</c:v>
                </c:pt>
                <c:pt idx="1">
                  <c:v>98.8</c:v>
                </c:pt>
                <c:pt idx="2">
                  <c:v>103</c:v>
                </c:pt>
              </c:numCache>
            </c:numRef>
          </c:val>
          <c:extLst xmlns:c16r2="http://schemas.microsoft.com/office/drawing/2015/06/chart">
            <c:ext xmlns:c16="http://schemas.microsoft.com/office/drawing/2014/chart" uri="{C3380CC4-5D6E-409C-BE32-E72D297353CC}">
              <c16:uniqueId val="{00000000-84DF-4349-8CB0-5701C7408C78}"/>
            </c:ext>
          </c:extLst>
        </c:ser>
        <c:dLbls>
          <c:showLegendKey val="0"/>
          <c:showVal val="0"/>
          <c:showCatName val="0"/>
          <c:showSerName val="0"/>
          <c:showPercent val="0"/>
          <c:showBubbleSize val="0"/>
        </c:dLbls>
        <c:gapWidth val="39"/>
        <c:overlap val="-11"/>
        <c:axId val="169091840"/>
        <c:axId val="169086744"/>
      </c:barChart>
      <c:catAx>
        <c:axId val="169091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69086744"/>
        <c:crosses val="autoZero"/>
        <c:auto val="1"/>
        <c:lblAlgn val="ctr"/>
        <c:lblOffset val="100"/>
        <c:noMultiLvlLbl val="0"/>
      </c:catAx>
      <c:valAx>
        <c:axId val="169086744"/>
        <c:scaling>
          <c:orientation val="minMax"/>
        </c:scaling>
        <c:delete val="1"/>
        <c:axPos val="l"/>
        <c:numFmt formatCode="0.00" sourceLinked="1"/>
        <c:majorTickMark val="none"/>
        <c:minorTickMark val="none"/>
        <c:tickLblPos val="nextTo"/>
        <c:crossAx val="1690918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itchFamily="18" charset="0"/>
                <a:ea typeface="+mn-ea"/>
                <a:cs typeface="Times New Roman" pitchFamily="18" charset="0"/>
              </a:defRPr>
            </a:pPr>
            <a:r>
              <a:rPr lang="ru-RU" sz="1100" b="1" i="0" u="none" strike="noStrike" kern="1200" baseline="0">
                <a:solidFill>
                  <a:sysClr val="windowText" lastClr="000000"/>
                </a:solidFill>
                <a:latin typeface="Times New Roman" pitchFamily="18" charset="0"/>
                <a:ea typeface="+mn-ea"/>
                <a:cs typeface="Times New Roman" pitchFamily="18" charset="0"/>
              </a:rPr>
              <a:t>Численность безаработных, зарегистрированных в службах занятости населения на конец года (тыс. человек)</a:t>
            </a:r>
          </a:p>
        </c:rich>
      </c:tx>
      <c:layout/>
      <c:overlay val="0"/>
      <c:spPr>
        <a:noFill/>
        <a:ln>
          <a:noFill/>
        </a:ln>
        <a:effectLst/>
      </c:spPr>
    </c:title>
    <c:autoTitleDeleted val="0"/>
    <c:plotArea>
      <c:layout>
        <c:manualLayout>
          <c:layoutTarget val="inner"/>
          <c:xMode val="edge"/>
          <c:yMode val="edge"/>
          <c:x val="4.6413502109704644E-2"/>
          <c:y val="0.38419495315894503"/>
          <c:w val="0.81806084048106431"/>
          <c:h val="0.61580514208389714"/>
        </c:manualLayout>
      </c:layout>
      <c:barChart>
        <c:barDir val="col"/>
        <c:grouping val="clustered"/>
        <c:varyColors val="0"/>
        <c:ser>
          <c:idx val="0"/>
          <c:order val="0"/>
          <c:spPr>
            <a:gradFill flip="none" rotWithShape="1">
              <a:gsLst>
                <a:gs pos="47000">
                  <a:srgbClr val="8BB3A1"/>
                </a:gs>
                <a:gs pos="100000">
                  <a:sysClr val="window" lastClr="FFFFFF">
                    <a:lumMod val="95000"/>
                  </a:sysClr>
                </a:gs>
              </a:gsLst>
              <a:lin ang="16200000" scaled="1"/>
              <a:tileRect/>
            </a:gradFill>
            <a:ln>
              <a:solidFill>
                <a:srgbClr val="8BB3A1"/>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Лист3!$J$3:$J$5</c:f>
              <c:strCache>
                <c:ptCount val="3"/>
                <c:pt idx="0">
                  <c:v>Отчет 2022 год</c:v>
                </c:pt>
                <c:pt idx="1">
                  <c:v>Отчет 2023 год</c:v>
                </c:pt>
                <c:pt idx="2">
                  <c:v>Факт 2024 год</c:v>
                </c:pt>
              </c:strCache>
            </c:strRef>
          </c:cat>
          <c:val>
            <c:numRef>
              <c:f>Лист3!$K$3:$K$5</c:f>
              <c:numCache>
                <c:formatCode>0.00</c:formatCode>
                <c:ptCount val="3"/>
                <c:pt idx="0">
                  <c:v>7</c:v>
                </c:pt>
                <c:pt idx="1">
                  <c:v>5.4</c:v>
                </c:pt>
                <c:pt idx="2">
                  <c:v>4</c:v>
                </c:pt>
              </c:numCache>
            </c:numRef>
          </c:val>
          <c:extLst xmlns:c16r2="http://schemas.microsoft.com/office/drawing/2015/06/chart">
            <c:ext xmlns:c16="http://schemas.microsoft.com/office/drawing/2014/chart" uri="{C3380CC4-5D6E-409C-BE32-E72D297353CC}">
              <c16:uniqueId val="{00000000-8481-45FD-B551-BBF4EBF70446}"/>
            </c:ext>
          </c:extLst>
        </c:ser>
        <c:dLbls>
          <c:showLegendKey val="0"/>
          <c:showVal val="0"/>
          <c:showCatName val="0"/>
          <c:showSerName val="0"/>
          <c:showPercent val="0"/>
          <c:showBubbleSize val="0"/>
        </c:dLbls>
        <c:gapWidth val="39"/>
        <c:axId val="175338712"/>
        <c:axId val="202197808"/>
      </c:barChart>
      <c:lineChart>
        <c:grouping val="standard"/>
        <c:varyColors val="0"/>
        <c:ser>
          <c:idx val="1"/>
          <c:order val="1"/>
          <c:spPr>
            <a:ln w="28575" cap="rnd">
              <a:noFill/>
              <a:round/>
            </a:ln>
            <a:effectLst/>
          </c:spPr>
          <c:marker>
            <c:symbol val="circle"/>
            <c:size val="5"/>
            <c:spPr>
              <a:noFill/>
              <a:ln w="9525">
                <a:noFill/>
              </a:ln>
              <a:effectLst/>
            </c:spPr>
          </c:marker>
          <c:dLbls>
            <c:dLbl>
              <c:idx val="1"/>
              <c:layout>
                <c:manualLayout>
                  <c:x val="-0.12229129253580144"/>
                  <c:y val="-0.4248544657511478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8481-45FD-B551-BBF4EBF70446}"/>
                </c:ext>
                <c:ext xmlns:c15="http://schemas.microsoft.com/office/drawing/2012/chart" uri="{CE6537A1-D6FC-4f65-9D91-7224C49458BB}">
                  <c15:layout/>
                </c:ext>
              </c:extLst>
            </c:dLbl>
            <c:dLbl>
              <c:idx val="2"/>
              <c:layout>
                <c:manualLayout>
                  <c:x val="-9.3617484417318653E-2"/>
                  <c:y val="-0.3867205451561299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8481-45FD-B551-BBF4EBF70446}"/>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Лист3!$J$3:$J$5</c:f>
              <c:strCache>
                <c:ptCount val="3"/>
                <c:pt idx="0">
                  <c:v>Отчет 2022 год</c:v>
                </c:pt>
                <c:pt idx="1">
                  <c:v>Отчет 2023 год</c:v>
                </c:pt>
                <c:pt idx="2">
                  <c:v>Факт 2024 год</c:v>
                </c:pt>
              </c:strCache>
            </c:strRef>
          </c:cat>
          <c:val>
            <c:numRef>
              <c:f>Лист3!$L$3:$L$5</c:f>
              <c:numCache>
                <c:formatCode>0.00</c:formatCode>
                <c:ptCount val="3"/>
                <c:pt idx="1">
                  <c:v>-1.5999999999999996</c:v>
                </c:pt>
                <c:pt idx="2">
                  <c:v>-1.4000000000000004</c:v>
                </c:pt>
              </c:numCache>
            </c:numRef>
          </c:val>
          <c:smooth val="0"/>
          <c:extLst xmlns:c16r2="http://schemas.microsoft.com/office/drawing/2015/06/chart">
            <c:ext xmlns:c16="http://schemas.microsoft.com/office/drawing/2014/chart" uri="{C3380CC4-5D6E-409C-BE32-E72D297353CC}">
              <c16:uniqueId val="{00000003-8481-45FD-B551-BBF4EBF70446}"/>
            </c:ext>
          </c:extLst>
        </c:ser>
        <c:dLbls>
          <c:showLegendKey val="0"/>
          <c:showVal val="0"/>
          <c:showCatName val="0"/>
          <c:showSerName val="0"/>
          <c:showPercent val="0"/>
          <c:showBubbleSize val="0"/>
        </c:dLbls>
        <c:marker val="1"/>
        <c:smooth val="0"/>
        <c:axId val="202197024"/>
        <c:axId val="202199376"/>
      </c:lineChart>
      <c:catAx>
        <c:axId val="175338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02197808"/>
        <c:crosses val="autoZero"/>
        <c:auto val="1"/>
        <c:lblAlgn val="ctr"/>
        <c:lblOffset val="100"/>
        <c:noMultiLvlLbl val="0"/>
      </c:catAx>
      <c:valAx>
        <c:axId val="202197808"/>
        <c:scaling>
          <c:orientation val="minMax"/>
        </c:scaling>
        <c:delete val="1"/>
        <c:axPos val="l"/>
        <c:numFmt formatCode="0.00" sourceLinked="1"/>
        <c:majorTickMark val="none"/>
        <c:minorTickMark val="none"/>
        <c:tickLblPos val="nextTo"/>
        <c:crossAx val="175338712"/>
        <c:crosses val="autoZero"/>
        <c:crossBetween val="between"/>
      </c:valAx>
      <c:valAx>
        <c:axId val="202199376"/>
        <c:scaling>
          <c:orientation val="minMax"/>
        </c:scaling>
        <c:delete val="1"/>
        <c:axPos val="r"/>
        <c:numFmt formatCode="0.00" sourceLinked="1"/>
        <c:majorTickMark val="out"/>
        <c:minorTickMark val="none"/>
        <c:tickLblPos val="nextTo"/>
        <c:crossAx val="202197024"/>
        <c:crosses val="max"/>
        <c:crossBetween val="between"/>
      </c:valAx>
      <c:catAx>
        <c:axId val="202197024"/>
        <c:scaling>
          <c:orientation val="minMax"/>
        </c:scaling>
        <c:delete val="1"/>
        <c:axPos val="b"/>
        <c:numFmt formatCode="General" sourceLinked="1"/>
        <c:majorTickMark val="out"/>
        <c:minorTickMark val="none"/>
        <c:tickLblPos val="nextTo"/>
        <c:crossAx val="202199376"/>
        <c:crosses val="autoZero"/>
        <c:auto val="1"/>
        <c:lblAlgn val="ctr"/>
        <c:lblOffset val="100"/>
        <c:noMultiLvlLbl val="0"/>
      </c:catAx>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userShapes r:id="rId3"/>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strRef>
          <c:f>Лист3!$N$2</c:f>
          <c:strCache>
            <c:ptCount val="1"/>
            <c:pt idx="0">
              <c:v>Уровень зарегистрированной безработицы на конец года (в % к экономически активному населению)</c:v>
            </c:pt>
          </c:strCache>
        </c:strRef>
      </c:tx>
      <c:layout/>
      <c:overlay val="0"/>
      <c:spPr>
        <a:noFill/>
        <a:ln>
          <a:noFill/>
        </a:ln>
        <a:effectLst/>
      </c:spPr>
      <c:txPr>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itchFamily="18" charset="0"/>
              <a:ea typeface="+mn-ea"/>
              <a:cs typeface="Times New Roman" pitchFamily="18" charset="0"/>
            </a:defRPr>
          </a:pPr>
          <a:endParaRPr lang="ru-RU"/>
        </a:p>
      </c:txPr>
    </c:title>
    <c:autoTitleDeleted val="0"/>
    <c:plotArea>
      <c:layout>
        <c:manualLayout>
          <c:layoutTarget val="inner"/>
          <c:xMode val="edge"/>
          <c:yMode val="edge"/>
          <c:x val="6.8493150684931503E-2"/>
          <c:y val="0.5167661691542289"/>
          <c:w val="0.86301369863013699"/>
          <c:h val="0.32765959339828282"/>
        </c:manualLayout>
      </c:layout>
      <c:barChart>
        <c:barDir val="col"/>
        <c:grouping val="clustered"/>
        <c:varyColors val="0"/>
        <c:ser>
          <c:idx val="0"/>
          <c:order val="0"/>
          <c:spPr>
            <a:gradFill flip="none" rotWithShape="1">
              <a:gsLst>
                <a:gs pos="100000">
                  <a:srgbClr val="2A7286"/>
                </a:gs>
                <a:gs pos="0">
                  <a:srgbClr val="4F81BD">
                    <a:lumMod val="5000"/>
                    <a:lumOff val="95000"/>
                  </a:srgbClr>
                </a:gs>
                <a:gs pos="60000">
                  <a:srgbClr val="10A1B0"/>
                </a:gs>
              </a:gsLst>
              <a:lin ang="5400000" scaled="1"/>
              <a:tileRect/>
            </a:gradFill>
            <a:ln>
              <a:solidFill>
                <a:srgbClr val="2A7286"/>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Лист3!$N$3:$N$5</c:f>
              <c:strCache>
                <c:ptCount val="3"/>
                <c:pt idx="0">
                  <c:v>Отчет 2022 год</c:v>
                </c:pt>
                <c:pt idx="1">
                  <c:v>Отчет 2023 год</c:v>
                </c:pt>
                <c:pt idx="2">
                  <c:v>Факт 2024 год</c:v>
                </c:pt>
              </c:strCache>
            </c:strRef>
          </c:cat>
          <c:val>
            <c:numRef>
              <c:f>Лист3!$O$3:$O$5</c:f>
              <c:numCache>
                <c:formatCode>0.00</c:formatCode>
                <c:ptCount val="3"/>
                <c:pt idx="0">
                  <c:v>0.7</c:v>
                </c:pt>
                <c:pt idx="1">
                  <c:v>0.7</c:v>
                </c:pt>
                <c:pt idx="2">
                  <c:v>0.4</c:v>
                </c:pt>
              </c:numCache>
            </c:numRef>
          </c:val>
          <c:extLst xmlns:c16r2="http://schemas.microsoft.com/office/drawing/2015/06/chart">
            <c:ext xmlns:c16="http://schemas.microsoft.com/office/drawing/2014/chart" uri="{C3380CC4-5D6E-409C-BE32-E72D297353CC}">
              <c16:uniqueId val="{00000000-AD63-4FB1-AB7C-2E28FC091660}"/>
            </c:ext>
          </c:extLst>
        </c:ser>
        <c:dLbls>
          <c:showLegendKey val="0"/>
          <c:showVal val="0"/>
          <c:showCatName val="0"/>
          <c:showSerName val="0"/>
          <c:showPercent val="0"/>
          <c:showBubbleSize val="0"/>
        </c:dLbls>
        <c:gapWidth val="39"/>
        <c:overlap val="2"/>
        <c:axId val="202195064"/>
        <c:axId val="202198200"/>
      </c:barChart>
      <c:catAx>
        <c:axId val="202195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02198200"/>
        <c:crosses val="autoZero"/>
        <c:auto val="1"/>
        <c:lblAlgn val="ctr"/>
        <c:lblOffset val="100"/>
        <c:noMultiLvlLbl val="0"/>
      </c:catAx>
      <c:valAx>
        <c:axId val="202198200"/>
        <c:scaling>
          <c:orientation val="minMax"/>
        </c:scaling>
        <c:delete val="1"/>
        <c:axPos val="l"/>
        <c:numFmt formatCode="0.00" sourceLinked="1"/>
        <c:majorTickMark val="none"/>
        <c:minorTickMark val="none"/>
        <c:tickLblPos val="nextTo"/>
        <c:crossAx val="2021950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strRef>
          <c:f>Лист3!$F$28</c:f>
          <c:strCache>
            <c:ptCount val="1"/>
            <c:pt idx="0">
              <c:v>Реальные доходы населения, в % предыдущему году</c:v>
            </c:pt>
          </c:strCache>
        </c:strRef>
      </c:tx>
      <c:layout/>
      <c:overlay val="0"/>
      <c:spPr>
        <a:noFill/>
        <a:ln>
          <a:noFill/>
        </a:ln>
        <a:effectLst/>
      </c:spPr>
      <c:txPr>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itchFamily="18" charset="0"/>
              <a:ea typeface="+mn-ea"/>
              <a:cs typeface="Times New Roman" pitchFamily="18" charset="0"/>
            </a:defRPr>
          </a:pPr>
          <a:endParaRPr lang="ru-RU"/>
        </a:p>
      </c:txPr>
    </c:title>
    <c:autoTitleDeleted val="0"/>
    <c:plotArea>
      <c:layout>
        <c:manualLayout>
          <c:layoutTarget val="inner"/>
          <c:xMode val="edge"/>
          <c:yMode val="edge"/>
          <c:x val="2.9071999802841551E-2"/>
          <c:y val="0.38811775084131078"/>
          <c:w val="0.88979631067243359"/>
          <c:h val="0.43366593698609252"/>
        </c:manualLayout>
      </c:layout>
      <c:barChart>
        <c:barDir val="col"/>
        <c:grouping val="clustered"/>
        <c:varyColors val="0"/>
        <c:ser>
          <c:idx val="0"/>
          <c:order val="0"/>
          <c:spPr>
            <a:gradFill flip="none" rotWithShape="1">
              <a:gsLst>
                <a:gs pos="100000">
                  <a:srgbClr val="AE86C0">
                    <a:lumMod val="96000"/>
                  </a:srgbClr>
                </a:gs>
                <a:gs pos="0">
                  <a:srgbClr val="4F81BD">
                    <a:lumMod val="5000"/>
                    <a:lumOff val="95000"/>
                  </a:srgbClr>
                </a:gs>
                <a:gs pos="60000">
                  <a:srgbClr val="CEB5D9"/>
                </a:gs>
              </a:gsLst>
              <a:lin ang="5400000" scaled="1"/>
              <a:tileRect/>
            </a:gradFill>
            <a:ln>
              <a:solidFill>
                <a:srgbClr val="AE86C0"/>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Лист3!$F$29:$F$31</c:f>
              <c:strCache>
                <c:ptCount val="3"/>
                <c:pt idx="0">
                  <c:v>Отчет 2022 год</c:v>
                </c:pt>
                <c:pt idx="1">
                  <c:v>Отчет 2023 год</c:v>
                </c:pt>
                <c:pt idx="2">
                  <c:v>Факт 2024 год</c:v>
                </c:pt>
              </c:strCache>
            </c:strRef>
          </c:cat>
          <c:val>
            <c:numRef>
              <c:f>Лист3!$G$29:$G$31</c:f>
              <c:numCache>
                <c:formatCode>0.00</c:formatCode>
                <c:ptCount val="3"/>
                <c:pt idx="0">
                  <c:v>96.7</c:v>
                </c:pt>
                <c:pt idx="1">
                  <c:v>101.3</c:v>
                </c:pt>
                <c:pt idx="2">
                  <c:v>108.1</c:v>
                </c:pt>
              </c:numCache>
            </c:numRef>
          </c:val>
          <c:extLst xmlns:c16r2="http://schemas.microsoft.com/office/drawing/2015/06/chart">
            <c:ext xmlns:c16="http://schemas.microsoft.com/office/drawing/2014/chart" uri="{C3380CC4-5D6E-409C-BE32-E72D297353CC}">
              <c16:uniqueId val="{00000000-AE42-42CF-918A-8EA21A9E1BE0}"/>
            </c:ext>
          </c:extLst>
        </c:ser>
        <c:dLbls>
          <c:showLegendKey val="0"/>
          <c:showVal val="0"/>
          <c:showCatName val="0"/>
          <c:showSerName val="0"/>
          <c:showPercent val="0"/>
          <c:showBubbleSize val="0"/>
        </c:dLbls>
        <c:gapWidth val="39"/>
        <c:overlap val="2"/>
        <c:axId val="202198592"/>
        <c:axId val="202200160"/>
      </c:barChart>
      <c:catAx>
        <c:axId val="202198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02200160"/>
        <c:crosses val="autoZero"/>
        <c:auto val="1"/>
        <c:lblAlgn val="ctr"/>
        <c:lblOffset val="100"/>
        <c:noMultiLvlLbl val="0"/>
      </c:catAx>
      <c:valAx>
        <c:axId val="202200160"/>
        <c:scaling>
          <c:orientation val="minMax"/>
        </c:scaling>
        <c:delete val="1"/>
        <c:axPos val="l"/>
        <c:numFmt formatCode="0.00" sourceLinked="1"/>
        <c:majorTickMark val="none"/>
        <c:minorTickMark val="none"/>
        <c:tickLblPos val="nextTo"/>
        <c:crossAx val="202198592"/>
        <c:crosses val="autoZero"/>
        <c:crossBetween val="between"/>
      </c:valAx>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'ден доходы'!$A$1</c:f>
          <c:strCache>
            <c:ptCount val="1"/>
            <c:pt idx="0">
              <c:v>Динамика среднемесячных доходов населения в Приморском крае, тыс. рублей</c:v>
            </c:pt>
          </c:strCache>
        </c:strRef>
      </c:tx>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2.7777777777777776E-2"/>
          <c:y val="0.1648148148148148"/>
          <c:w val="0.93888888888888888"/>
          <c:h val="0.58503463108778064"/>
        </c:manualLayout>
      </c:layout>
      <c:barChart>
        <c:barDir val="col"/>
        <c:grouping val="clustered"/>
        <c:varyColors val="0"/>
        <c:ser>
          <c:idx val="0"/>
          <c:order val="0"/>
          <c:tx>
            <c:strRef>
              <c:f>'ден доходы'!$A$3</c:f>
              <c:strCache>
                <c:ptCount val="1"/>
                <c:pt idx="0">
                  <c:v>Среднедушевые денежные доходы населения в месяц</c:v>
                </c:pt>
              </c:strCache>
            </c:strRef>
          </c:tx>
          <c:spPr>
            <a:gradFill flip="none" rotWithShape="1">
              <a:gsLst>
                <a:gs pos="0">
                  <a:srgbClr val="0F9EAD">
                    <a:shade val="30000"/>
                    <a:satMod val="115000"/>
                  </a:srgbClr>
                </a:gs>
                <a:gs pos="50000">
                  <a:srgbClr val="0F9EAD">
                    <a:shade val="67500"/>
                    <a:satMod val="115000"/>
                  </a:srgbClr>
                </a:gs>
                <a:gs pos="100000">
                  <a:srgbClr val="0F9EAD">
                    <a:shade val="100000"/>
                    <a:satMod val="115000"/>
                  </a:srgbClr>
                </a:gs>
              </a:gsLst>
              <a:lin ang="16200000" scaled="1"/>
              <a:tileRect/>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'ден доходы'!$B$2:$F$2</c:f>
              <c:strCache>
                <c:ptCount val="5"/>
                <c:pt idx="0">
                  <c:v>2020 год</c:v>
                </c:pt>
                <c:pt idx="1">
                  <c:v>2021 год</c:v>
                </c:pt>
                <c:pt idx="2">
                  <c:v>2022 год</c:v>
                </c:pt>
                <c:pt idx="3">
                  <c:v>2023 год</c:v>
                </c:pt>
                <c:pt idx="4">
                  <c:v>2024 год</c:v>
                </c:pt>
              </c:strCache>
            </c:strRef>
          </c:cat>
          <c:val>
            <c:numRef>
              <c:f>'ден доходы'!$B$3:$F$3</c:f>
              <c:numCache>
                <c:formatCode>0.00</c:formatCode>
                <c:ptCount val="5"/>
                <c:pt idx="0">
                  <c:v>37.348999999999997</c:v>
                </c:pt>
                <c:pt idx="1">
                  <c:v>40.843000000000004</c:v>
                </c:pt>
                <c:pt idx="2">
                  <c:v>44.652999999999999</c:v>
                </c:pt>
                <c:pt idx="3">
                  <c:v>51.76</c:v>
                </c:pt>
                <c:pt idx="4">
                  <c:v>64.86</c:v>
                </c:pt>
              </c:numCache>
            </c:numRef>
          </c:val>
          <c:extLst xmlns:c16r2="http://schemas.microsoft.com/office/drawing/2015/06/chart">
            <c:ext xmlns:c16="http://schemas.microsoft.com/office/drawing/2014/chart" uri="{C3380CC4-5D6E-409C-BE32-E72D297353CC}">
              <c16:uniqueId val="{00000000-7D46-4EFE-B4C4-E5A38D39C789}"/>
            </c:ext>
          </c:extLst>
        </c:ser>
        <c:ser>
          <c:idx val="1"/>
          <c:order val="1"/>
          <c:tx>
            <c:strRef>
              <c:f>'ден доходы'!$A$4</c:f>
              <c:strCache>
                <c:ptCount val="1"/>
                <c:pt idx="0">
                  <c:v>Среднемесячная заработная плата работников организаций</c:v>
                </c:pt>
              </c:strCache>
            </c:strRef>
          </c:tx>
          <c:spPr>
            <a:solidFill>
              <a:srgbClr val="94DAE8"/>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'ден доходы'!$B$2:$F$2</c:f>
              <c:strCache>
                <c:ptCount val="5"/>
                <c:pt idx="0">
                  <c:v>2020 год</c:v>
                </c:pt>
                <c:pt idx="1">
                  <c:v>2021 год</c:v>
                </c:pt>
                <c:pt idx="2">
                  <c:v>2022 год</c:v>
                </c:pt>
                <c:pt idx="3">
                  <c:v>2023 год</c:v>
                </c:pt>
                <c:pt idx="4">
                  <c:v>2024 год</c:v>
                </c:pt>
              </c:strCache>
            </c:strRef>
          </c:cat>
          <c:val>
            <c:numRef>
              <c:f>'ден доходы'!$B$4:$F$4</c:f>
              <c:numCache>
                <c:formatCode>0.00</c:formatCode>
                <c:ptCount val="5"/>
                <c:pt idx="0">
                  <c:v>50.104999999999997</c:v>
                </c:pt>
                <c:pt idx="1">
                  <c:v>55.61</c:v>
                </c:pt>
                <c:pt idx="2">
                  <c:v>63.59</c:v>
                </c:pt>
                <c:pt idx="3">
                  <c:v>73.959999999999994</c:v>
                </c:pt>
                <c:pt idx="4">
                  <c:v>84.91</c:v>
                </c:pt>
              </c:numCache>
            </c:numRef>
          </c:val>
          <c:extLst xmlns:c16r2="http://schemas.microsoft.com/office/drawing/2015/06/chart">
            <c:ext xmlns:c16="http://schemas.microsoft.com/office/drawing/2014/chart" uri="{C3380CC4-5D6E-409C-BE32-E72D297353CC}">
              <c16:uniqueId val="{00000001-7D46-4EFE-B4C4-E5A38D39C789}"/>
            </c:ext>
          </c:extLst>
        </c:ser>
        <c:dLbls>
          <c:showLegendKey val="0"/>
          <c:showVal val="0"/>
          <c:showCatName val="0"/>
          <c:showSerName val="0"/>
          <c:showPercent val="0"/>
          <c:showBubbleSize val="0"/>
        </c:dLbls>
        <c:gapWidth val="64"/>
        <c:axId val="202200552"/>
        <c:axId val="202200944"/>
      </c:barChart>
      <c:catAx>
        <c:axId val="202200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2200944"/>
        <c:crosses val="autoZero"/>
        <c:auto val="1"/>
        <c:lblAlgn val="ctr"/>
        <c:lblOffset val="100"/>
        <c:noMultiLvlLbl val="0"/>
      </c:catAx>
      <c:valAx>
        <c:axId val="202200944"/>
        <c:scaling>
          <c:orientation val="minMax"/>
        </c:scaling>
        <c:delete val="1"/>
        <c:axPos val="l"/>
        <c:numFmt formatCode="0.00" sourceLinked="1"/>
        <c:majorTickMark val="none"/>
        <c:minorTickMark val="none"/>
        <c:tickLblPos val="nextTo"/>
        <c:crossAx val="20220055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'ден доходы'!$A$23</c:f>
          <c:strCache>
            <c:ptCount val="1"/>
            <c:pt idx="0">
              <c:v>Динамика доходов населения, % к предыдущему году</c:v>
            </c:pt>
          </c:strCache>
        </c:strRef>
      </c:tx>
      <c:layout>
        <c:manualLayout>
          <c:xMode val="edge"/>
          <c:yMode val="edge"/>
          <c:x val="0.14661435424020272"/>
          <c:y val="3.1812485008871572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7.0914260717410318E-2"/>
          <c:y val="0.18333348157503848"/>
          <c:w val="0.89019685039370078"/>
          <c:h val="0.44938648293963257"/>
        </c:manualLayout>
      </c:layout>
      <c:lineChart>
        <c:grouping val="standard"/>
        <c:varyColors val="0"/>
        <c:ser>
          <c:idx val="0"/>
          <c:order val="0"/>
          <c:tx>
            <c:strRef>
              <c:f>'ден доходы'!$A$26</c:f>
              <c:strCache>
                <c:ptCount val="1"/>
                <c:pt idx="0">
                  <c:v>Реальные денежные доходы </c:v>
                </c:pt>
              </c:strCache>
            </c:strRef>
          </c:tx>
          <c:spPr>
            <a:ln w="28575" cap="rnd">
              <a:solidFill>
                <a:schemeClr val="accent1"/>
              </a:solidFill>
              <a:round/>
            </a:ln>
            <a:effectLst/>
          </c:spPr>
          <c:marker>
            <c:symbol val="triangle"/>
            <c:size val="7"/>
            <c:spPr>
              <a:solidFill>
                <a:schemeClr val="accent1"/>
              </a:solidFill>
              <a:ln w="9525">
                <a:solidFill>
                  <a:schemeClr val="accent1"/>
                </a:solidFill>
              </a:ln>
              <a:effectLst/>
            </c:spPr>
          </c:marker>
          <c:dLbls>
            <c:dLbl>
              <c:idx val="0"/>
              <c:layout>
                <c:manualLayout>
                  <c:x val="-0.05"/>
                  <c:y val="-6.051438177491064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135-40A6-A0D0-2DB210DD4710}"/>
                </c:ext>
                <c:ext xmlns:c15="http://schemas.microsoft.com/office/drawing/2012/chart" uri="{CE6537A1-D6FC-4f65-9D91-7224C49458BB}">
                  <c15:layout/>
                </c:ext>
              </c:extLst>
            </c:dLbl>
            <c:dLbl>
              <c:idx val="1"/>
              <c:layout>
                <c:manualLayout>
                  <c:x val="-5.2777777777777674E-2"/>
                  <c:y val="5.64800896565832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135-40A6-A0D0-2DB210DD4710}"/>
                </c:ext>
                <c:ext xmlns:c15="http://schemas.microsoft.com/office/drawing/2012/chart" uri="{CE6537A1-D6FC-4f65-9D91-7224C49458BB}">
                  <c15:layout/>
                </c:ext>
              </c:extLst>
            </c:dLbl>
            <c:dLbl>
              <c:idx val="2"/>
              <c:layout>
                <c:manualLayout>
                  <c:x val="-8.3333333333333232E-2"/>
                  <c:y val="2.824004482829170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F135-40A6-A0D0-2DB210DD4710}"/>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70C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'ден доходы'!$B$25:$F$25</c:f>
              <c:strCache>
                <c:ptCount val="5"/>
                <c:pt idx="0">
                  <c:v>2020 год</c:v>
                </c:pt>
                <c:pt idx="1">
                  <c:v>2021 год</c:v>
                </c:pt>
                <c:pt idx="2">
                  <c:v>2022 год</c:v>
                </c:pt>
                <c:pt idx="3">
                  <c:v>2023 год</c:v>
                </c:pt>
                <c:pt idx="4">
                  <c:v>2024 год</c:v>
                </c:pt>
              </c:strCache>
            </c:strRef>
          </c:cat>
          <c:val>
            <c:numRef>
              <c:f>'ден доходы'!$B$26:$F$26</c:f>
              <c:numCache>
                <c:formatCode>0.0</c:formatCode>
                <c:ptCount val="5"/>
                <c:pt idx="0">
                  <c:v>96.9</c:v>
                </c:pt>
                <c:pt idx="1">
                  <c:v>102.2</c:v>
                </c:pt>
                <c:pt idx="2">
                  <c:v>97.6</c:v>
                </c:pt>
                <c:pt idx="3">
                  <c:v>101.3</c:v>
                </c:pt>
                <c:pt idx="4">
                  <c:v>108.1</c:v>
                </c:pt>
              </c:numCache>
            </c:numRef>
          </c:val>
          <c:smooth val="0"/>
          <c:extLst xmlns:c16r2="http://schemas.microsoft.com/office/drawing/2015/06/chart">
            <c:ext xmlns:c16="http://schemas.microsoft.com/office/drawing/2014/chart" uri="{C3380CC4-5D6E-409C-BE32-E72D297353CC}">
              <c16:uniqueId val="{00000003-F135-40A6-A0D0-2DB210DD4710}"/>
            </c:ext>
          </c:extLst>
        </c:ser>
        <c:ser>
          <c:idx val="1"/>
          <c:order val="1"/>
          <c:tx>
            <c:strRef>
              <c:f>'ден доходы'!$A$27</c:f>
              <c:strCache>
                <c:ptCount val="1"/>
                <c:pt idx="0">
                  <c:v>Реальные распологаемые денежные доходы населения</c:v>
                </c:pt>
              </c:strCache>
            </c:strRef>
          </c:tx>
          <c:spPr>
            <a:ln w="28575" cap="rnd">
              <a:solidFill>
                <a:srgbClr val="D55349"/>
              </a:solidFill>
              <a:round/>
            </a:ln>
            <a:effectLst/>
          </c:spPr>
          <c:marker>
            <c:symbol val="diamond"/>
            <c:size val="7"/>
            <c:spPr>
              <a:solidFill>
                <a:srgbClr val="C00000"/>
              </a:solidFill>
              <a:ln w="9525">
                <a:solidFill>
                  <a:srgbClr val="C00000"/>
                </a:solidFill>
              </a:ln>
              <a:effectLst/>
            </c:spPr>
          </c:marker>
          <c:dLbls>
            <c:dLbl>
              <c:idx val="0"/>
              <c:layout>
                <c:manualLayout>
                  <c:x val="-5.4062554680664919E-2"/>
                  <c:y val="3.022701311176704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F135-40A6-A0D0-2DB210DD4710}"/>
                </c:ext>
                <c:ext xmlns:c15="http://schemas.microsoft.com/office/drawing/2012/chart" uri="{CE6537A1-D6FC-4f65-9D91-7224C49458BB}">
                  <c15:layout/>
                </c:ext>
              </c:extLst>
            </c:dLbl>
            <c:dLbl>
              <c:idx val="1"/>
              <c:layout>
                <c:manualLayout>
                  <c:x val="-0.12428477690288714"/>
                  <c:y val="1.812413675678491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F135-40A6-A0D0-2DB210DD4710}"/>
                </c:ext>
                <c:ext xmlns:c15="http://schemas.microsoft.com/office/drawing/2012/chart" uri="{CE6537A1-D6FC-4f65-9D91-7224C49458BB}">
                  <c15:layout/>
                </c:ext>
              </c:extLst>
            </c:dLbl>
            <c:dLbl>
              <c:idx val="2"/>
              <c:layout>
                <c:manualLayout>
                  <c:x val="-1.5173665791776028E-2"/>
                  <c:y val="-3.028736866314359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F135-40A6-A0D0-2DB210DD4710}"/>
                </c:ext>
                <c:ext xmlns:c15="http://schemas.microsoft.com/office/drawing/2012/chart" uri="{CE6537A1-D6FC-4f65-9D91-7224C49458BB}">
                  <c15:layout/>
                </c:ext>
              </c:extLst>
            </c:dLbl>
            <c:dLbl>
              <c:idx val="4"/>
              <c:layout>
                <c:manualLayout>
                  <c:x val="-8.8523549940872776E-3"/>
                  <c:y val="-5.982441119612923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F135-40A6-A0D0-2DB210DD4710}"/>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C00000"/>
                    </a:solidFill>
                    <a:latin typeface="Times New Roman" panose="02020603050405020304" pitchFamily="18" charset="0"/>
                    <a:ea typeface="+mn-ea"/>
                    <a:cs typeface="Times New Roman" panose="02020603050405020304" pitchFamily="18" charset="0"/>
                  </a:defRPr>
                </a:pPr>
                <a:endParaRPr lang="ru-RU"/>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'ден доходы'!$B$25:$F$25</c:f>
              <c:strCache>
                <c:ptCount val="5"/>
                <c:pt idx="0">
                  <c:v>2020 год</c:v>
                </c:pt>
                <c:pt idx="1">
                  <c:v>2021 год</c:v>
                </c:pt>
                <c:pt idx="2">
                  <c:v>2022 год</c:v>
                </c:pt>
                <c:pt idx="3">
                  <c:v>2023 год</c:v>
                </c:pt>
                <c:pt idx="4">
                  <c:v>2024 год</c:v>
                </c:pt>
              </c:strCache>
            </c:strRef>
          </c:cat>
          <c:val>
            <c:numRef>
              <c:f>'ден доходы'!$B$27:$F$27</c:f>
              <c:numCache>
                <c:formatCode>0.0</c:formatCode>
                <c:ptCount val="5"/>
                <c:pt idx="0">
                  <c:v>96.7</c:v>
                </c:pt>
                <c:pt idx="1">
                  <c:v>103.6</c:v>
                </c:pt>
                <c:pt idx="2">
                  <c:v>98</c:v>
                </c:pt>
                <c:pt idx="3">
                  <c:v>105.3</c:v>
                </c:pt>
                <c:pt idx="4">
                  <c:v>108.3</c:v>
                </c:pt>
              </c:numCache>
            </c:numRef>
          </c:val>
          <c:smooth val="0"/>
          <c:extLst xmlns:c16r2="http://schemas.microsoft.com/office/drawing/2015/06/chart">
            <c:ext xmlns:c16="http://schemas.microsoft.com/office/drawing/2014/chart" uri="{C3380CC4-5D6E-409C-BE32-E72D297353CC}">
              <c16:uniqueId val="{00000007-F135-40A6-A0D0-2DB210DD4710}"/>
            </c:ext>
          </c:extLst>
        </c:ser>
        <c:ser>
          <c:idx val="2"/>
          <c:order val="2"/>
          <c:tx>
            <c:strRef>
              <c:f>'ден доходы'!$A$28</c:f>
              <c:strCache>
                <c:ptCount val="1"/>
                <c:pt idx="0">
                  <c:v>Реальная среднемесячная заработная плата работников организаций</c:v>
                </c:pt>
              </c:strCache>
            </c:strRef>
          </c:tx>
          <c:spPr>
            <a:ln w="28575" cap="rnd">
              <a:solidFill>
                <a:srgbClr val="00B050"/>
              </a:solidFill>
              <a:round/>
            </a:ln>
            <a:effectLst/>
          </c:spPr>
          <c:marker>
            <c:symbol val="circle"/>
            <c:size val="7"/>
            <c:spPr>
              <a:solidFill>
                <a:srgbClr val="00B050"/>
              </a:solidFill>
              <a:ln w="9525">
                <a:solidFill>
                  <a:srgbClr val="00B050"/>
                </a:solidFill>
              </a:ln>
              <a:effectLst/>
            </c:spPr>
          </c:marker>
          <c:dLbls>
            <c:dLbl>
              <c:idx val="2"/>
              <c:layout>
                <c:manualLayout>
                  <c:x val="-1.2152887139107612E-2"/>
                  <c:y val="2.350975790435353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F135-40A6-A0D0-2DB210DD4710}"/>
                </c:ext>
                <c:ext xmlns:c15="http://schemas.microsoft.com/office/drawing/2012/chart" uri="{CE6537A1-D6FC-4f65-9D91-7224C49458BB}">
                  <c15:layout/>
                </c:ext>
              </c:extLst>
            </c:dLbl>
            <c:dLbl>
              <c:idx val="4"/>
              <c:layout>
                <c:manualLayout>
                  <c:x val="-4.0598386740119202E-2"/>
                  <c:y val="3.9650919164658585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F135-40A6-A0D0-2DB210DD4710}"/>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6">
                        <a:lumMod val="7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'ден доходы'!$B$25:$F$25</c:f>
              <c:strCache>
                <c:ptCount val="5"/>
                <c:pt idx="0">
                  <c:v>2020 год</c:v>
                </c:pt>
                <c:pt idx="1">
                  <c:v>2021 год</c:v>
                </c:pt>
                <c:pt idx="2">
                  <c:v>2022 год</c:v>
                </c:pt>
                <c:pt idx="3">
                  <c:v>2023 год</c:v>
                </c:pt>
                <c:pt idx="4">
                  <c:v>2024 год</c:v>
                </c:pt>
              </c:strCache>
            </c:strRef>
          </c:cat>
          <c:val>
            <c:numRef>
              <c:f>'ден доходы'!$B$28:$F$28</c:f>
              <c:numCache>
                <c:formatCode>0.0</c:formatCode>
                <c:ptCount val="5"/>
                <c:pt idx="0">
                  <c:v>103.1</c:v>
                </c:pt>
                <c:pt idx="1">
                  <c:v>104.7</c:v>
                </c:pt>
                <c:pt idx="2">
                  <c:v>101.5</c:v>
                </c:pt>
                <c:pt idx="3">
                  <c:v>109</c:v>
                </c:pt>
                <c:pt idx="4">
                  <c:v>107.2</c:v>
                </c:pt>
              </c:numCache>
            </c:numRef>
          </c:val>
          <c:smooth val="0"/>
          <c:extLst xmlns:c16r2="http://schemas.microsoft.com/office/drawing/2015/06/chart">
            <c:ext xmlns:c16="http://schemas.microsoft.com/office/drawing/2014/chart" uri="{C3380CC4-5D6E-409C-BE32-E72D297353CC}">
              <c16:uniqueId val="{00000009-F135-40A6-A0D0-2DB210DD4710}"/>
            </c:ext>
          </c:extLst>
        </c:ser>
        <c:dLbls>
          <c:showLegendKey val="0"/>
          <c:showVal val="0"/>
          <c:showCatName val="0"/>
          <c:showSerName val="0"/>
          <c:showPercent val="0"/>
          <c:showBubbleSize val="0"/>
        </c:dLbls>
        <c:marker val="1"/>
        <c:smooth val="0"/>
        <c:axId val="202201728"/>
        <c:axId val="202202120"/>
      </c:lineChart>
      <c:catAx>
        <c:axId val="202201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2202120"/>
        <c:crosses val="autoZero"/>
        <c:auto val="1"/>
        <c:lblAlgn val="ctr"/>
        <c:lblOffset val="100"/>
        <c:noMultiLvlLbl val="0"/>
      </c:catAx>
      <c:valAx>
        <c:axId val="202202120"/>
        <c:scaling>
          <c:orientation val="minMax"/>
          <c:min val="95"/>
        </c:scaling>
        <c:delete val="1"/>
        <c:axPos val="l"/>
        <c:numFmt formatCode="0.0" sourceLinked="1"/>
        <c:majorTickMark val="out"/>
        <c:minorTickMark val="none"/>
        <c:tickLblPos val="nextTo"/>
        <c:crossAx val="202201728"/>
        <c:crosses val="autoZero"/>
        <c:crossBetween val="between"/>
        <c:majorUnit val="5"/>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ru-RU" sz="1050" b="1" i="0" u="none" strike="noStrike" kern="1200" spc="0" baseline="0">
                <a:solidFill>
                  <a:sysClr val="windowText" lastClr="000000"/>
                </a:solidFill>
                <a:latin typeface="Times New Roman" pitchFamily="18" charset="0"/>
                <a:ea typeface="+mn-ea"/>
                <a:cs typeface="Times New Roman" pitchFamily="18" charset="0"/>
              </a:defRPr>
            </a:pPr>
            <a:r>
              <a:rPr lang="ru-RU" sz="1050" b="1" i="0" u="none" strike="noStrike" kern="1200" spc="0" baseline="0">
                <a:solidFill>
                  <a:sysClr val="windowText" lastClr="000000"/>
                </a:solidFill>
                <a:latin typeface="Times New Roman" pitchFamily="18" charset="0"/>
                <a:ea typeface="+mn-ea"/>
                <a:cs typeface="Times New Roman" pitchFamily="18" charset="0"/>
              </a:rPr>
              <a:t>Динамика численности населения Приморского края </a:t>
            </a:r>
          </a:p>
          <a:p>
            <a:pPr algn="ctr" rtl="0">
              <a:defRPr lang="ru-RU" sz="1050" spc="0">
                <a:solidFill>
                  <a:sysClr val="windowText" lastClr="000000"/>
                </a:solidFill>
                <a:latin typeface="Times New Roman" pitchFamily="18" charset="0"/>
                <a:cs typeface="Times New Roman" pitchFamily="18" charset="0"/>
              </a:defRPr>
            </a:pPr>
            <a:r>
              <a:rPr lang="ru-RU" sz="1050" b="1" i="0" u="none" strike="noStrike" kern="1200" spc="0" baseline="0">
                <a:solidFill>
                  <a:sysClr val="windowText" lastClr="000000"/>
                </a:solidFill>
                <a:latin typeface="Times New Roman" pitchFamily="18" charset="0"/>
                <a:ea typeface="+mn-ea"/>
                <a:cs typeface="Times New Roman" pitchFamily="18" charset="0"/>
              </a:rPr>
              <a:t>на начало года, тыс. человек</a:t>
            </a:r>
          </a:p>
        </c:rich>
      </c:tx>
      <c:layout/>
      <c:overlay val="0"/>
      <c:spPr>
        <a:noFill/>
        <a:ln>
          <a:noFill/>
        </a:ln>
        <a:effectLst/>
      </c:spPr>
      <c:txPr>
        <a:bodyPr rot="0" spcFirstLastPara="1" vertOverflow="ellipsis" vert="horz" wrap="square" anchor="ctr" anchorCtr="1"/>
        <a:lstStyle/>
        <a:p>
          <a:pPr algn="ctr" rtl="0">
            <a:defRPr lang="ru-RU" sz="1050" b="1" i="0" u="none" strike="noStrike" kern="1200" spc="0" baseline="0">
              <a:solidFill>
                <a:sysClr val="windowText" lastClr="000000"/>
              </a:solidFill>
              <a:latin typeface="Times New Roman" pitchFamily="18" charset="0"/>
              <a:ea typeface="+mn-ea"/>
              <a:cs typeface="Times New Roman" pitchFamily="18" charset="0"/>
            </a:defRPr>
          </a:pPr>
          <a:endParaRPr lang="ru-RU"/>
        </a:p>
      </c:txPr>
    </c:title>
    <c:autoTitleDeleted val="0"/>
    <c:plotArea>
      <c:layout>
        <c:manualLayout>
          <c:layoutTarget val="inner"/>
          <c:xMode val="edge"/>
          <c:yMode val="edge"/>
          <c:x val="4.6160293827588815E-2"/>
          <c:y val="0.25426657768448724"/>
          <c:w val="0.92093436675191076"/>
          <c:h val="0.65154832841703292"/>
        </c:manualLayout>
      </c:layout>
      <c:barChart>
        <c:barDir val="col"/>
        <c:grouping val="clustered"/>
        <c:varyColors val="0"/>
        <c:ser>
          <c:idx val="0"/>
          <c:order val="0"/>
          <c:spPr>
            <a:gradFill flip="none" rotWithShape="1">
              <a:gsLst>
                <a:gs pos="57000">
                  <a:srgbClr val="10A1B0"/>
                </a:gs>
                <a:gs pos="0">
                  <a:schemeClr val="accent1">
                    <a:lumMod val="5000"/>
                    <a:lumOff val="95000"/>
                  </a:schemeClr>
                </a:gs>
              </a:gsLst>
              <a:lin ang="5400000" scaled="1"/>
              <a:tileRect/>
            </a:gradFill>
            <a:ln>
              <a:solidFill>
                <a:schemeClr val="tx2">
                  <a:lumMod val="40000"/>
                  <a:lumOff val="60000"/>
                </a:schemeClr>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0"/>
                  <c:y val="-1.269840846613895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56CF-43AB-AA1F-B75F731671D8}"/>
                </c:ext>
                <c:ext xmlns:c15="http://schemas.microsoft.com/office/drawing/2012/chart" uri="{CE6537A1-D6FC-4f65-9D91-7224C49458BB}">
                  <c15:layout/>
                </c:ext>
              </c:extLst>
            </c:dLbl>
            <c:dLbl>
              <c:idx val="1"/>
              <c:layout>
                <c:manualLayout>
                  <c:x val="1.4375569681470768E-2"/>
                  <c:y val="-4.4444302795537009E-2"/>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56CF-43AB-AA1F-B75F731671D8}"/>
                </c:ext>
                <c:ext xmlns:c15="http://schemas.microsoft.com/office/drawing/2012/chart" uri="{CE6537A1-D6FC-4f65-9D91-7224C49458BB}">
                  <c15:spPr xmlns:c15="http://schemas.microsoft.com/office/drawing/2012/chart">
                    <a:prstGeom prst="wedgeRoundRectCallout">
                      <a:avLst/>
                    </a:prstGeom>
                    <a:noFill/>
                    <a:ln>
                      <a:noFill/>
                    </a:ln>
                  </c15:spPr>
                  <c15:layout/>
                </c:ext>
              </c:extLst>
            </c:dLbl>
            <c:dLbl>
              <c:idx val="2"/>
              <c:layout>
                <c:manualLayout>
                  <c:x val="1.4375569681470768E-2"/>
                  <c:y val="-1.9047611905657329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56CF-43AB-AA1F-B75F731671D8}"/>
                </c:ext>
                <c:ext xmlns:c15="http://schemas.microsoft.com/office/drawing/2012/chart" uri="{CE6537A1-D6FC-4f65-9D91-7224C49458BB}">
                  <c15:layout/>
                </c:ext>
              </c:extLst>
            </c:dLbl>
            <c:dLbl>
              <c:idx val="3"/>
              <c:layout>
                <c:manualLayout>
                  <c:x val="3.5938924203676921E-3"/>
                  <c:y val="9.5238059528286647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56CF-43AB-AA1F-B75F731671D8}"/>
                </c:ext>
                <c:ext xmlns:c15="http://schemas.microsoft.com/office/drawing/2012/chart" uri="{CE6537A1-D6FC-4f65-9D91-7224C49458BB}">
                  <c15:layout/>
                </c:ext>
              </c:extLst>
            </c:dLbl>
            <c:dLbl>
              <c:idx val="4"/>
              <c:layout>
                <c:manualLayout>
                  <c:x val="2.1563354522206153E-2"/>
                  <c:y val="-1.9576670574926625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56CF-43AB-AA1F-B75F731671D8}"/>
                </c:ext>
                <c:ext xmlns:c15="http://schemas.microsoft.com/office/drawing/2012/chart" uri="{CE6537A1-D6FC-4f65-9D91-7224C49458BB}">
                  <c15:layout/>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oundRectCallout">
                    <a:avLst/>
                  </a:prstGeom>
                  <a:noFill/>
                  <a:ln>
                    <a:noFill/>
                  </a:ln>
                </c15:spPr>
                <c15:showLeaderLines val="0"/>
              </c:ext>
            </c:extLst>
          </c:dLbls>
          <c:cat>
            <c:strRef>
              <c:f>Лист4!$A$5:$A$9</c:f>
              <c:strCache>
                <c:ptCount val="5"/>
                <c:pt idx="0">
                  <c:v>2021 год</c:v>
                </c:pt>
                <c:pt idx="1">
                  <c:v>2022 год</c:v>
                </c:pt>
                <c:pt idx="2">
                  <c:v>2023 год</c:v>
                </c:pt>
                <c:pt idx="3">
                  <c:v>2024 год</c:v>
                </c:pt>
                <c:pt idx="4">
                  <c:v>2025 год</c:v>
                </c:pt>
              </c:strCache>
            </c:strRef>
          </c:cat>
          <c:val>
            <c:numRef>
              <c:f>Лист4!$B$5:$B$9</c:f>
              <c:numCache>
                <c:formatCode>0.0</c:formatCode>
                <c:ptCount val="5"/>
                <c:pt idx="0">
                  <c:v>1877.8</c:v>
                </c:pt>
                <c:pt idx="1">
                  <c:v>1863</c:v>
                </c:pt>
                <c:pt idx="2">
                  <c:v>1820.1</c:v>
                </c:pt>
                <c:pt idx="3">
                  <c:v>1807.5</c:v>
                </c:pt>
                <c:pt idx="4">
                  <c:v>1799.6</c:v>
                </c:pt>
              </c:numCache>
            </c:numRef>
          </c:val>
          <c:extLst xmlns:c16r2="http://schemas.microsoft.com/office/drawing/2015/06/chart">
            <c:ext xmlns:c16="http://schemas.microsoft.com/office/drawing/2014/chart" uri="{C3380CC4-5D6E-409C-BE32-E72D297353CC}">
              <c16:uniqueId val="{00000005-56CF-43AB-AA1F-B75F731671D8}"/>
            </c:ext>
          </c:extLst>
        </c:ser>
        <c:dLbls>
          <c:showLegendKey val="0"/>
          <c:showVal val="0"/>
          <c:showCatName val="0"/>
          <c:showSerName val="0"/>
          <c:showPercent val="0"/>
          <c:showBubbleSize val="0"/>
        </c:dLbls>
        <c:gapWidth val="79"/>
        <c:overlap val="2"/>
        <c:axId val="170676168"/>
        <c:axId val="170676560"/>
      </c:barChart>
      <c:lineChart>
        <c:grouping val="standard"/>
        <c:varyColors val="0"/>
        <c:ser>
          <c:idx val="1"/>
          <c:order val="1"/>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dPt>
            <c:idx val="1"/>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bubble3D val="0"/>
            <c:extLst xmlns:c16r2="http://schemas.microsoft.com/office/drawing/2015/06/chart">
              <c:ext xmlns:c16="http://schemas.microsoft.com/office/drawing/2014/chart" uri="{C3380CC4-5D6E-409C-BE32-E72D297353CC}">
                <c16:uniqueId val="{00000006-56CF-43AB-AA1F-B75F731671D8}"/>
              </c:ext>
            </c:extLst>
          </c:dPt>
          <c:dPt>
            <c:idx val="2"/>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bubble3D val="0"/>
            <c:extLst xmlns:c16r2="http://schemas.microsoft.com/office/drawing/2015/06/chart">
              <c:ext xmlns:c16="http://schemas.microsoft.com/office/drawing/2014/chart" uri="{C3380CC4-5D6E-409C-BE32-E72D297353CC}">
                <c16:uniqueId val="{00000007-56CF-43AB-AA1F-B75F731671D8}"/>
              </c:ext>
            </c:extLst>
          </c:dPt>
          <c:trendline>
            <c:spPr>
              <a:ln w="34925" cap="rnd">
                <a:solidFill>
                  <a:srgbClr val="00B050"/>
                </a:solidFill>
                <a:tailEnd type="triangle"/>
              </a:ln>
              <a:effectLst/>
            </c:spPr>
            <c:trendlineType val="log"/>
            <c:dispRSqr val="0"/>
            <c:dispEq val="0"/>
          </c:trendline>
          <c:cat>
            <c:strRef>
              <c:f>Лист4!$A$5:$A$9</c:f>
              <c:strCache>
                <c:ptCount val="5"/>
                <c:pt idx="0">
                  <c:v>2021 год</c:v>
                </c:pt>
                <c:pt idx="1">
                  <c:v>2022 год</c:v>
                </c:pt>
                <c:pt idx="2">
                  <c:v>2023 год</c:v>
                </c:pt>
                <c:pt idx="3">
                  <c:v>2024 год</c:v>
                </c:pt>
                <c:pt idx="4">
                  <c:v>2025 год</c:v>
                </c:pt>
              </c:strCache>
            </c:strRef>
          </c:cat>
          <c:val>
            <c:numRef>
              <c:f>Лист4!$C$5:$C$9</c:f>
              <c:numCache>
                <c:formatCode>General</c:formatCode>
                <c:ptCount val="5"/>
                <c:pt idx="0">
                  <c:v>1877.8</c:v>
                </c:pt>
                <c:pt idx="4">
                  <c:v>1799.6</c:v>
                </c:pt>
              </c:numCache>
            </c:numRef>
          </c:val>
          <c:smooth val="1"/>
          <c:extLst xmlns:c16r2="http://schemas.microsoft.com/office/drawing/2015/06/chart">
            <c:ext xmlns:c16="http://schemas.microsoft.com/office/drawing/2014/chart" uri="{C3380CC4-5D6E-409C-BE32-E72D297353CC}">
              <c16:uniqueId val="{00000009-56CF-43AB-AA1F-B75F731671D8}"/>
            </c:ext>
          </c:extLst>
        </c:ser>
        <c:dLbls>
          <c:showLegendKey val="0"/>
          <c:showVal val="0"/>
          <c:showCatName val="0"/>
          <c:showSerName val="0"/>
          <c:showPercent val="0"/>
          <c:showBubbleSize val="0"/>
        </c:dLbls>
        <c:marker val="1"/>
        <c:smooth val="0"/>
        <c:axId val="170678128"/>
        <c:axId val="170676952"/>
      </c:lineChart>
      <c:catAx>
        <c:axId val="17067616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0676560"/>
        <c:crosses val="autoZero"/>
        <c:auto val="1"/>
        <c:lblAlgn val="ctr"/>
        <c:lblOffset val="100"/>
        <c:noMultiLvlLbl val="0"/>
      </c:catAx>
      <c:valAx>
        <c:axId val="170676560"/>
        <c:scaling>
          <c:orientation val="minMax"/>
        </c:scaling>
        <c:delete val="1"/>
        <c:axPos val="l"/>
        <c:numFmt formatCode="0.0" sourceLinked="1"/>
        <c:majorTickMark val="none"/>
        <c:minorTickMark val="none"/>
        <c:tickLblPos val="nextTo"/>
        <c:crossAx val="170676168"/>
        <c:crosses val="autoZero"/>
        <c:crossBetween val="between"/>
      </c:valAx>
      <c:valAx>
        <c:axId val="170676952"/>
        <c:scaling>
          <c:orientation val="minMax"/>
        </c:scaling>
        <c:delete val="1"/>
        <c:axPos val="r"/>
        <c:numFmt formatCode="General" sourceLinked="1"/>
        <c:majorTickMark val="none"/>
        <c:minorTickMark val="none"/>
        <c:tickLblPos val="nextTo"/>
        <c:crossAx val="170678128"/>
        <c:crosses val="max"/>
        <c:crossBetween val="between"/>
      </c:valAx>
      <c:catAx>
        <c:axId val="170678128"/>
        <c:scaling>
          <c:orientation val="minMax"/>
        </c:scaling>
        <c:delete val="1"/>
        <c:axPos val="b"/>
        <c:numFmt formatCode="General" sourceLinked="1"/>
        <c:majorTickMark val="none"/>
        <c:minorTickMark val="none"/>
        <c:tickLblPos val="nextTo"/>
        <c:crossAx val="170676952"/>
        <c:crosses val="autoZero"/>
        <c:auto val="1"/>
        <c:lblAlgn val="ctr"/>
        <c:lblOffset val="100"/>
        <c:noMultiLvlLbl val="0"/>
      </c:cat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Лист1!$A$1</c:f>
          <c:strCache>
            <c:ptCount val="1"/>
            <c:pt idx="0">
              <c:v>Общие итоги миграции населения ДВФО
("+" миграционный прирост, "-" убыль), 
человек</c:v>
            </c:pt>
          </c:strCache>
        </c:strRef>
      </c:tx>
      <c:layout>
        <c:manualLayout>
          <c:xMode val="edge"/>
          <c:yMode val="edge"/>
          <c:x val="0.18560583962897062"/>
          <c:y val="3.9800930680766351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0.32633573928258969"/>
          <c:y val="0.21054052649359425"/>
          <c:w val="0.64080774278215213"/>
          <c:h val="0.69789740391361976"/>
        </c:manualLayout>
      </c:layout>
      <c:barChart>
        <c:barDir val="bar"/>
        <c:grouping val="clustered"/>
        <c:varyColors val="0"/>
        <c:ser>
          <c:idx val="0"/>
          <c:order val="0"/>
          <c:tx>
            <c:strRef>
              <c:f>Лист1!$B$2</c:f>
              <c:strCache>
                <c:ptCount val="1"/>
                <c:pt idx="0">
                  <c:v>2024 год</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Лист1!$A$3:$A$13</c:f>
              <c:strCache>
                <c:ptCount val="11"/>
                <c:pt idx="0">
                  <c:v>Еврейская АО</c:v>
                </c:pt>
                <c:pt idx="1">
                  <c:v>Чукотский АО</c:v>
                </c:pt>
                <c:pt idx="2">
                  <c:v>Камчатский край</c:v>
                </c:pt>
                <c:pt idx="3">
                  <c:v>Республика Бурятия </c:v>
                </c:pt>
                <c:pt idx="4">
                  <c:v>Магаданская область</c:v>
                </c:pt>
                <c:pt idx="5">
                  <c:v>Сахалинская область</c:v>
                </c:pt>
                <c:pt idx="6">
                  <c:v>Хабаровский край</c:v>
                </c:pt>
                <c:pt idx="7">
                  <c:v>Республика Саха (Якутия)</c:v>
                </c:pt>
                <c:pt idx="8">
                  <c:v>Забайкальский край</c:v>
                </c:pt>
                <c:pt idx="9">
                  <c:v>Приморский край</c:v>
                </c:pt>
                <c:pt idx="10">
                  <c:v>Амурская область</c:v>
                </c:pt>
              </c:strCache>
            </c:strRef>
          </c:cat>
          <c:val>
            <c:numRef>
              <c:f>Лист1!$B$3:$B$13</c:f>
              <c:numCache>
                <c:formatCode>General</c:formatCode>
                <c:ptCount val="11"/>
                <c:pt idx="0">
                  <c:v>-263</c:v>
                </c:pt>
                <c:pt idx="1">
                  <c:v>-242</c:v>
                </c:pt>
                <c:pt idx="2">
                  <c:v>256</c:v>
                </c:pt>
                <c:pt idx="3">
                  <c:v>1565</c:v>
                </c:pt>
                <c:pt idx="4">
                  <c:v>1850</c:v>
                </c:pt>
                <c:pt idx="5">
                  <c:v>2063</c:v>
                </c:pt>
                <c:pt idx="6">
                  <c:v>2223</c:v>
                </c:pt>
                <c:pt idx="7">
                  <c:v>2368</c:v>
                </c:pt>
                <c:pt idx="8">
                  <c:v>3613</c:v>
                </c:pt>
                <c:pt idx="9">
                  <c:v>3705</c:v>
                </c:pt>
                <c:pt idx="10">
                  <c:v>7085</c:v>
                </c:pt>
              </c:numCache>
            </c:numRef>
          </c:val>
          <c:extLst xmlns:c16r2="http://schemas.microsoft.com/office/drawing/2015/06/chart">
            <c:ext xmlns:c16="http://schemas.microsoft.com/office/drawing/2014/chart" uri="{C3380CC4-5D6E-409C-BE32-E72D297353CC}">
              <c16:uniqueId val="{00000000-A3CB-4F14-B3A3-2B4FF6DB741C}"/>
            </c:ext>
          </c:extLst>
        </c:ser>
        <c:ser>
          <c:idx val="1"/>
          <c:order val="1"/>
          <c:tx>
            <c:strRef>
              <c:f>Лист1!$C$2</c:f>
              <c:strCache>
                <c:ptCount val="1"/>
                <c:pt idx="0">
                  <c:v>2023 год</c:v>
                </c:pt>
              </c:strCache>
            </c:strRef>
          </c:tx>
          <c:spPr>
            <a:solidFill>
              <a:schemeClr val="accent3">
                <a:lumMod val="60000"/>
                <a:lumOff val="40000"/>
              </a:schemeClr>
            </a:solidFill>
            <a:ln>
              <a:noFill/>
            </a:ln>
            <a:effectLst/>
          </c:spPr>
          <c:invertIfNegative val="0"/>
          <c:dLbls>
            <c:dLbl>
              <c:idx val="8"/>
              <c:layout>
                <c:manualLayout>
                  <c:x val="-1.3888888888888888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A3CB-4F14-B3A3-2B4FF6DB741C}"/>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Лист1!$A$3:$A$13</c:f>
              <c:strCache>
                <c:ptCount val="11"/>
                <c:pt idx="0">
                  <c:v>Еврейская АО</c:v>
                </c:pt>
                <c:pt idx="1">
                  <c:v>Чукотский АО</c:v>
                </c:pt>
                <c:pt idx="2">
                  <c:v>Камчатский край</c:v>
                </c:pt>
                <c:pt idx="3">
                  <c:v>Республика Бурятия </c:v>
                </c:pt>
                <c:pt idx="4">
                  <c:v>Магаданская область</c:v>
                </c:pt>
                <c:pt idx="5">
                  <c:v>Сахалинская область</c:v>
                </c:pt>
                <c:pt idx="6">
                  <c:v>Хабаровский край</c:v>
                </c:pt>
                <c:pt idx="7">
                  <c:v>Республика Саха (Якутия)</c:v>
                </c:pt>
                <c:pt idx="8">
                  <c:v>Забайкальский край</c:v>
                </c:pt>
                <c:pt idx="9">
                  <c:v>Приморский край</c:v>
                </c:pt>
                <c:pt idx="10">
                  <c:v>Амурская область</c:v>
                </c:pt>
              </c:strCache>
            </c:strRef>
          </c:cat>
          <c:val>
            <c:numRef>
              <c:f>Лист1!$C$3:$C$13</c:f>
              <c:numCache>
                <c:formatCode>General</c:formatCode>
                <c:ptCount val="11"/>
                <c:pt idx="0">
                  <c:v>-899</c:v>
                </c:pt>
                <c:pt idx="1">
                  <c:v>150</c:v>
                </c:pt>
                <c:pt idx="2">
                  <c:v>687</c:v>
                </c:pt>
                <c:pt idx="3">
                  <c:v>-1442</c:v>
                </c:pt>
                <c:pt idx="4">
                  <c:v>-412</c:v>
                </c:pt>
                <c:pt idx="5">
                  <c:v>-1321</c:v>
                </c:pt>
                <c:pt idx="6">
                  <c:v>-509</c:v>
                </c:pt>
                <c:pt idx="7">
                  <c:v>753</c:v>
                </c:pt>
                <c:pt idx="8">
                  <c:v>-4902</c:v>
                </c:pt>
                <c:pt idx="9">
                  <c:v>-3858</c:v>
                </c:pt>
                <c:pt idx="10">
                  <c:v>-2425</c:v>
                </c:pt>
              </c:numCache>
            </c:numRef>
          </c:val>
          <c:extLst xmlns:c16r2="http://schemas.microsoft.com/office/drawing/2015/06/chart">
            <c:ext xmlns:c16="http://schemas.microsoft.com/office/drawing/2014/chart" uri="{C3380CC4-5D6E-409C-BE32-E72D297353CC}">
              <c16:uniqueId val="{00000002-A3CB-4F14-B3A3-2B4FF6DB741C}"/>
            </c:ext>
          </c:extLst>
        </c:ser>
        <c:dLbls>
          <c:showLegendKey val="0"/>
          <c:showVal val="0"/>
          <c:showCatName val="0"/>
          <c:showSerName val="0"/>
          <c:showPercent val="0"/>
          <c:showBubbleSize val="0"/>
        </c:dLbls>
        <c:gapWidth val="82"/>
        <c:axId val="170674992"/>
        <c:axId val="170673816"/>
      </c:barChart>
      <c:catAx>
        <c:axId val="170674992"/>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70673816"/>
        <c:crosses val="autoZero"/>
        <c:auto val="1"/>
        <c:lblAlgn val="ctr"/>
        <c:lblOffset val="100"/>
        <c:noMultiLvlLbl val="0"/>
      </c:catAx>
      <c:valAx>
        <c:axId val="170673816"/>
        <c:scaling>
          <c:orientation val="minMax"/>
        </c:scaling>
        <c:delete val="1"/>
        <c:axPos val="b"/>
        <c:numFmt formatCode="General" sourceLinked="1"/>
        <c:majorTickMark val="none"/>
        <c:minorTickMark val="none"/>
        <c:tickLblPos val="nextTo"/>
        <c:crossAx val="17067499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7566670746467574E-2"/>
          <c:y val="0.21174888474629716"/>
          <c:w val="0.91516195001285805"/>
          <c:h val="0.66900902404867235"/>
        </c:manualLayout>
      </c:layout>
      <c:barChart>
        <c:barDir val="col"/>
        <c:grouping val="clustered"/>
        <c:varyColors val="0"/>
        <c:ser>
          <c:idx val="0"/>
          <c:order val="0"/>
          <c:tx>
            <c:strRef>
              <c:f>'диагр общ.'!$A$5</c:f>
              <c:strCache>
                <c:ptCount val="1"/>
                <c:pt idx="0">
                  <c:v>Доходы, всего (млн рублей)</c:v>
                </c:pt>
              </c:strCache>
            </c:strRef>
          </c:tx>
          <c:spPr>
            <a:gradFill>
              <a:gsLst>
                <a:gs pos="0">
                  <a:srgbClr val="B1EEED"/>
                </a:gs>
                <a:gs pos="100000">
                  <a:srgbClr val="15AFA0"/>
                </a:gs>
              </a:gsLst>
              <a:lin ang="5400000" scaled="1"/>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'диагр общ.'!$B$4:$F$4</c:f>
              <c:strCache>
                <c:ptCount val="5"/>
                <c:pt idx="0">
                  <c:v>2021 год (факт)</c:v>
                </c:pt>
                <c:pt idx="1">
                  <c:v>2022 (факт)</c:v>
                </c:pt>
                <c:pt idx="2">
                  <c:v>2023 (факт)</c:v>
                </c:pt>
                <c:pt idx="3">
                  <c:v>2024 (факт)</c:v>
                </c:pt>
                <c:pt idx="4">
                  <c:v>2025 (план)</c:v>
                </c:pt>
              </c:strCache>
            </c:strRef>
          </c:cat>
          <c:val>
            <c:numRef>
              <c:f>'диагр общ.'!$B$5:$F$5</c:f>
              <c:numCache>
                <c:formatCode>#,##0.00</c:formatCode>
                <c:ptCount val="5"/>
                <c:pt idx="0">
                  <c:v>167954.43</c:v>
                </c:pt>
                <c:pt idx="1">
                  <c:v>190972.2</c:v>
                </c:pt>
                <c:pt idx="2">
                  <c:v>220713.50528235006</c:v>
                </c:pt>
                <c:pt idx="3">
                  <c:v>229284.55190078996</c:v>
                </c:pt>
                <c:pt idx="4" formatCode="_(* #,##0.00_);_(* \(#,##0.00\);_(* &quot;-&quot;??_);_(@_)">
                  <c:v>235230.16434347001</c:v>
                </c:pt>
              </c:numCache>
            </c:numRef>
          </c:val>
          <c:extLst xmlns:c16r2="http://schemas.microsoft.com/office/drawing/2015/06/chart">
            <c:ext xmlns:c16="http://schemas.microsoft.com/office/drawing/2014/chart" uri="{C3380CC4-5D6E-409C-BE32-E72D297353CC}">
              <c16:uniqueId val="{00000000-9216-4664-962F-2CE0B7E6A659}"/>
            </c:ext>
          </c:extLst>
        </c:ser>
        <c:ser>
          <c:idx val="1"/>
          <c:order val="1"/>
          <c:tx>
            <c:strRef>
              <c:f>'диагр общ.'!$A$6</c:f>
              <c:strCache>
                <c:ptCount val="1"/>
                <c:pt idx="0">
                  <c:v>Налоговые и неналоговые доходы (млн рублей)</c:v>
                </c:pt>
              </c:strCache>
            </c:strRef>
          </c:tx>
          <c:spPr>
            <a:gradFill>
              <a:gsLst>
                <a:gs pos="100000">
                  <a:schemeClr val="accent6">
                    <a:lumMod val="75000"/>
                  </a:schemeClr>
                </a:gs>
                <a:gs pos="0">
                  <a:schemeClr val="accent6">
                    <a:lumMod val="20000"/>
                    <a:lumOff val="80000"/>
                  </a:schemeClr>
                </a:gs>
              </a:gsLst>
              <a:lin ang="5400000" scaled="1"/>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'диагр общ.'!$B$4:$F$4</c:f>
              <c:strCache>
                <c:ptCount val="5"/>
                <c:pt idx="0">
                  <c:v>2021 год (факт)</c:v>
                </c:pt>
                <c:pt idx="1">
                  <c:v>2022 (факт)</c:v>
                </c:pt>
                <c:pt idx="2">
                  <c:v>2023 (факт)</c:v>
                </c:pt>
                <c:pt idx="3">
                  <c:v>2024 (факт)</c:v>
                </c:pt>
                <c:pt idx="4">
                  <c:v>2025 (план)</c:v>
                </c:pt>
              </c:strCache>
            </c:strRef>
          </c:cat>
          <c:val>
            <c:numRef>
              <c:f>'диагр общ.'!$B$6:$F$6</c:f>
              <c:numCache>
                <c:formatCode>#,##0.00</c:formatCode>
                <c:ptCount val="5"/>
                <c:pt idx="0">
                  <c:v>114662.39</c:v>
                </c:pt>
                <c:pt idx="1">
                  <c:v>129082.79</c:v>
                </c:pt>
                <c:pt idx="2">
                  <c:v>170453.95528235007</c:v>
                </c:pt>
                <c:pt idx="3">
                  <c:v>190686.73293536998</c:v>
                </c:pt>
                <c:pt idx="4" formatCode="_(* #,##0.00_);_(* \(#,##0.00\);_(* &quot;-&quot;??_);_(@_)">
                  <c:v>188200.40211346999</c:v>
                </c:pt>
              </c:numCache>
            </c:numRef>
          </c:val>
          <c:extLst xmlns:c16r2="http://schemas.microsoft.com/office/drawing/2015/06/chart">
            <c:ext xmlns:c16="http://schemas.microsoft.com/office/drawing/2014/chart" uri="{C3380CC4-5D6E-409C-BE32-E72D297353CC}">
              <c16:uniqueId val="{00000001-9216-4664-962F-2CE0B7E6A659}"/>
            </c:ext>
          </c:extLst>
        </c:ser>
        <c:ser>
          <c:idx val="2"/>
          <c:order val="2"/>
          <c:tx>
            <c:strRef>
              <c:f>'диагр общ.'!$A$7</c:f>
              <c:strCache>
                <c:ptCount val="1"/>
                <c:pt idx="0">
                  <c:v>Безвозмездные поступления (млн рублей)</c:v>
                </c:pt>
              </c:strCache>
            </c:strRef>
          </c:tx>
          <c:spPr>
            <a:gradFill>
              <a:gsLst>
                <a:gs pos="100000">
                  <a:srgbClr val="5F95D7"/>
                </a:gs>
                <a:gs pos="13000">
                  <a:schemeClr val="accent1">
                    <a:lumMod val="40000"/>
                    <a:lumOff val="60000"/>
                  </a:schemeClr>
                </a:gs>
              </a:gsLst>
              <a:lin ang="5400000" scaled="1"/>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'диагр общ.'!$B$4:$F$4</c:f>
              <c:strCache>
                <c:ptCount val="5"/>
                <c:pt idx="0">
                  <c:v>2021 год (факт)</c:v>
                </c:pt>
                <c:pt idx="1">
                  <c:v>2022 (факт)</c:v>
                </c:pt>
                <c:pt idx="2">
                  <c:v>2023 (факт)</c:v>
                </c:pt>
                <c:pt idx="3">
                  <c:v>2024 (факт)</c:v>
                </c:pt>
                <c:pt idx="4">
                  <c:v>2025 (план)</c:v>
                </c:pt>
              </c:strCache>
            </c:strRef>
          </c:cat>
          <c:val>
            <c:numRef>
              <c:f>'диагр общ.'!$B$7:$F$7</c:f>
              <c:numCache>
                <c:formatCode>#,##0.00</c:formatCode>
                <c:ptCount val="5"/>
                <c:pt idx="0">
                  <c:v>53292.04</c:v>
                </c:pt>
                <c:pt idx="1">
                  <c:v>61889.41</c:v>
                </c:pt>
                <c:pt idx="2">
                  <c:v>50259.55</c:v>
                </c:pt>
                <c:pt idx="3">
                  <c:v>38597.818965419996</c:v>
                </c:pt>
                <c:pt idx="4" formatCode="_(* #,##0.00_);_(* \(#,##0.00\);_(* &quot;-&quot;??_);_(@_)">
                  <c:v>47029.76223</c:v>
                </c:pt>
              </c:numCache>
            </c:numRef>
          </c:val>
          <c:extLst xmlns:c16r2="http://schemas.microsoft.com/office/drawing/2015/06/chart">
            <c:ext xmlns:c16="http://schemas.microsoft.com/office/drawing/2014/chart" uri="{C3380CC4-5D6E-409C-BE32-E72D297353CC}">
              <c16:uniqueId val="{00000002-9216-4664-962F-2CE0B7E6A659}"/>
            </c:ext>
          </c:extLst>
        </c:ser>
        <c:dLbls>
          <c:showLegendKey val="0"/>
          <c:showVal val="0"/>
          <c:showCatName val="0"/>
          <c:showSerName val="0"/>
          <c:showPercent val="0"/>
          <c:showBubbleSize val="0"/>
        </c:dLbls>
        <c:gapWidth val="20"/>
        <c:overlap val="72"/>
        <c:axId val="170679696"/>
        <c:axId val="170677736"/>
      </c:barChart>
      <c:valAx>
        <c:axId val="170677736"/>
        <c:scaling>
          <c:orientation val="minMax"/>
        </c:scaling>
        <c:delete val="1"/>
        <c:axPos val="r"/>
        <c:numFmt formatCode="#,##0.00" sourceLinked="1"/>
        <c:majorTickMark val="out"/>
        <c:minorTickMark val="none"/>
        <c:tickLblPos val="nextTo"/>
        <c:crossAx val="170679696"/>
        <c:crosses val="max"/>
        <c:crossBetween val="between"/>
      </c:valAx>
      <c:catAx>
        <c:axId val="17067969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0677736"/>
        <c:crosses val="autoZero"/>
        <c:auto val="1"/>
        <c:lblAlgn val="ctr"/>
        <c:lblOffset val="100"/>
        <c:noMultiLvlLbl val="0"/>
      </c:catAx>
    </c:plotArea>
    <c:legend>
      <c:legendPos val="b"/>
      <c:layout>
        <c:manualLayout>
          <c:xMode val="edge"/>
          <c:yMode val="edge"/>
          <c:x val="0"/>
          <c:y val="2.4564377369495481E-2"/>
          <c:w val="0.58949756280464938"/>
          <c:h val="0.2082429279673374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6886402976478297"/>
          <c:y val="9.2176866610638425E-2"/>
          <c:w val="0.49602787906545237"/>
          <c:h val="0.87494041022649938"/>
        </c:manualLayout>
      </c:layout>
      <c:barChart>
        <c:barDir val="bar"/>
        <c:grouping val="clustered"/>
        <c:varyColors val="0"/>
        <c:ser>
          <c:idx val="1"/>
          <c:order val="0"/>
          <c:tx>
            <c:strRef>
              <c:f>'диагр нал.ненал'!$B$2</c:f>
              <c:strCache>
                <c:ptCount val="1"/>
                <c:pt idx="0">
                  <c:v>2023 год</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'диагр нал.ненал'!$A$3:$A$10</c:f>
              <c:strCache>
                <c:ptCount val="8"/>
                <c:pt idx="0">
                  <c:v>Транспортный 
налог</c:v>
                </c:pt>
                <c:pt idx="1">
                  <c:v>Налоги, сборы и регулярные 
платежи за пользование
 природными ресурсами</c:v>
                </c:pt>
                <c:pt idx="2">
                  <c:v>Остальные 
налоги и сборы</c:v>
                </c:pt>
                <c:pt idx="3">
                  <c:v>Налог, взимаемый
 в связи с применением УСН</c:v>
                </c:pt>
                <c:pt idx="4">
                  <c:v>Акцизы </c:v>
                </c:pt>
                <c:pt idx="5">
                  <c:v>Налог на имущество
 организаций</c:v>
                </c:pt>
                <c:pt idx="6">
                  <c:v>Налог на прибыль 
организаций</c:v>
                </c:pt>
                <c:pt idx="7">
                  <c:v>Налог на доходы
 физических лиц</c:v>
                </c:pt>
              </c:strCache>
            </c:strRef>
          </c:cat>
          <c:val>
            <c:numRef>
              <c:f>'диагр нал.ненал'!$B$3:$B$10</c:f>
              <c:numCache>
                <c:formatCode>0.00%</c:formatCode>
                <c:ptCount val="8"/>
                <c:pt idx="0">
                  <c:v>1.35E-2</c:v>
                </c:pt>
                <c:pt idx="1">
                  <c:v>2.1000000000000001E-2</c:v>
                </c:pt>
                <c:pt idx="2">
                  <c:v>3.9600000000000003E-2</c:v>
                </c:pt>
                <c:pt idx="3">
                  <c:v>8.9200000000000002E-2</c:v>
                </c:pt>
                <c:pt idx="4">
                  <c:v>9.1300000000000006E-2</c:v>
                </c:pt>
                <c:pt idx="5">
                  <c:v>8.7999999999999995E-2</c:v>
                </c:pt>
                <c:pt idx="6">
                  <c:v>0.29670000000000002</c:v>
                </c:pt>
                <c:pt idx="7">
                  <c:v>0.36070000000000002</c:v>
                </c:pt>
              </c:numCache>
            </c:numRef>
          </c:val>
          <c:extLst xmlns:c16r2="http://schemas.microsoft.com/office/drawing/2015/06/chart">
            <c:ext xmlns:c16="http://schemas.microsoft.com/office/drawing/2014/chart" uri="{C3380CC4-5D6E-409C-BE32-E72D297353CC}">
              <c16:uniqueId val="{00000000-0913-4519-988C-F7F6B12F6CFD}"/>
            </c:ext>
          </c:extLst>
        </c:ser>
        <c:ser>
          <c:idx val="0"/>
          <c:order val="1"/>
          <c:tx>
            <c:strRef>
              <c:f>'диагр нал.ненал'!$C$2</c:f>
              <c:strCache>
                <c:ptCount val="1"/>
                <c:pt idx="0">
                  <c:v>2024 год</c:v>
                </c:pt>
              </c:strCache>
            </c:strRef>
          </c:tx>
          <c:spPr>
            <a:solidFill>
              <a:schemeClr val="accent3">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'диагр нал.ненал'!$A$3:$A$10</c:f>
              <c:strCache>
                <c:ptCount val="8"/>
                <c:pt idx="0">
                  <c:v>Транспортный 
налог</c:v>
                </c:pt>
                <c:pt idx="1">
                  <c:v>Налоги, сборы и регулярные 
платежи за пользование
 природными ресурсами</c:v>
                </c:pt>
                <c:pt idx="2">
                  <c:v>Остальные 
налоги и сборы</c:v>
                </c:pt>
                <c:pt idx="3">
                  <c:v>Налог, взимаемый
 в связи с применением УСН</c:v>
                </c:pt>
                <c:pt idx="4">
                  <c:v>Акцизы </c:v>
                </c:pt>
                <c:pt idx="5">
                  <c:v>Налог на имущество
 организаций</c:v>
                </c:pt>
                <c:pt idx="6">
                  <c:v>Налог на прибыль 
организаций</c:v>
                </c:pt>
                <c:pt idx="7">
                  <c:v>Налог на доходы
 физических лиц</c:v>
                </c:pt>
              </c:strCache>
            </c:strRef>
          </c:cat>
          <c:val>
            <c:numRef>
              <c:f>'диагр нал.ненал'!$C$3:$C$10</c:f>
              <c:numCache>
                <c:formatCode>0.00%</c:formatCode>
                <c:ptCount val="8"/>
                <c:pt idx="0">
                  <c:v>1.2999999999999999E-2</c:v>
                </c:pt>
                <c:pt idx="1">
                  <c:v>1.9199999999999998E-2</c:v>
                </c:pt>
                <c:pt idx="2">
                  <c:v>4.7100000000000003E-2</c:v>
                </c:pt>
                <c:pt idx="3">
                  <c:v>0.1069</c:v>
                </c:pt>
                <c:pt idx="4">
                  <c:v>9.0200000000000002E-2</c:v>
                </c:pt>
                <c:pt idx="5">
                  <c:v>7.9000000000000001E-2</c:v>
                </c:pt>
                <c:pt idx="6">
                  <c:v>0.26200000000000001</c:v>
                </c:pt>
                <c:pt idx="7">
                  <c:v>0.3826</c:v>
                </c:pt>
              </c:numCache>
            </c:numRef>
          </c:val>
          <c:extLst xmlns:c16r2="http://schemas.microsoft.com/office/drawing/2015/06/chart">
            <c:ext xmlns:c16="http://schemas.microsoft.com/office/drawing/2014/chart" uri="{C3380CC4-5D6E-409C-BE32-E72D297353CC}">
              <c16:uniqueId val="{00000001-0913-4519-988C-F7F6B12F6CFD}"/>
            </c:ext>
          </c:extLst>
        </c:ser>
        <c:dLbls>
          <c:showLegendKey val="0"/>
          <c:showVal val="0"/>
          <c:showCatName val="0"/>
          <c:showSerName val="0"/>
          <c:showPercent val="0"/>
          <c:showBubbleSize val="0"/>
        </c:dLbls>
        <c:gapWidth val="24"/>
        <c:overlap val="33"/>
        <c:axId val="170672640"/>
        <c:axId val="170674208"/>
      </c:barChart>
      <c:catAx>
        <c:axId val="1706726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70674208"/>
        <c:crosses val="autoZero"/>
        <c:auto val="1"/>
        <c:lblAlgn val="ctr"/>
        <c:lblOffset val="100"/>
        <c:noMultiLvlLbl val="0"/>
      </c:catAx>
      <c:valAx>
        <c:axId val="170674208"/>
        <c:scaling>
          <c:orientation val="minMax"/>
        </c:scaling>
        <c:delete val="1"/>
        <c:axPos val="b"/>
        <c:numFmt formatCode="0.00%" sourceLinked="1"/>
        <c:majorTickMark val="none"/>
        <c:minorTickMark val="none"/>
        <c:tickLblPos val="nextTo"/>
        <c:crossAx val="170672640"/>
        <c:crosses val="autoZero"/>
        <c:crossBetween val="between"/>
        <c:majorUnit val="0.1"/>
      </c:valAx>
    </c:plotArea>
    <c:legend>
      <c:legendPos val="b"/>
      <c:layout>
        <c:manualLayout>
          <c:xMode val="edge"/>
          <c:yMode val="edge"/>
          <c:x val="0.40271124386300811"/>
          <c:y val="2.9246233109750167E-2"/>
          <c:w val="0.2689427844555296"/>
          <c:h val="5.2231619195748681E-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2554537240222025E-2"/>
          <c:y val="0.17171278171234183"/>
          <c:w val="0.86497462817147852"/>
          <c:h val="0.65113212803706799"/>
        </c:manualLayout>
      </c:layout>
      <c:lineChart>
        <c:grouping val="standard"/>
        <c:varyColors val="0"/>
        <c:ser>
          <c:idx val="1"/>
          <c:order val="0"/>
          <c:tx>
            <c:strRef>
              <c:f>Лист1!$E$2</c:f>
              <c:strCache>
                <c:ptCount val="1"/>
                <c:pt idx="0">
                  <c:v>Сумма</c:v>
                </c:pt>
              </c:strCache>
            </c:strRef>
          </c:tx>
          <c:spPr>
            <a:ln w="28575" cap="rnd">
              <a:solidFill>
                <a:srgbClr val="00B050"/>
              </a:solidFill>
              <a:round/>
            </a:ln>
            <a:effectLst/>
          </c:spPr>
          <c:marker>
            <c:symbol val="circle"/>
            <c:size val="6"/>
            <c:spPr>
              <a:solidFill>
                <a:srgbClr val="00B050"/>
              </a:solidFill>
              <a:ln w="9525">
                <a:solidFill>
                  <a:srgbClr val="00B050"/>
                </a:solidFill>
              </a:ln>
              <a:effectLst/>
            </c:spPr>
          </c:marker>
          <c:dPt>
            <c:idx val="5"/>
            <c:marker>
              <c:spPr>
                <a:solidFill>
                  <a:srgbClr val="00B050"/>
                </a:solidFill>
                <a:ln w="9525">
                  <a:solidFill>
                    <a:srgbClr val="00B050"/>
                  </a:solidFill>
                  <a:prstDash val="sysDash"/>
                </a:ln>
                <a:effectLst/>
              </c:spPr>
            </c:marker>
            <c:bubble3D val="0"/>
            <c:spPr>
              <a:ln w="28575" cap="rnd">
                <a:solidFill>
                  <a:srgbClr val="00B050"/>
                </a:solidFill>
                <a:prstDash val="sysDash"/>
                <a:round/>
              </a:ln>
              <a:effectLst/>
            </c:spPr>
            <c:extLst xmlns:c16r2="http://schemas.microsoft.com/office/drawing/2015/06/chart">
              <c:ext xmlns:c16="http://schemas.microsoft.com/office/drawing/2014/chart" uri="{C3380CC4-5D6E-409C-BE32-E72D297353CC}">
                <c16:uniqueId val="{00000001-991E-46A2-B3D6-546B6C005EB3}"/>
              </c:ext>
            </c:extLst>
          </c:dPt>
          <c:dLbls>
            <c:dLbl>
              <c:idx val="2"/>
              <c:layout>
                <c:manualLayout>
                  <c:x val="-9.1666666666666771E-2"/>
                  <c:y val="-9.750011511718929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991E-46A2-B3D6-546B6C005EB3}"/>
                </c:ext>
                <c:ext xmlns:c15="http://schemas.microsoft.com/office/drawing/2012/chart" uri="{CE6537A1-D6FC-4f65-9D91-7224C49458BB}">
                  <c15:layout/>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Лист1!$D$3:$D$8</c:f>
              <c:numCache>
                <c:formatCode>General</c:formatCode>
                <c:ptCount val="6"/>
                <c:pt idx="0">
                  <c:v>2020</c:v>
                </c:pt>
                <c:pt idx="1">
                  <c:v>2021</c:v>
                </c:pt>
                <c:pt idx="2">
                  <c:v>2022</c:v>
                </c:pt>
                <c:pt idx="3">
                  <c:v>2023</c:v>
                </c:pt>
                <c:pt idx="4">
                  <c:v>2024</c:v>
                </c:pt>
                <c:pt idx="5">
                  <c:v>2025</c:v>
                </c:pt>
              </c:numCache>
            </c:numRef>
          </c:cat>
          <c:val>
            <c:numRef>
              <c:f>Лист1!$E$3:$E$8</c:f>
              <c:numCache>
                <c:formatCode>General</c:formatCode>
                <c:ptCount val="6"/>
                <c:pt idx="0">
                  <c:v>36753.86</c:v>
                </c:pt>
                <c:pt idx="1">
                  <c:v>40432.25</c:v>
                </c:pt>
                <c:pt idx="2">
                  <c:v>46792.66</c:v>
                </c:pt>
                <c:pt idx="3" formatCode="#,##0.00">
                  <c:v>61481.72</c:v>
                </c:pt>
                <c:pt idx="4" formatCode="#,##0.00">
                  <c:v>72964.09</c:v>
                </c:pt>
                <c:pt idx="5">
                  <c:v>75292.117301000006</c:v>
                </c:pt>
              </c:numCache>
            </c:numRef>
          </c:val>
          <c:smooth val="0"/>
          <c:extLst xmlns:c16r2="http://schemas.microsoft.com/office/drawing/2015/06/chart">
            <c:ext xmlns:c16="http://schemas.microsoft.com/office/drawing/2014/chart" uri="{C3380CC4-5D6E-409C-BE32-E72D297353CC}">
              <c16:uniqueId val="{00000003-991E-46A2-B3D6-546B6C005EB3}"/>
            </c:ext>
          </c:extLst>
        </c:ser>
        <c:dLbls>
          <c:showLegendKey val="0"/>
          <c:showVal val="0"/>
          <c:showCatName val="0"/>
          <c:showSerName val="0"/>
          <c:showPercent val="0"/>
          <c:showBubbleSize val="0"/>
        </c:dLbls>
        <c:marker val="1"/>
        <c:smooth val="0"/>
        <c:axId val="204038472"/>
        <c:axId val="204037296"/>
      </c:lineChart>
      <c:catAx>
        <c:axId val="20403847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04037296"/>
        <c:crosses val="autoZero"/>
        <c:auto val="1"/>
        <c:lblAlgn val="ctr"/>
        <c:lblOffset val="100"/>
        <c:noMultiLvlLbl val="0"/>
      </c:catAx>
      <c:valAx>
        <c:axId val="204037296"/>
        <c:scaling>
          <c:orientation val="minMax"/>
          <c:min val="30000"/>
        </c:scaling>
        <c:delete val="1"/>
        <c:axPos val="l"/>
        <c:numFmt formatCode="General" sourceLinked="1"/>
        <c:majorTickMark val="out"/>
        <c:minorTickMark val="none"/>
        <c:tickLblPos val="nextTo"/>
        <c:crossAx val="204038472"/>
        <c:crosses val="autoZero"/>
        <c:crossBetween val="between"/>
      </c:valAx>
    </c:plotArea>
    <c:plotVisOnly val="1"/>
    <c:dispBlanksAs val="gap"/>
    <c:showDLblsOverMax val="0"/>
    <c:extLst xmlns:c16r2="http://schemas.microsoft.com/office/drawing/2015/06/chart"/>
  </c:chart>
  <c:spPr>
    <a:ln>
      <a:noFill/>
    </a:ln>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strRef>
          <c:f>Лист1!$J$33</c:f>
          <c:strCache>
            <c:ptCount val="1"/>
            <c:pt idx="0">
              <c:v>Индекс потребительских цен на конец  года, в % к декабрю предыдущего года </c:v>
            </c:pt>
          </c:strCache>
        </c:strRef>
      </c:tx>
      <c:layout>
        <c:manualLayout>
          <c:xMode val="edge"/>
          <c:yMode val="edge"/>
          <c:x val="0.14895024621205352"/>
          <c:y val="0"/>
        </c:manualLayout>
      </c:layout>
      <c:overlay val="0"/>
      <c:spPr>
        <a:noFill/>
        <a:ln>
          <a:noFill/>
        </a:ln>
        <a:effectLst/>
      </c:spPr>
      <c:txPr>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5.4523626644685491E-2"/>
          <c:y val="0.329015339749198"/>
          <c:w val="0.90130399307206743"/>
          <c:h val="0.48760011665208519"/>
        </c:manualLayout>
      </c:layout>
      <c:barChart>
        <c:barDir val="col"/>
        <c:grouping val="clustered"/>
        <c:varyColors val="0"/>
        <c:ser>
          <c:idx val="0"/>
          <c:order val="0"/>
          <c:spPr>
            <a:gradFill>
              <a:gsLst>
                <a:gs pos="100000">
                  <a:srgbClr val="9BBB59">
                    <a:lumMod val="75000"/>
                  </a:srgbClr>
                </a:gs>
                <a:gs pos="40000">
                  <a:srgbClr val="9BBB59">
                    <a:lumMod val="40000"/>
                    <a:lumOff val="60000"/>
                  </a:srgbClr>
                </a:gs>
              </a:gsLst>
              <a:lin ang="5400000" scaled="0"/>
            </a:gradFill>
            <a:ln>
              <a:solidFill>
                <a:srgbClr val="9BBB59">
                  <a:lumMod val="75000"/>
                </a:srgbClr>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noFill/>
                      <a:round/>
                    </a:ln>
                    <a:effectLst/>
                  </c:spPr>
                </c15:leaderLines>
              </c:ext>
            </c:extLst>
          </c:dLbls>
          <c:cat>
            <c:strRef>
              <c:f>Лист1!$J$34:$J$36</c:f>
              <c:strCache>
                <c:ptCount val="3"/>
                <c:pt idx="0">
                  <c:v>Отчет 2022 год</c:v>
                </c:pt>
                <c:pt idx="1">
                  <c:v>Отчет 2023 год</c:v>
                </c:pt>
                <c:pt idx="2">
                  <c:v>Факт 2024 год</c:v>
                </c:pt>
              </c:strCache>
            </c:strRef>
          </c:cat>
          <c:val>
            <c:numRef>
              <c:f>Лист1!$K$34:$K$36</c:f>
              <c:numCache>
                <c:formatCode>0.00</c:formatCode>
                <c:ptCount val="3"/>
                <c:pt idx="0">
                  <c:v>111.3</c:v>
                </c:pt>
                <c:pt idx="1">
                  <c:v>109.43</c:v>
                </c:pt>
                <c:pt idx="2">
                  <c:v>109.2</c:v>
                </c:pt>
              </c:numCache>
            </c:numRef>
          </c:val>
          <c:extLst xmlns:c16r2="http://schemas.microsoft.com/office/drawing/2015/06/chart">
            <c:ext xmlns:c16="http://schemas.microsoft.com/office/drawing/2014/chart" uri="{C3380CC4-5D6E-409C-BE32-E72D297353CC}">
              <c16:uniqueId val="{00000000-2846-440D-9317-C00472C96535}"/>
            </c:ext>
          </c:extLst>
        </c:ser>
        <c:dLbls>
          <c:showLegendKey val="0"/>
          <c:showVal val="0"/>
          <c:showCatName val="0"/>
          <c:showSerName val="0"/>
          <c:showPercent val="0"/>
          <c:showBubbleSize val="0"/>
        </c:dLbls>
        <c:gapWidth val="39"/>
        <c:overlap val="2"/>
        <c:axId val="169089096"/>
        <c:axId val="169091056"/>
      </c:barChart>
      <c:catAx>
        <c:axId val="169089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69091056"/>
        <c:crosses val="autoZero"/>
        <c:auto val="1"/>
        <c:lblAlgn val="ctr"/>
        <c:lblOffset val="100"/>
        <c:noMultiLvlLbl val="0"/>
      </c:catAx>
      <c:valAx>
        <c:axId val="169091056"/>
        <c:scaling>
          <c:orientation val="minMax"/>
        </c:scaling>
        <c:delete val="1"/>
        <c:axPos val="l"/>
        <c:numFmt formatCode="0.00" sourceLinked="1"/>
        <c:majorTickMark val="none"/>
        <c:minorTickMark val="none"/>
        <c:tickLblPos val="nextTo"/>
        <c:crossAx val="1690890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5423078460370115E-2"/>
          <c:y val="0.17171296984103401"/>
          <c:w val="0.92381550021983294"/>
          <c:h val="0.61014714069832188"/>
        </c:manualLayout>
      </c:layout>
      <c:lineChart>
        <c:grouping val="standard"/>
        <c:varyColors val="0"/>
        <c:ser>
          <c:idx val="1"/>
          <c:order val="0"/>
          <c:tx>
            <c:strRef>
              <c:f>Лист1!$B$2</c:f>
              <c:strCache>
                <c:ptCount val="1"/>
                <c:pt idx="0">
                  <c:v>Сумма</c:v>
                </c:pt>
              </c:strCache>
            </c:strRef>
          </c:tx>
          <c:spPr>
            <a:ln w="28575" cap="rnd">
              <a:solidFill>
                <a:schemeClr val="tx2">
                  <a:lumMod val="75000"/>
                  <a:lumOff val="25000"/>
                </a:schemeClr>
              </a:solidFill>
              <a:round/>
            </a:ln>
            <a:effectLst/>
          </c:spPr>
          <c:marker>
            <c:symbol val="circle"/>
            <c:size val="6"/>
            <c:spPr>
              <a:solidFill>
                <a:schemeClr val="tx2">
                  <a:lumMod val="75000"/>
                  <a:lumOff val="25000"/>
                </a:schemeClr>
              </a:solidFill>
              <a:ln w="9525">
                <a:solidFill>
                  <a:schemeClr val="tx2">
                    <a:lumMod val="75000"/>
                    <a:lumOff val="25000"/>
                  </a:schemeClr>
                </a:solidFill>
              </a:ln>
              <a:effectLst/>
            </c:spPr>
          </c:marker>
          <c:dPt>
            <c:idx val="5"/>
            <c:marker>
              <c:spPr>
                <a:solidFill>
                  <a:schemeClr val="tx2">
                    <a:lumMod val="75000"/>
                    <a:lumOff val="25000"/>
                  </a:schemeClr>
                </a:solidFill>
                <a:ln w="9525">
                  <a:solidFill>
                    <a:schemeClr val="tx2">
                      <a:lumMod val="75000"/>
                      <a:lumOff val="25000"/>
                    </a:schemeClr>
                  </a:solidFill>
                  <a:prstDash val="sysDash"/>
                </a:ln>
                <a:effectLst/>
              </c:spPr>
            </c:marker>
            <c:bubble3D val="0"/>
            <c:spPr>
              <a:ln w="28575" cap="rnd">
                <a:solidFill>
                  <a:schemeClr val="tx2">
                    <a:lumMod val="75000"/>
                    <a:lumOff val="25000"/>
                  </a:schemeClr>
                </a:solidFill>
                <a:prstDash val="sysDash"/>
                <a:round/>
              </a:ln>
              <a:effectLst/>
            </c:spPr>
            <c:extLst xmlns:c16r2="http://schemas.microsoft.com/office/drawing/2015/06/chart">
              <c:ext xmlns:c16="http://schemas.microsoft.com/office/drawing/2014/chart" uri="{C3380CC4-5D6E-409C-BE32-E72D297353CC}">
                <c16:uniqueId val="{00000001-FDDE-4DC3-B34F-2219937411DC}"/>
              </c:ext>
            </c:extLst>
          </c:dPt>
          <c:dLbls>
            <c:dLbl>
              <c:idx val="2"/>
              <c:layout>
                <c:manualLayout>
                  <c:x val="-9.1666666666666771E-2"/>
                  <c:y val="-9.750011511718929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FDDE-4DC3-B34F-2219937411DC}"/>
                </c:ext>
                <c:ext xmlns:c15="http://schemas.microsoft.com/office/drawing/2012/chart" uri="{CE6537A1-D6FC-4f65-9D91-7224C49458BB}">
                  <c15:layout/>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Лист1!$A$3:$A$8</c:f>
              <c:numCache>
                <c:formatCode>General</c:formatCode>
                <c:ptCount val="6"/>
                <c:pt idx="0">
                  <c:v>2020</c:v>
                </c:pt>
                <c:pt idx="1">
                  <c:v>2021</c:v>
                </c:pt>
                <c:pt idx="2">
                  <c:v>2022</c:v>
                </c:pt>
                <c:pt idx="3">
                  <c:v>2023</c:v>
                </c:pt>
                <c:pt idx="4">
                  <c:v>2024</c:v>
                </c:pt>
                <c:pt idx="5">
                  <c:v>2025</c:v>
                </c:pt>
              </c:numCache>
            </c:numRef>
          </c:cat>
          <c:val>
            <c:numRef>
              <c:f>Лист1!$B$3:$B$8</c:f>
              <c:numCache>
                <c:formatCode>General</c:formatCode>
                <c:ptCount val="6"/>
                <c:pt idx="0">
                  <c:v>21425.5</c:v>
                </c:pt>
                <c:pt idx="1">
                  <c:v>33219.480000000003</c:v>
                </c:pt>
                <c:pt idx="2">
                  <c:v>35198.06</c:v>
                </c:pt>
                <c:pt idx="3" formatCode="#,##0.00">
                  <c:v>50572.9</c:v>
                </c:pt>
                <c:pt idx="4" formatCode="#,##0.00">
                  <c:v>49956.67</c:v>
                </c:pt>
                <c:pt idx="5" formatCode="_(* #,##0.00_);_(* \(#,##0.00\);_(* &quot;-&quot;??_);_(@_)">
                  <c:v>46640.540999999997</c:v>
                </c:pt>
              </c:numCache>
            </c:numRef>
          </c:val>
          <c:smooth val="0"/>
          <c:extLst xmlns:c16r2="http://schemas.microsoft.com/office/drawing/2015/06/chart">
            <c:ext xmlns:c16="http://schemas.microsoft.com/office/drawing/2014/chart" uri="{C3380CC4-5D6E-409C-BE32-E72D297353CC}">
              <c16:uniqueId val="{00000003-FDDE-4DC3-B34F-2219937411DC}"/>
            </c:ext>
          </c:extLst>
        </c:ser>
        <c:dLbls>
          <c:showLegendKey val="0"/>
          <c:showVal val="0"/>
          <c:showCatName val="0"/>
          <c:showSerName val="0"/>
          <c:showPercent val="0"/>
          <c:showBubbleSize val="0"/>
        </c:dLbls>
        <c:marker val="1"/>
        <c:smooth val="0"/>
        <c:axId val="204035336"/>
        <c:axId val="204033768"/>
      </c:lineChart>
      <c:catAx>
        <c:axId val="204035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04033768"/>
        <c:crosses val="autoZero"/>
        <c:auto val="1"/>
        <c:lblAlgn val="ctr"/>
        <c:lblOffset val="100"/>
        <c:noMultiLvlLbl val="0"/>
      </c:catAx>
      <c:valAx>
        <c:axId val="204033768"/>
        <c:scaling>
          <c:orientation val="minMax"/>
          <c:min val="20000"/>
        </c:scaling>
        <c:delete val="1"/>
        <c:axPos val="l"/>
        <c:numFmt formatCode="General" sourceLinked="1"/>
        <c:majorTickMark val="none"/>
        <c:minorTickMark val="none"/>
        <c:tickLblPos val="nextTo"/>
        <c:crossAx val="204035336"/>
        <c:crosses val="autoZero"/>
        <c:crossBetween val="between"/>
      </c:valAx>
    </c:plotArea>
    <c:plotVisOnly val="1"/>
    <c:dispBlanksAs val="gap"/>
    <c:showDLblsOverMax val="0"/>
    <c:extLst xmlns:c16r2="http://schemas.microsoft.com/office/drawing/2015/06/chart"/>
  </c:chart>
  <c:spPr>
    <a:ln>
      <a:noFill/>
    </a:ln>
  </c:spPr>
  <c:txPr>
    <a:bodyPr/>
    <a:lstStyle/>
    <a:p>
      <a:pPr>
        <a:defRPr/>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1317359253538279E-2"/>
          <c:y val="0.26695066962783498"/>
          <c:w val="0.86497462817147852"/>
          <c:h val="0.56703937007874017"/>
        </c:manualLayout>
      </c:layout>
      <c:lineChart>
        <c:grouping val="standard"/>
        <c:varyColors val="0"/>
        <c:ser>
          <c:idx val="1"/>
          <c:order val="0"/>
          <c:spPr>
            <a:ln w="28575" cap="rnd">
              <a:solidFill>
                <a:schemeClr val="accent5">
                  <a:lumMod val="75000"/>
                </a:schemeClr>
              </a:solidFill>
              <a:round/>
            </a:ln>
            <a:effectLst/>
          </c:spPr>
          <c:marker>
            <c:symbol val="circle"/>
            <c:size val="6"/>
            <c:spPr>
              <a:solidFill>
                <a:schemeClr val="accent5">
                  <a:lumMod val="75000"/>
                </a:schemeClr>
              </a:solidFill>
              <a:ln w="9525">
                <a:solidFill>
                  <a:schemeClr val="accent5">
                    <a:lumMod val="75000"/>
                  </a:schemeClr>
                </a:solidFill>
              </a:ln>
              <a:effectLst/>
            </c:spPr>
          </c:marker>
          <c:dPt>
            <c:idx val="5"/>
            <c:marker>
              <c:spPr>
                <a:solidFill>
                  <a:schemeClr val="accent5">
                    <a:lumMod val="75000"/>
                  </a:schemeClr>
                </a:solidFill>
                <a:ln w="9525">
                  <a:solidFill>
                    <a:schemeClr val="accent5">
                      <a:lumMod val="75000"/>
                    </a:schemeClr>
                  </a:solidFill>
                  <a:prstDash val="sysDash"/>
                </a:ln>
                <a:effectLst/>
              </c:spPr>
            </c:marker>
            <c:bubble3D val="0"/>
            <c:spPr>
              <a:ln w="28575" cap="rnd">
                <a:solidFill>
                  <a:schemeClr val="accent5">
                    <a:lumMod val="75000"/>
                  </a:schemeClr>
                </a:solidFill>
                <a:prstDash val="sysDash"/>
                <a:round/>
              </a:ln>
              <a:effectLst/>
            </c:spPr>
            <c:extLst xmlns:c16r2="http://schemas.microsoft.com/office/drawing/2015/06/chart">
              <c:ext xmlns:c16="http://schemas.microsoft.com/office/drawing/2014/chart" uri="{C3380CC4-5D6E-409C-BE32-E72D297353CC}">
                <c16:uniqueId val="{00000001-A88A-438B-AAC3-9FD96568C228}"/>
              </c:ext>
            </c:extLst>
          </c:dPt>
          <c:dLbls>
            <c:dLbl>
              <c:idx val="2"/>
              <c:layout>
                <c:manualLayout>
                  <c:x val="-9.1666666666666771E-2"/>
                  <c:y val="-9.750011511718929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88A-438B-AAC3-9FD96568C228}"/>
                </c:ext>
                <c:ext xmlns:c15="http://schemas.microsoft.com/office/drawing/2012/chart" uri="{CE6537A1-D6FC-4f65-9D91-7224C49458BB}">
                  <c15:layout/>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Лист1!$G$3:$G$8</c:f>
              <c:numCache>
                <c:formatCode>General</c:formatCode>
                <c:ptCount val="6"/>
                <c:pt idx="0">
                  <c:v>2020</c:v>
                </c:pt>
                <c:pt idx="1">
                  <c:v>2021</c:v>
                </c:pt>
                <c:pt idx="2">
                  <c:v>2022</c:v>
                </c:pt>
                <c:pt idx="3">
                  <c:v>2023</c:v>
                </c:pt>
                <c:pt idx="4">
                  <c:v>2024</c:v>
                </c:pt>
                <c:pt idx="5">
                  <c:v>2025</c:v>
                </c:pt>
              </c:numCache>
            </c:numRef>
          </c:cat>
          <c:val>
            <c:numRef>
              <c:f>Лист1!$H$3:$H$8</c:f>
              <c:numCache>
                <c:formatCode>#,##0.00</c:formatCode>
                <c:ptCount val="6"/>
                <c:pt idx="0">
                  <c:v>8965</c:v>
                </c:pt>
                <c:pt idx="1">
                  <c:v>11419.53</c:v>
                </c:pt>
                <c:pt idx="2">
                  <c:v>14221.1</c:v>
                </c:pt>
                <c:pt idx="3">
                  <c:v>15554.3</c:v>
                </c:pt>
                <c:pt idx="4">
                  <c:v>17195.96</c:v>
                </c:pt>
                <c:pt idx="5" formatCode="General">
                  <c:v>21158.330943429999</c:v>
                </c:pt>
              </c:numCache>
            </c:numRef>
          </c:val>
          <c:smooth val="0"/>
          <c:extLst xmlns:c16r2="http://schemas.microsoft.com/office/drawing/2015/06/chart">
            <c:ext xmlns:c16="http://schemas.microsoft.com/office/drawing/2014/chart" uri="{C3380CC4-5D6E-409C-BE32-E72D297353CC}">
              <c16:uniqueId val="{00000003-A88A-438B-AAC3-9FD96568C228}"/>
            </c:ext>
          </c:extLst>
        </c:ser>
        <c:dLbls>
          <c:showLegendKey val="0"/>
          <c:showVal val="0"/>
          <c:showCatName val="0"/>
          <c:showSerName val="0"/>
          <c:showPercent val="0"/>
          <c:showBubbleSize val="0"/>
        </c:dLbls>
        <c:marker val="1"/>
        <c:smooth val="0"/>
        <c:axId val="204036904"/>
        <c:axId val="204032200"/>
      </c:lineChart>
      <c:catAx>
        <c:axId val="20403690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04032200"/>
        <c:crosses val="autoZero"/>
        <c:auto val="1"/>
        <c:lblAlgn val="ctr"/>
        <c:lblOffset val="100"/>
        <c:noMultiLvlLbl val="0"/>
      </c:catAx>
      <c:valAx>
        <c:axId val="204032200"/>
        <c:scaling>
          <c:orientation val="minMax"/>
          <c:max val="22000"/>
          <c:min val="8000"/>
        </c:scaling>
        <c:delete val="1"/>
        <c:axPos val="l"/>
        <c:numFmt formatCode="#,##0.00" sourceLinked="1"/>
        <c:majorTickMark val="out"/>
        <c:minorTickMark val="none"/>
        <c:tickLblPos val="nextTo"/>
        <c:crossAx val="204036904"/>
        <c:crosses val="autoZero"/>
        <c:crossBetween val="between"/>
      </c:valAx>
    </c:plotArea>
    <c:plotVisOnly val="1"/>
    <c:dispBlanksAs val="gap"/>
    <c:showDLblsOverMax val="0"/>
    <c:extLst xmlns:c16r2="http://schemas.microsoft.com/office/drawing/2015/06/chart"/>
  </c:chart>
  <c:spPr>
    <a:ln>
      <a:noFill/>
    </a:ln>
  </c:spPr>
  <c:txPr>
    <a:bodyPr/>
    <a:lstStyle/>
    <a:p>
      <a:pPr>
        <a:defRPr/>
      </a:pPr>
      <a:endParaRPr lang="ru-RU"/>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002537182852143"/>
          <c:y val="0.17171296296296298"/>
          <c:w val="0.86497462817147852"/>
          <c:h val="0.64433474661821122"/>
        </c:manualLayout>
      </c:layout>
      <c:lineChart>
        <c:grouping val="standard"/>
        <c:varyColors val="0"/>
        <c:ser>
          <c:idx val="1"/>
          <c:order val="0"/>
          <c:spPr>
            <a:ln w="28575" cap="rnd">
              <a:solidFill>
                <a:schemeClr val="bg1">
                  <a:lumMod val="65000"/>
                </a:schemeClr>
              </a:solidFill>
              <a:round/>
            </a:ln>
            <a:effectLst/>
          </c:spPr>
          <c:marker>
            <c:symbol val="circle"/>
            <c:size val="6"/>
            <c:spPr>
              <a:solidFill>
                <a:schemeClr val="bg1">
                  <a:lumMod val="65000"/>
                </a:schemeClr>
              </a:solidFill>
              <a:ln w="9525">
                <a:solidFill>
                  <a:schemeClr val="bg1">
                    <a:lumMod val="65000"/>
                  </a:schemeClr>
                </a:solidFill>
              </a:ln>
              <a:effectLst/>
            </c:spPr>
          </c:marker>
          <c:dPt>
            <c:idx val="5"/>
            <c:marker>
              <c:spPr>
                <a:solidFill>
                  <a:schemeClr val="bg1">
                    <a:lumMod val="65000"/>
                  </a:schemeClr>
                </a:solidFill>
                <a:ln w="9525">
                  <a:solidFill>
                    <a:schemeClr val="bg1">
                      <a:lumMod val="65000"/>
                    </a:schemeClr>
                  </a:solidFill>
                  <a:prstDash val="sysDash"/>
                </a:ln>
                <a:effectLst/>
              </c:spPr>
            </c:marker>
            <c:bubble3D val="0"/>
            <c:spPr>
              <a:ln w="28575" cap="rnd">
                <a:solidFill>
                  <a:schemeClr val="bg1">
                    <a:lumMod val="65000"/>
                  </a:schemeClr>
                </a:solidFill>
                <a:prstDash val="sysDash"/>
                <a:round/>
              </a:ln>
              <a:effectLst/>
            </c:spPr>
            <c:extLst xmlns:c16r2="http://schemas.microsoft.com/office/drawing/2015/06/chart">
              <c:ext xmlns:c16="http://schemas.microsoft.com/office/drawing/2014/chart" uri="{C3380CC4-5D6E-409C-BE32-E72D297353CC}">
                <c16:uniqueId val="{00000001-2D38-4783-B094-AED993ECE239}"/>
              </c:ext>
            </c:extLst>
          </c:dPt>
          <c:dLbls>
            <c:dLbl>
              <c:idx val="2"/>
              <c:layout>
                <c:manualLayout>
                  <c:x val="-9.1666666666666771E-2"/>
                  <c:y val="-9.750011511718929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D38-4783-B094-AED993ECE239}"/>
                </c:ext>
                <c:ext xmlns:c15="http://schemas.microsoft.com/office/drawing/2012/chart" uri="{CE6537A1-D6FC-4f65-9D91-7224C49458BB}">
                  <c15:layout/>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Лист1!$J$3:$J$8</c:f>
              <c:numCache>
                <c:formatCode>General</c:formatCode>
                <c:ptCount val="6"/>
                <c:pt idx="0">
                  <c:v>2020</c:v>
                </c:pt>
                <c:pt idx="1">
                  <c:v>2021</c:v>
                </c:pt>
                <c:pt idx="2">
                  <c:v>2022</c:v>
                </c:pt>
                <c:pt idx="3">
                  <c:v>2023</c:v>
                </c:pt>
                <c:pt idx="4">
                  <c:v>2024</c:v>
                </c:pt>
                <c:pt idx="5">
                  <c:v>2025</c:v>
                </c:pt>
              </c:numCache>
            </c:numRef>
          </c:cat>
          <c:val>
            <c:numRef>
              <c:f>Лист1!$K$3:$K$8</c:f>
              <c:numCache>
                <c:formatCode>General</c:formatCode>
                <c:ptCount val="6"/>
                <c:pt idx="0">
                  <c:v>6952.19</c:v>
                </c:pt>
                <c:pt idx="1">
                  <c:v>10371.92</c:v>
                </c:pt>
                <c:pt idx="2">
                  <c:v>10972.98</c:v>
                </c:pt>
                <c:pt idx="3" formatCode="#,##0.00">
                  <c:v>15201.69</c:v>
                </c:pt>
                <c:pt idx="4" formatCode="#,##0.00">
                  <c:v>20386.009999999998</c:v>
                </c:pt>
                <c:pt idx="5">
                  <c:v>20245.194</c:v>
                </c:pt>
              </c:numCache>
            </c:numRef>
          </c:val>
          <c:smooth val="0"/>
          <c:extLst xmlns:c16r2="http://schemas.microsoft.com/office/drawing/2015/06/chart">
            <c:ext xmlns:c16="http://schemas.microsoft.com/office/drawing/2014/chart" uri="{C3380CC4-5D6E-409C-BE32-E72D297353CC}">
              <c16:uniqueId val="{00000003-2D38-4783-B094-AED993ECE239}"/>
            </c:ext>
          </c:extLst>
        </c:ser>
        <c:dLbls>
          <c:showLegendKey val="0"/>
          <c:showVal val="0"/>
          <c:showCatName val="0"/>
          <c:showSerName val="0"/>
          <c:showPercent val="0"/>
          <c:showBubbleSize val="0"/>
        </c:dLbls>
        <c:marker val="1"/>
        <c:smooth val="0"/>
        <c:axId val="204039256"/>
        <c:axId val="204032592"/>
      </c:lineChart>
      <c:catAx>
        <c:axId val="20403925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04032592"/>
        <c:crosses val="autoZero"/>
        <c:auto val="1"/>
        <c:lblAlgn val="ctr"/>
        <c:lblOffset val="100"/>
        <c:noMultiLvlLbl val="0"/>
      </c:catAx>
      <c:valAx>
        <c:axId val="204032592"/>
        <c:scaling>
          <c:orientation val="minMax"/>
          <c:max val="22000"/>
          <c:min val="6000"/>
        </c:scaling>
        <c:delete val="1"/>
        <c:axPos val="l"/>
        <c:numFmt formatCode="General" sourceLinked="1"/>
        <c:majorTickMark val="out"/>
        <c:minorTickMark val="none"/>
        <c:tickLblPos val="nextTo"/>
        <c:crossAx val="204039256"/>
        <c:crosses val="autoZero"/>
        <c:crossBetween val="between"/>
      </c:valAx>
    </c:plotArea>
    <c:plotVisOnly val="1"/>
    <c:dispBlanksAs val="gap"/>
    <c:showDLblsOverMax val="0"/>
    <c:extLst xmlns:c16r2="http://schemas.microsoft.com/office/drawing/2015/06/chart"/>
  </c:chart>
  <c:spPr>
    <a:ln>
      <a:noFill/>
    </a:ln>
  </c:spPr>
  <c:txPr>
    <a:bodyPr/>
    <a:lstStyle/>
    <a:p>
      <a:pPr>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37712280346978"/>
          <c:y val="0.12882139311143084"/>
          <c:w val="0.69178178570375337"/>
          <c:h val="0.8546875082961225"/>
        </c:manualLayout>
      </c:layout>
      <c:barChart>
        <c:barDir val="bar"/>
        <c:grouping val="clustered"/>
        <c:varyColors val="0"/>
        <c:ser>
          <c:idx val="0"/>
          <c:order val="0"/>
          <c:tx>
            <c:strRef>
              <c:f>'диагр безв'!$B$3</c:f>
              <c:strCache>
                <c:ptCount val="1"/>
                <c:pt idx="0">
                  <c:v>2023 год</c:v>
                </c:pt>
              </c:strCache>
            </c:strRef>
          </c:tx>
          <c:spPr>
            <a:solidFill>
              <a:srgbClr val="AEE0ED"/>
            </a:solidFill>
            <a:ln>
              <a:noFill/>
            </a:ln>
            <a:effectLst/>
          </c:spPr>
          <c:invertIfNegative val="0"/>
          <c:dLbls>
            <c:dLbl>
              <c:idx val="4"/>
              <c:layout>
                <c:manualLayout>
                  <c:x val="-9.630818619582672E-2"/>
                  <c:y val="0"/>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50E1-4E27-BB84-B2C01DC2558E}"/>
                </c:ext>
                <c:ext xmlns:c15="http://schemas.microsoft.com/office/drawing/2012/chart" uri="{CE6537A1-D6FC-4f65-9D91-7224C49458BB}">
                  <c15:layout/>
                </c:ext>
              </c:extLst>
            </c:dLbl>
            <c:dLbl>
              <c:idx val="5"/>
              <c:layout>
                <c:manualLayout>
                  <c:x val="-9.8448368111289458E-2"/>
                  <c:y val="-3.3351139799070022E-1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50E1-4E27-BB84-B2C01DC2558E}"/>
                </c:ext>
                <c:ext xmlns:c15="http://schemas.microsoft.com/office/drawing/2012/chart" uri="{CE6537A1-D6FC-4f65-9D91-7224C49458BB}">
                  <c15:layout/>
                </c:ext>
              </c:extLst>
            </c:dLbl>
            <c:dLbl>
              <c:idx val="6"/>
              <c:layout>
                <c:manualLayout>
                  <c:x val="-7.9186730872124134E-2"/>
                  <c:y val="1.091504456976531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50E1-4E27-BB84-B2C01DC2558E}"/>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'диагр безв'!$A$4:$A$10</c:f>
              <c:strCache>
                <c:ptCount val="7"/>
                <c:pt idx="0">
                  <c:v>Безвозмездные поступления 
от негосударственных организаций</c:v>
                </c:pt>
                <c:pt idx="1">
                  <c:v>Прочие безвозмездные
 поступления</c:v>
                </c:pt>
                <c:pt idx="2">
                  <c:v>Безвозмездные поступления
 от государственных
 организаций</c:v>
                </c:pt>
                <c:pt idx="3">
                  <c:v>Субвенции</c:v>
                </c:pt>
                <c:pt idx="4">
                  <c:v>Иные межбюджетные 
трансферты</c:v>
                </c:pt>
                <c:pt idx="5">
                  <c:v>Дотации</c:v>
                </c:pt>
                <c:pt idx="6">
                  <c:v>Субсидии</c:v>
                </c:pt>
              </c:strCache>
            </c:strRef>
          </c:cat>
          <c:val>
            <c:numRef>
              <c:f>'диагр безв'!$B$4:$B$10</c:f>
              <c:numCache>
                <c:formatCode>General</c:formatCode>
                <c:ptCount val="7"/>
                <c:pt idx="0">
                  <c:v>47.53</c:v>
                </c:pt>
                <c:pt idx="1">
                  <c:v>244.01</c:v>
                </c:pt>
                <c:pt idx="2">
                  <c:v>94.87</c:v>
                </c:pt>
                <c:pt idx="3" formatCode="#,##0.00">
                  <c:v>3001.41</c:v>
                </c:pt>
                <c:pt idx="4" formatCode="#,##0.00">
                  <c:v>11964.3</c:v>
                </c:pt>
                <c:pt idx="5" formatCode="#,##0.00">
                  <c:v>12347.7</c:v>
                </c:pt>
                <c:pt idx="6" formatCode="#,##0.00">
                  <c:v>22413.96</c:v>
                </c:pt>
              </c:numCache>
            </c:numRef>
          </c:val>
          <c:extLst xmlns:c16r2="http://schemas.microsoft.com/office/drawing/2015/06/chart">
            <c:ext xmlns:c16="http://schemas.microsoft.com/office/drawing/2014/chart" uri="{C3380CC4-5D6E-409C-BE32-E72D297353CC}">
              <c16:uniqueId val="{00000000-50E1-4E27-BB84-B2C01DC2558E}"/>
            </c:ext>
          </c:extLst>
        </c:ser>
        <c:ser>
          <c:idx val="1"/>
          <c:order val="1"/>
          <c:tx>
            <c:strRef>
              <c:f>'диагр безв'!$C$3</c:f>
              <c:strCache>
                <c:ptCount val="1"/>
                <c:pt idx="0">
                  <c:v>2024 год </c:v>
                </c:pt>
              </c:strCache>
            </c:strRef>
          </c:tx>
          <c:spPr>
            <a:solidFill>
              <a:srgbClr val="42B89C"/>
            </a:solidFill>
            <a:ln>
              <a:noFill/>
            </a:ln>
            <a:effectLst/>
          </c:spPr>
          <c:invertIfNegative val="0"/>
          <c:dLbls>
            <c:dLbl>
              <c:idx val="4"/>
              <c:layout>
                <c:manualLayout>
                  <c:x val="-2.1401819154628927E-3"/>
                  <c:y val="-7.2766963798435507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50E1-4E27-BB84-B2C01DC2558E}"/>
                </c:ext>
                <c:ext xmlns:c15="http://schemas.microsoft.com/office/drawing/2012/chart" uri="{CE6537A1-D6FC-4f65-9D91-7224C49458BB}">
                  <c15:layout/>
                </c:ext>
              </c:extLst>
            </c:dLbl>
            <c:dLbl>
              <c:idx val="5"/>
              <c:layout>
                <c:manualLayout>
                  <c:x val="-6.420545746388443E-3"/>
                  <c:y val="-1.4553392759687136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50E1-4E27-BB84-B2C01DC2558E}"/>
                </c:ext>
                <c:ext xmlns:c15="http://schemas.microsoft.com/office/drawing/2012/chart" uri="{CE6537A1-D6FC-4f65-9D91-7224C49458BB}">
                  <c15:layout/>
                </c:ext>
              </c:extLst>
            </c:dLbl>
            <c:dLbl>
              <c:idx val="6"/>
              <c:layout>
                <c:manualLayout>
                  <c:x val="-6.8485821294810054E-2"/>
                  <c:y val="8.3377849497675054E-18"/>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50E1-4E27-BB84-B2C01DC2558E}"/>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'диагр безв'!$A$4:$A$10</c:f>
              <c:strCache>
                <c:ptCount val="7"/>
                <c:pt idx="0">
                  <c:v>Безвозмездные поступления 
от негосударственных организаций</c:v>
                </c:pt>
                <c:pt idx="1">
                  <c:v>Прочие безвозмездные
 поступления</c:v>
                </c:pt>
                <c:pt idx="2">
                  <c:v>Безвозмездные поступления
 от государственных
 организаций</c:v>
                </c:pt>
                <c:pt idx="3">
                  <c:v>Субвенции</c:v>
                </c:pt>
                <c:pt idx="4">
                  <c:v>Иные межбюджетные 
трансферты</c:v>
                </c:pt>
                <c:pt idx="5">
                  <c:v>Дотации</c:v>
                </c:pt>
                <c:pt idx="6">
                  <c:v>Субсидии</c:v>
                </c:pt>
              </c:strCache>
            </c:strRef>
          </c:cat>
          <c:val>
            <c:numRef>
              <c:f>'диагр безв'!$C$4:$C$10</c:f>
              <c:numCache>
                <c:formatCode>#,##0.00</c:formatCode>
                <c:ptCount val="7"/>
                <c:pt idx="0">
                  <c:v>43.72</c:v>
                </c:pt>
                <c:pt idx="1">
                  <c:v>166.55</c:v>
                </c:pt>
                <c:pt idx="2">
                  <c:v>218.65</c:v>
                </c:pt>
                <c:pt idx="3">
                  <c:v>3324.68</c:v>
                </c:pt>
                <c:pt idx="4">
                  <c:v>3456.16</c:v>
                </c:pt>
                <c:pt idx="5">
                  <c:v>7413.05</c:v>
                </c:pt>
                <c:pt idx="6">
                  <c:v>23330.23</c:v>
                </c:pt>
              </c:numCache>
            </c:numRef>
          </c:val>
          <c:extLst xmlns:c16r2="http://schemas.microsoft.com/office/drawing/2015/06/chart">
            <c:ext xmlns:c16="http://schemas.microsoft.com/office/drawing/2014/chart" uri="{C3380CC4-5D6E-409C-BE32-E72D297353CC}">
              <c16:uniqueId val="{00000001-50E1-4E27-BB84-B2C01DC2558E}"/>
            </c:ext>
          </c:extLst>
        </c:ser>
        <c:dLbls>
          <c:showLegendKey val="0"/>
          <c:showVal val="0"/>
          <c:showCatName val="0"/>
          <c:showSerName val="0"/>
          <c:showPercent val="0"/>
          <c:showBubbleSize val="0"/>
        </c:dLbls>
        <c:gapWidth val="40"/>
        <c:overlap val="35"/>
        <c:axId val="204809056"/>
        <c:axId val="204813760"/>
      </c:barChart>
      <c:catAx>
        <c:axId val="2048090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b" anchorCtr="0"/>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4813760"/>
        <c:crosses val="autoZero"/>
        <c:auto val="1"/>
        <c:lblAlgn val="ctr"/>
        <c:lblOffset val="100"/>
        <c:noMultiLvlLbl val="0"/>
      </c:catAx>
      <c:valAx>
        <c:axId val="204813760"/>
        <c:scaling>
          <c:orientation val="minMax"/>
          <c:max val="25000"/>
          <c:min val="0"/>
        </c:scaling>
        <c:delete val="1"/>
        <c:axPos val="b"/>
        <c:numFmt formatCode="General" sourceLinked="1"/>
        <c:majorTickMark val="out"/>
        <c:minorTickMark val="none"/>
        <c:tickLblPos val="nextTo"/>
        <c:crossAx val="204809056"/>
        <c:crosses val="autoZero"/>
        <c:crossBetween val="between"/>
        <c:majorUnit val="10000"/>
        <c:minorUnit val="5000"/>
      </c:valAx>
    </c:plotArea>
    <c:legend>
      <c:legendPos val="b"/>
      <c:layout>
        <c:manualLayout>
          <c:xMode val="edge"/>
          <c:yMode val="edge"/>
          <c:x val="0.32592577613191603"/>
          <c:y val="5.086943363367509E-2"/>
          <c:w val="0.35994269466316714"/>
          <c:h val="5.33513315855823E-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795654792442729"/>
          <c:y val="0.23335989883855612"/>
          <c:w val="0.46388888888888891"/>
          <c:h val="0.77314814814814814"/>
        </c:manualLayout>
      </c:layout>
      <c:doughnutChart>
        <c:varyColors val="1"/>
        <c:ser>
          <c:idx val="0"/>
          <c:order val="0"/>
          <c:spPr>
            <a:ln>
              <a:noFill/>
            </a:ln>
          </c:spPr>
          <c:dPt>
            <c:idx val="0"/>
            <c:bubble3D val="0"/>
            <c:spPr>
              <a:solidFill>
                <a:schemeClr val="tx2">
                  <a:lumMod val="50000"/>
                  <a:lumOff val="50000"/>
                </a:schemeClr>
              </a:solidFill>
              <a:ln w="19050">
                <a:noFill/>
              </a:ln>
              <a:effectLst/>
            </c:spPr>
            <c:extLst xmlns:c16r2="http://schemas.microsoft.com/office/drawing/2015/06/chart">
              <c:ext xmlns:c16="http://schemas.microsoft.com/office/drawing/2014/chart" uri="{C3380CC4-5D6E-409C-BE32-E72D297353CC}">
                <c16:uniqueId val="{00000001-CE5B-441E-9B5B-6BAA3633DBB8}"/>
              </c:ext>
            </c:extLst>
          </c:dPt>
          <c:dPt>
            <c:idx val="1"/>
            <c:bubble3D val="0"/>
            <c:spPr>
              <a:solidFill>
                <a:srgbClr val="B1EEED"/>
              </a:solidFill>
              <a:ln w="19050">
                <a:noFill/>
              </a:ln>
              <a:effectLst/>
            </c:spPr>
            <c:extLst xmlns:c16r2="http://schemas.microsoft.com/office/drawing/2015/06/chart">
              <c:ext xmlns:c16="http://schemas.microsoft.com/office/drawing/2014/chart" uri="{C3380CC4-5D6E-409C-BE32-E72D297353CC}">
                <c16:uniqueId val="{00000003-CE5B-441E-9B5B-6BAA3633DBB8}"/>
              </c:ext>
            </c:extLst>
          </c:dPt>
          <c:dPt>
            <c:idx val="2"/>
            <c:bubble3D val="0"/>
            <c:spPr>
              <a:solidFill>
                <a:srgbClr val="92D050"/>
              </a:solidFill>
              <a:ln w="19050">
                <a:noFill/>
              </a:ln>
              <a:effectLst/>
            </c:spPr>
            <c:extLst xmlns:c16r2="http://schemas.microsoft.com/office/drawing/2015/06/chart">
              <c:ext xmlns:c16="http://schemas.microsoft.com/office/drawing/2014/chart" uri="{C3380CC4-5D6E-409C-BE32-E72D297353CC}">
                <c16:uniqueId val="{00000005-CE5B-441E-9B5B-6BAA3633DBB8}"/>
              </c:ext>
            </c:extLst>
          </c:dPt>
          <c:dPt>
            <c:idx val="3"/>
            <c:bubble3D val="0"/>
            <c:spPr>
              <a:solidFill>
                <a:schemeClr val="bg1">
                  <a:lumMod val="65000"/>
                </a:schemeClr>
              </a:solidFill>
              <a:ln w="19050">
                <a:noFill/>
              </a:ln>
              <a:effectLst/>
            </c:spPr>
            <c:extLst xmlns:c16r2="http://schemas.microsoft.com/office/drawing/2015/06/chart">
              <c:ext xmlns:c16="http://schemas.microsoft.com/office/drawing/2014/chart" uri="{C3380CC4-5D6E-409C-BE32-E72D297353CC}">
                <c16:uniqueId val="{00000007-CE5B-441E-9B5B-6BAA3633DBB8}"/>
              </c:ext>
            </c:extLst>
          </c:dPt>
          <c:dLbls>
            <c:dLbl>
              <c:idx val="0"/>
              <c:layout>
                <c:manualLayout>
                  <c:x val="2.8923055905514999E-2"/>
                  <c:y val="-0.19210133662863668"/>
                </c:manualLayout>
              </c:layout>
              <c:tx>
                <c:rich>
                  <a:bodyPr/>
                  <a:lstStyle/>
                  <a:p>
                    <a:fld id="{A36F1B94-94B9-4AB5-9738-8D85FEE80D5A}" type="CATEGORYNAME">
                      <a:rPr lang="ru-RU" sz="900" u="sng"/>
                      <a:pPr/>
                      <a:t>[ИМЯ КАТЕГОРИИ]</a:t>
                    </a:fld>
                    <a:r>
                      <a:rPr lang="ru-RU" sz="900" baseline="0"/>
                      <a:t>; </a:t>
                    </a:r>
                  </a:p>
                  <a:p>
                    <a:fld id="{7301ECA7-C411-4F1B-BA12-E2E0585DD9A9}" type="VALUE">
                      <a:rPr lang="ru-RU" sz="900" b="0" baseline="0"/>
                      <a:pPr/>
                      <a:t>[ЗНАЧЕНИЕ]</a:t>
                    </a:fld>
                    <a:r>
                      <a:rPr lang="ru-RU" sz="900" b="0" baseline="0"/>
                      <a:t> млн рублей</a:t>
                    </a:r>
                    <a:r>
                      <a:rPr lang="ru-RU" sz="900" b="1" baseline="0"/>
                      <a:t>;</a:t>
                    </a:r>
                  </a:p>
                  <a:p>
                    <a:r>
                      <a:rPr lang="ru-RU" sz="900" b="1" baseline="0"/>
                      <a:t> 6,04 %</a:t>
                    </a:r>
                  </a:p>
                </c:rich>
              </c:tx>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1-CE5B-441E-9B5B-6BAA3633DBB8}"/>
                </c:ext>
                <c:ext xmlns:c15="http://schemas.microsoft.com/office/drawing/2012/chart" uri="{CE6537A1-D6FC-4f65-9D91-7224C49458BB}">
                  <c15:layout>
                    <c:manualLayout>
                      <c:w val="0.43021099635272864"/>
                      <c:h val="0.23476850818748871"/>
                    </c:manualLayout>
                  </c15:layout>
                  <c15:dlblFieldTable/>
                  <c15:showDataLabelsRange val="0"/>
                </c:ext>
              </c:extLst>
            </c:dLbl>
            <c:dLbl>
              <c:idx val="1"/>
              <c:layout>
                <c:manualLayout>
                  <c:x val="0.17333537853222886"/>
                  <c:y val="-8.9800121138703809E-2"/>
                </c:manualLayout>
              </c:layout>
              <c:tx>
                <c:rich>
                  <a:bodyPr wrap="square" lIns="38100" tIns="19050" rIns="38100" bIns="19050" anchor="ctr">
                    <a:noAutofit/>
                  </a:bodyPr>
                  <a:lstStyle/>
                  <a:p>
                    <a:pPr>
                      <a:defRPr sz="800">
                        <a:solidFill>
                          <a:sysClr val="windowText" lastClr="000000"/>
                        </a:solidFill>
                        <a:latin typeface="Times New Roman" panose="02020603050405020304" pitchFamily="18" charset="0"/>
                        <a:cs typeface="Times New Roman" panose="02020603050405020304" pitchFamily="18" charset="0"/>
                      </a:defRPr>
                    </a:pPr>
                    <a:fld id="{B3262D04-C09B-4FC0-809C-920E84BBCF03}" type="CATEGORYNAME">
                      <a:rPr lang="ru-RU" sz="900" u="sng"/>
                      <a:pPr>
                        <a:defRPr sz="800">
                          <a:solidFill>
                            <a:sysClr val="windowText" lastClr="000000"/>
                          </a:solidFill>
                          <a:latin typeface="Times New Roman" panose="02020603050405020304" pitchFamily="18" charset="0"/>
                          <a:cs typeface="Times New Roman" panose="02020603050405020304" pitchFamily="18" charset="0"/>
                        </a:defRPr>
                      </a:pPr>
                      <a:t>[ИМЯ КАТЕГОРИИ]</a:t>
                    </a:fld>
                    <a:r>
                      <a:rPr lang="ru-RU" sz="900" baseline="0"/>
                      <a:t>; </a:t>
                    </a:r>
                  </a:p>
                  <a:p>
                    <a:pPr>
                      <a:defRPr sz="800">
                        <a:solidFill>
                          <a:sysClr val="windowText" lastClr="000000"/>
                        </a:solidFill>
                        <a:latin typeface="Times New Roman" panose="02020603050405020304" pitchFamily="18" charset="0"/>
                        <a:cs typeface="Times New Roman" panose="02020603050405020304" pitchFamily="18" charset="0"/>
                      </a:defRPr>
                    </a:pPr>
                    <a:fld id="{E978FF56-9D96-4159-A070-6371A0F5B77A}" type="VALUE">
                      <a:rPr lang="ru-RU" sz="900" b="0" baseline="0"/>
                      <a:pPr>
                        <a:defRPr sz="800">
                          <a:solidFill>
                            <a:sysClr val="windowText" lastClr="000000"/>
                          </a:solidFill>
                          <a:latin typeface="Times New Roman" panose="02020603050405020304" pitchFamily="18" charset="0"/>
                          <a:cs typeface="Times New Roman" panose="02020603050405020304" pitchFamily="18" charset="0"/>
                        </a:defRPr>
                      </a:pPr>
                      <a:t>[ЗНАЧЕНИЕ]</a:t>
                    </a:fld>
                    <a:r>
                      <a:rPr lang="ru-RU" sz="900" b="0" baseline="0"/>
                      <a:t> млн рублей;</a:t>
                    </a:r>
                  </a:p>
                  <a:p>
                    <a:pPr>
                      <a:defRPr sz="800">
                        <a:solidFill>
                          <a:sysClr val="windowText" lastClr="000000"/>
                        </a:solidFill>
                        <a:latin typeface="Times New Roman" panose="02020603050405020304" pitchFamily="18" charset="0"/>
                        <a:cs typeface="Times New Roman" panose="02020603050405020304" pitchFamily="18" charset="0"/>
                      </a:defRPr>
                    </a:pPr>
                    <a:r>
                      <a:rPr lang="ru-RU" sz="900" b="1" baseline="0"/>
                      <a:t>24,06 %</a:t>
                    </a:r>
                  </a:p>
                </c:rich>
              </c:tx>
              <c:spPr>
                <a:noFill/>
                <a:ln>
                  <a:noFill/>
                </a:ln>
                <a:effectLst/>
              </c:spPr>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3-CE5B-441E-9B5B-6BAA3633DBB8}"/>
                </c:ext>
                <c:ext xmlns:c15="http://schemas.microsoft.com/office/drawing/2012/chart" uri="{CE6537A1-D6FC-4f65-9D91-7224C49458BB}">
                  <c15:layout>
                    <c:manualLayout>
                      <c:w val="0.36197987999375431"/>
                      <c:h val="0.40210993868681388"/>
                    </c:manualLayout>
                  </c15:layout>
                  <c15:dlblFieldTable/>
                  <c15:showDataLabelsRange val="0"/>
                </c:ext>
              </c:extLst>
            </c:dLbl>
            <c:dLbl>
              <c:idx val="2"/>
              <c:layout>
                <c:manualLayout>
                  <c:x val="0.27792207792207785"/>
                  <c:y val="2.8376422582804581E-2"/>
                </c:manualLayout>
              </c:layout>
              <c:tx>
                <c:rich>
                  <a:bodyPr wrap="square" lIns="38100" tIns="19050" rIns="38100" bIns="19050" anchor="ctr">
                    <a:noAutofit/>
                  </a:bodyPr>
                  <a:lstStyle/>
                  <a:p>
                    <a:pPr>
                      <a:defRPr sz="800">
                        <a:solidFill>
                          <a:sysClr val="windowText" lastClr="000000"/>
                        </a:solidFill>
                        <a:latin typeface="Times New Roman" panose="02020603050405020304" pitchFamily="18" charset="0"/>
                        <a:cs typeface="Times New Roman" panose="02020603050405020304" pitchFamily="18" charset="0"/>
                      </a:defRPr>
                    </a:pPr>
                    <a:fld id="{59B06122-9C9F-4EA3-8309-E6AFA36D8819}" type="CATEGORYNAME">
                      <a:rPr lang="ru-RU" sz="900" u="sng"/>
                      <a:pPr>
                        <a:defRPr sz="800">
                          <a:solidFill>
                            <a:sysClr val="windowText" lastClr="000000"/>
                          </a:solidFill>
                          <a:latin typeface="Times New Roman" panose="02020603050405020304" pitchFamily="18" charset="0"/>
                          <a:cs typeface="Times New Roman" panose="02020603050405020304" pitchFamily="18" charset="0"/>
                        </a:defRPr>
                      </a:pPr>
                      <a:t>[ИМЯ КАТЕГОРИИ]</a:t>
                    </a:fld>
                    <a:r>
                      <a:rPr lang="ru-RU" sz="900" baseline="0"/>
                      <a:t>;</a:t>
                    </a:r>
                  </a:p>
                  <a:p>
                    <a:pPr>
                      <a:defRPr sz="800">
                        <a:solidFill>
                          <a:sysClr val="windowText" lastClr="000000"/>
                        </a:solidFill>
                        <a:latin typeface="Times New Roman" panose="02020603050405020304" pitchFamily="18" charset="0"/>
                        <a:cs typeface="Times New Roman" panose="02020603050405020304" pitchFamily="18" charset="0"/>
                      </a:defRPr>
                    </a:pPr>
                    <a:r>
                      <a:rPr lang="ru-RU" sz="900" baseline="0"/>
                      <a:t> </a:t>
                    </a:r>
                    <a:fld id="{C0E0D813-AD80-40A9-9A96-9D70E963FA63}" type="VALUE">
                      <a:rPr lang="ru-RU" sz="900" b="0" baseline="0"/>
                      <a:pPr>
                        <a:defRPr sz="800">
                          <a:solidFill>
                            <a:sysClr val="windowText" lastClr="000000"/>
                          </a:solidFill>
                          <a:latin typeface="Times New Roman" panose="02020603050405020304" pitchFamily="18" charset="0"/>
                          <a:cs typeface="Times New Roman" panose="02020603050405020304" pitchFamily="18" charset="0"/>
                        </a:defRPr>
                      </a:pPr>
                      <a:t>[ЗНАЧЕНИЕ]</a:t>
                    </a:fld>
                    <a:r>
                      <a:rPr lang="ru-RU" sz="900" b="0" baseline="0"/>
                      <a:t> млн рублей;</a:t>
                    </a:r>
                  </a:p>
                  <a:p>
                    <a:pPr>
                      <a:defRPr sz="800">
                        <a:solidFill>
                          <a:sysClr val="windowText" lastClr="000000"/>
                        </a:solidFill>
                        <a:latin typeface="Times New Roman" panose="02020603050405020304" pitchFamily="18" charset="0"/>
                        <a:cs typeface="Times New Roman" panose="02020603050405020304" pitchFamily="18" charset="0"/>
                      </a:defRPr>
                    </a:pPr>
                    <a:r>
                      <a:rPr lang="ru-RU" sz="900" b="1" baseline="0"/>
                      <a:t>24,83 %</a:t>
                    </a:r>
                  </a:p>
                </c:rich>
              </c:tx>
              <c:spPr>
                <a:noFill/>
                <a:ln>
                  <a:noFill/>
                </a:ln>
                <a:effectLst/>
              </c:spPr>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5-CE5B-441E-9B5B-6BAA3633DBB8}"/>
                </c:ext>
                <c:ext xmlns:c15="http://schemas.microsoft.com/office/drawing/2012/chart" uri="{CE6537A1-D6FC-4f65-9D91-7224C49458BB}">
                  <c15:layout>
                    <c:manualLayout>
                      <c:w val="0.31977777777777777"/>
                      <c:h val="0.27314814814814814"/>
                    </c:manualLayout>
                  </c15:layout>
                  <c15:dlblFieldTable/>
                  <c15:showDataLabelsRange val="0"/>
                </c:ext>
              </c:extLst>
            </c:dLbl>
            <c:dLbl>
              <c:idx val="3"/>
              <c:layout>
                <c:manualLayout>
                  <c:x val="-0.14796169938984902"/>
                  <c:y val="-0.18981481998032976"/>
                </c:manualLayout>
              </c:layout>
              <c:tx>
                <c:rich>
                  <a:bodyPr vertOverflow="overflow" horzOverflow="overflow" wrap="square" lIns="38100" tIns="19050" rIns="38100" bIns="19050" anchor="ctr">
                    <a:spAutoFit/>
                  </a:bodyPr>
                  <a:lstStyle/>
                  <a:p>
                    <a:pPr>
                      <a:defRPr sz="800">
                        <a:solidFill>
                          <a:sysClr val="windowText" lastClr="000000"/>
                        </a:solidFill>
                        <a:latin typeface="Times New Roman" panose="02020603050405020304" pitchFamily="18" charset="0"/>
                        <a:cs typeface="Times New Roman" panose="02020603050405020304" pitchFamily="18" charset="0"/>
                      </a:defRPr>
                    </a:pPr>
                    <a:fld id="{25FD3546-2DAE-47F1-966B-69D59CA44EDD}" type="CATEGORYNAME">
                      <a:rPr lang="ru-RU" sz="900" u="sng"/>
                      <a:pPr>
                        <a:defRPr sz="800">
                          <a:solidFill>
                            <a:sysClr val="windowText" lastClr="000000"/>
                          </a:solidFill>
                          <a:latin typeface="Times New Roman" panose="02020603050405020304" pitchFamily="18" charset="0"/>
                          <a:cs typeface="Times New Roman" panose="02020603050405020304" pitchFamily="18" charset="0"/>
                        </a:defRPr>
                      </a:pPr>
                      <a:t>[ИМЯ КАТЕГОРИИ]</a:t>
                    </a:fld>
                    <a:r>
                      <a:rPr lang="ru-RU" sz="900" baseline="0"/>
                      <a:t>; </a:t>
                    </a:r>
                  </a:p>
                  <a:p>
                    <a:pPr>
                      <a:defRPr sz="800">
                        <a:solidFill>
                          <a:sysClr val="windowText" lastClr="000000"/>
                        </a:solidFill>
                        <a:latin typeface="Times New Roman" panose="02020603050405020304" pitchFamily="18" charset="0"/>
                        <a:cs typeface="Times New Roman" panose="02020603050405020304" pitchFamily="18" charset="0"/>
                      </a:defRPr>
                    </a:pPr>
                    <a:fld id="{0136EDCD-636A-409C-AA90-C4057F1E693D}" type="VALUE">
                      <a:rPr lang="ru-RU" sz="900" b="0" baseline="0"/>
                      <a:pPr>
                        <a:defRPr sz="800">
                          <a:solidFill>
                            <a:sysClr val="windowText" lastClr="000000"/>
                          </a:solidFill>
                          <a:latin typeface="Times New Roman" panose="02020603050405020304" pitchFamily="18" charset="0"/>
                          <a:cs typeface="Times New Roman" panose="02020603050405020304" pitchFamily="18" charset="0"/>
                        </a:defRPr>
                      </a:pPr>
                      <a:t>[ЗНАЧЕНИЕ]</a:t>
                    </a:fld>
                    <a:endParaRPr lang="ru-RU" sz="900" b="0" baseline="0"/>
                  </a:p>
                  <a:p>
                    <a:pPr>
                      <a:defRPr sz="800">
                        <a:solidFill>
                          <a:sysClr val="windowText" lastClr="000000"/>
                        </a:solidFill>
                        <a:latin typeface="Times New Roman" panose="02020603050405020304" pitchFamily="18" charset="0"/>
                        <a:cs typeface="Times New Roman" panose="02020603050405020304" pitchFamily="18" charset="0"/>
                      </a:defRPr>
                    </a:pPr>
                    <a:r>
                      <a:rPr lang="ru-RU" sz="900" b="0" baseline="0"/>
                      <a:t> млн рублей;</a:t>
                    </a:r>
                  </a:p>
                  <a:p>
                    <a:pPr>
                      <a:defRPr sz="800">
                        <a:solidFill>
                          <a:sysClr val="windowText" lastClr="000000"/>
                        </a:solidFill>
                        <a:latin typeface="Times New Roman" panose="02020603050405020304" pitchFamily="18" charset="0"/>
                        <a:cs typeface="Times New Roman" panose="02020603050405020304" pitchFamily="18" charset="0"/>
                      </a:defRPr>
                    </a:pPr>
                    <a:r>
                      <a:rPr lang="ru-RU" sz="900" b="1" baseline="0"/>
                      <a:t>45,07 </a:t>
                    </a:r>
                    <a:r>
                      <a:rPr lang="ru-RU" sz="800" b="1" baseline="0"/>
                      <a:t>%</a:t>
                    </a:r>
                  </a:p>
                </c:rich>
              </c:tx>
              <c:spPr>
                <a:noFill/>
                <a:ln>
                  <a:noFill/>
                </a:ln>
                <a:effectLst/>
              </c:spPr>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7-CE5B-441E-9B5B-6BAA3633DBB8}"/>
                </c:ext>
                <c:ext xmlns:c15="http://schemas.microsoft.com/office/drawing/2012/chart" uri="{CE6537A1-D6FC-4f65-9D91-7224C49458BB}">
                  <c15:layout>
                    <c:manualLayout>
                      <c:w val="0.25415993455363528"/>
                      <c:h val="0.23476850818748871"/>
                    </c:manualLayout>
                  </c15:layout>
                  <c15:dlblFieldTable/>
                  <c15:showDataLabelsRange val="0"/>
                </c:ext>
              </c:extLst>
            </c:dLbl>
            <c:spPr>
              <a:noFill/>
              <a:ln>
                <a:noFill/>
              </a:ln>
              <a:effectLst/>
            </c:spPr>
            <c:txPr>
              <a:bodyPr wrap="square" lIns="38100" tIns="19050" rIns="38100" bIns="19050" anchor="ctr">
                <a:spAutoFit/>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ru-RU"/>
              </a:p>
            </c:txPr>
            <c:showLegendKey val="0"/>
            <c:showVal val="1"/>
            <c:showCatName val="1"/>
            <c:showSerName val="0"/>
            <c:showPercent val="0"/>
            <c:showBubbleSize val="0"/>
            <c:showLeaderLines val="0"/>
            <c:extLst xmlns:c16r2="http://schemas.microsoft.com/office/drawing/2015/06/chart">
              <c:ext xmlns:c15="http://schemas.microsoft.com/office/drawing/2012/chart" uri="{CE6537A1-D6FC-4f65-9D91-7224C49458BB}"/>
            </c:extLst>
          </c:dLbls>
          <c:cat>
            <c:strRef>
              <c:f>'диагр безв'!$A$7:$A$10</c:f>
              <c:strCache>
                <c:ptCount val="4"/>
                <c:pt idx="0">
                  <c:v>Субвенции</c:v>
                </c:pt>
                <c:pt idx="1">
                  <c:v>Иные межбюджетные 
трансферты</c:v>
                </c:pt>
                <c:pt idx="2">
                  <c:v>Дотации</c:v>
                </c:pt>
                <c:pt idx="3">
                  <c:v>Субсидии</c:v>
                </c:pt>
              </c:strCache>
            </c:strRef>
          </c:cat>
          <c:val>
            <c:numRef>
              <c:f>'диагр безв'!$B$7:$B$10</c:f>
              <c:numCache>
                <c:formatCode>#,##0.00</c:formatCode>
                <c:ptCount val="4"/>
                <c:pt idx="0">
                  <c:v>3001.41</c:v>
                </c:pt>
                <c:pt idx="1">
                  <c:v>11964.3</c:v>
                </c:pt>
                <c:pt idx="2">
                  <c:v>12347.7</c:v>
                </c:pt>
                <c:pt idx="3">
                  <c:v>22413.96</c:v>
                </c:pt>
              </c:numCache>
            </c:numRef>
          </c:val>
          <c:extLst xmlns:c16r2="http://schemas.microsoft.com/office/drawing/2015/06/chart">
            <c:ext xmlns:c16="http://schemas.microsoft.com/office/drawing/2014/chart" uri="{C3380CC4-5D6E-409C-BE32-E72D297353CC}">
              <c16:uniqueId val="{00000008-CE5B-441E-9B5B-6BAA3633DBB8}"/>
            </c:ext>
          </c:extLst>
        </c:ser>
        <c:dLbls>
          <c:showLegendKey val="0"/>
          <c:showVal val="0"/>
          <c:showCatName val="0"/>
          <c:showSerName val="0"/>
          <c:showPercent val="0"/>
          <c:showBubbleSize val="0"/>
          <c:showLeaderLines val="0"/>
        </c:dLbls>
        <c:firstSliceAng val="0"/>
        <c:holeSize val="51"/>
      </c:doughnutChart>
    </c:plotArea>
    <c:plotVisOnly val="1"/>
    <c:dispBlanksAs val="gap"/>
    <c:showDLblsOverMax val="0"/>
  </c:chart>
  <c:spPr>
    <a:noFill/>
    <a:ln>
      <a:noFill/>
    </a:ln>
  </c:spPr>
  <c:txPr>
    <a:bodyPr/>
    <a:lstStyle/>
    <a:p>
      <a:pPr>
        <a:defRPr/>
      </a:pPr>
      <a:endParaRPr lang="ru-RU"/>
    </a:p>
  </c:txPr>
  <c:externalData r:id="rId2">
    <c:autoUpdate val="0"/>
  </c:externalData>
  <c:userShapes r:id="rId3"/>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813223740340678"/>
          <c:y val="0.33479203837647836"/>
          <c:w val="0.47718384858440444"/>
          <c:h val="0.58440453423647687"/>
        </c:manualLayout>
      </c:layout>
      <c:doughnutChart>
        <c:varyColors val="1"/>
        <c:ser>
          <c:idx val="0"/>
          <c:order val="0"/>
          <c:tx>
            <c:strRef>
              <c:f>'диагр безв'!$C$3</c:f>
              <c:strCache>
                <c:ptCount val="1"/>
                <c:pt idx="0">
                  <c:v>2024 год </c:v>
                </c:pt>
              </c:strCache>
            </c:strRef>
          </c:tx>
          <c:spPr>
            <a:ln>
              <a:noFill/>
            </a:ln>
          </c:spPr>
          <c:dPt>
            <c:idx val="0"/>
            <c:bubble3D val="0"/>
            <c:spPr>
              <a:solidFill>
                <a:schemeClr val="tx2">
                  <a:lumMod val="50000"/>
                  <a:lumOff val="50000"/>
                </a:schemeClr>
              </a:solidFill>
              <a:ln w="19050">
                <a:noFill/>
              </a:ln>
              <a:effectLst/>
            </c:spPr>
            <c:extLst xmlns:c16r2="http://schemas.microsoft.com/office/drawing/2015/06/chart">
              <c:ext xmlns:c16="http://schemas.microsoft.com/office/drawing/2014/chart" uri="{C3380CC4-5D6E-409C-BE32-E72D297353CC}">
                <c16:uniqueId val="{00000001-2368-4824-A378-88E3254E328C}"/>
              </c:ext>
            </c:extLst>
          </c:dPt>
          <c:dPt>
            <c:idx val="1"/>
            <c:bubble3D val="0"/>
            <c:spPr>
              <a:solidFill>
                <a:srgbClr val="B1EEED"/>
              </a:solidFill>
              <a:ln w="19050">
                <a:noFill/>
              </a:ln>
              <a:effectLst/>
            </c:spPr>
            <c:extLst xmlns:c16r2="http://schemas.microsoft.com/office/drawing/2015/06/chart">
              <c:ext xmlns:c16="http://schemas.microsoft.com/office/drawing/2014/chart" uri="{C3380CC4-5D6E-409C-BE32-E72D297353CC}">
                <c16:uniqueId val="{00000003-2368-4824-A378-88E3254E328C}"/>
              </c:ext>
            </c:extLst>
          </c:dPt>
          <c:dPt>
            <c:idx val="2"/>
            <c:bubble3D val="0"/>
            <c:spPr>
              <a:solidFill>
                <a:srgbClr val="92D050"/>
              </a:solidFill>
              <a:ln w="19050">
                <a:noFill/>
              </a:ln>
              <a:effectLst/>
            </c:spPr>
            <c:extLst xmlns:c16r2="http://schemas.microsoft.com/office/drawing/2015/06/chart">
              <c:ext xmlns:c16="http://schemas.microsoft.com/office/drawing/2014/chart" uri="{C3380CC4-5D6E-409C-BE32-E72D297353CC}">
                <c16:uniqueId val="{00000005-2368-4824-A378-88E3254E328C}"/>
              </c:ext>
            </c:extLst>
          </c:dPt>
          <c:dPt>
            <c:idx val="3"/>
            <c:bubble3D val="0"/>
            <c:spPr>
              <a:solidFill>
                <a:schemeClr val="bg1">
                  <a:lumMod val="65000"/>
                </a:schemeClr>
              </a:solidFill>
              <a:ln w="19050">
                <a:noFill/>
              </a:ln>
              <a:effectLst/>
            </c:spPr>
            <c:extLst xmlns:c16r2="http://schemas.microsoft.com/office/drawing/2015/06/chart">
              <c:ext xmlns:c16="http://schemas.microsoft.com/office/drawing/2014/chart" uri="{C3380CC4-5D6E-409C-BE32-E72D297353CC}">
                <c16:uniqueId val="{00000007-2368-4824-A378-88E3254E328C}"/>
              </c:ext>
            </c:extLst>
          </c:dPt>
          <c:dLbls>
            <c:dLbl>
              <c:idx val="0"/>
              <c:layout>
                <c:manualLayout>
                  <c:x val="-1.6739044335611383E-3"/>
                  <c:y val="-0.18997168773170653"/>
                </c:manualLayout>
              </c:layout>
              <c:tx>
                <c:rich>
                  <a:bodyPr/>
                  <a:lstStyle/>
                  <a:p>
                    <a:fld id="{A36F1B94-94B9-4AB5-9738-8D85FEE80D5A}" type="CATEGORYNAME">
                      <a:rPr lang="ru-RU" sz="900" u="sng"/>
                      <a:pPr/>
                      <a:t>[ИМЯ КАТЕГОРИИ]</a:t>
                    </a:fld>
                    <a:r>
                      <a:rPr lang="ru-RU" sz="900" baseline="0"/>
                      <a:t>; </a:t>
                    </a:r>
                  </a:p>
                  <a:p>
                    <a:fld id="{7301ECA7-C411-4F1B-BA12-E2E0585DD9A9}" type="VALUE">
                      <a:rPr lang="ru-RU" sz="900" b="0" baseline="0"/>
                      <a:pPr/>
                      <a:t>[ЗНАЧЕНИЕ]</a:t>
                    </a:fld>
                    <a:r>
                      <a:rPr lang="ru-RU" sz="900" b="0" baseline="0"/>
                      <a:t> млн рублей;</a:t>
                    </a:r>
                  </a:p>
                  <a:p>
                    <a:r>
                      <a:rPr lang="ru-RU" sz="900" b="1" baseline="0"/>
                      <a:t> 8,86 %</a:t>
                    </a:r>
                  </a:p>
                </c:rich>
              </c:tx>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1-2368-4824-A378-88E3254E328C}"/>
                </c:ext>
                <c:ext xmlns:c15="http://schemas.microsoft.com/office/drawing/2012/chart" uri="{CE6537A1-D6FC-4f65-9D91-7224C49458BB}">
                  <c15:layout>
                    <c:manualLayout>
                      <c:w val="0.4549788799112276"/>
                      <c:h val="0.23476832017436083"/>
                    </c:manualLayout>
                  </c15:layout>
                  <c15:dlblFieldTable/>
                  <c15:showDataLabelsRange val="0"/>
                </c:ext>
              </c:extLst>
            </c:dLbl>
            <c:dLbl>
              <c:idx val="1"/>
              <c:layout>
                <c:manualLayout>
                  <c:x val="0.18629017484048707"/>
                  <c:y val="-6.1460272011453126E-2"/>
                </c:manualLayout>
              </c:layout>
              <c:tx>
                <c:rich>
                  <a:bodyPr wrap="square" lIns="38100" tIns="19050" rIns="38100" bIns="19050" anchor="ctr">
                    <a:noAutofit/>
                  </a:bodyPr>
                  <a:lstStyle/>
                  <a:p>
                    <a:pPr>
                      <a:defRPr sz="800">
                        <a:solidFill>
                          <a:sysClr val="windowText" lastClr="000000"/>
                        </a:solidFill>
                        <a:latin typeface="Times New Roman" panose="02020603050405020304" pitchFamily="18" charset="0"/>
                        <a:cs typeface="Times New Roman" panose="02020603050405020304" pitchFamily="18" charset="0"/>
                      </a:defRPr>
                    </a:pPr>
                    <a:fld id="{B3262D04-C09B-4FC0-809C-920E84BBCF03}" type="CATEGORYNAME">
                      <a:rPr lang="ru-RU" sz="900" u="sng"/>
                      <a:pPr>
                        <a:defRPr sz="800">
                          <a:solidFill>
                            <a:sysClr val="windowText" lastClr="000000"/>
                          </a:solidFill>
                          <a:latin typeface="Times New Roman" panose="02020603050405020304" pitchFamily="18" charset="0"/>
                          <a:cs typeface="Times New Roman" panose="02020603050405020304" pitchFamily="18" charset="0"/>
                        </a:defRPr>
                      </a:pPr>
                      <a:t>[ИМЯ КАТЕГОРИИ]</a:t>
                    </a:fld>
                    <a:r>
                      <a:rPr lang="ru-RU" sz="900" baseline="0"/>
                      <a:t>; </a:t>
                    </a:r>
                  </a:p>
                  <a:p>
                    <a:pPr>
                      <a:defRPr sz="800">
                        <a:solidFill>
                          <a:sysClr val="windowText" lastClr="000000"/>
                        </a:solidFill>
                        <a:latin typeface="Times New Roman" panose="02020603050405020304" pitchFamily="18" charset="0"/>
                        <a:cs typeface="Times New Roman" panose="02020603050405020304" pitchFamily="18" charset="0"/>
                      </a:defRPr>
                    </a:pPr>
                    <a:fld id="{E978FF56-9D96-4159-A070-6371A0F5B77A}" type="VALUE">
                      <a:rPr lang="ru-RU" sz="900" b="0" baseline="0"/>
                      <a:pPr>
                        <a:defRPr sz="800">
                          <a:solidFill>
                            <a:sysClr val="windowText" lastClr="000000"/>
                          </a:solidFill>
                          <a:latin typeface="Times New Roman" panose="02020603050405020304" pitchFamily="18" charset="0"/>
                          <a:cs typeface="Times New Roman" panose="02020603050405020304" pitchFamily="18" charset="0"/>
                        </a:defRPr>
                      </a:pPr>
                      <a:t>[ЗНАЧЕНИЕ]</a:t>
                    </a:fld>
                    <a:r>
                      <a:rPr lang="ru-RU" sz="900" b="0" baseline="0"/>
                      <a:t> млн рублей;</a:t>
                    </a:r>
                  </a:p>
                  <a:p>
                    <a:pPr>
                      <a:defRPr sz="800">
                        <a:solidFill>
                          <a:sysClr val="windowText" lastClr="000000"/>
                        </a:solidFill>
                        <a:latin typeface="Times New Roman" panose="02020603050405020304" pitchFamily="18" charset="0"/>
                        <a:cs typeface="Times New Roman" panose="02020603050405020304" pitchFamily="18" charset="0"/>
                      </a:defRPr>
                    </a:pPr>
                    <a:r>
                      <a:rPr lang="ru-RU" sz="900" b="1" baseline="0"/>
                      <a:t>9,21 %</a:t>
                    </a:r>
                  </a:p>
                </c:rich>
              </c:tx>
              <c:spPr>
                <a:noFill/>
                <a:ln>
                  <a:noFill/>
                </a:ln>
                <a:effectLst/>
              </c:spPr>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3-2368-4824-A378-88E3254E328C}"/>
                </c:ext>
                <c:ext xmlns:c15="http://schemas.microsoft.com/office/drawing/2012/chart" uri="{CE6537A1-D6FC-4f65-9D91-7224C49458BB}">
                  <c15:layout>
                    <c:manualLayout>
                      <c:w val="0.37615637065973889"/>
                      <c:h val="0.39216316413636892"/>
                    </c:manualLayout>
                  </c15:layout>
                  <c15:dlblFieldTable/>
                  <c15:showDataLabelsRange val="0"/>
                </c:ext>
              </c:extLst>
            </c:dLbl>
            <c:dLbl>
              <c:idx val="2"/>
              <c:layout>
                <c:manualLayout>
                  <c:x val="0.18953434608552716"/>
                  <c:y val="8.4928925522708504E-2"/>
                </c:manualLayout>
              </c:layout>
              <c:tx>
                <c:rich>
                  <a:bodyPr wrap="square" lIns="38100" tIns="19050" rIns="38100" bIns="19050" anchor="ctr">
                    <a:noAutofit/>
                  </a:bodyPr>
                  <a:lstStyle/>
                  <a:p>
                    <a:pPr>
                      <a:defRPr sz="800">
                        <a:solidFill>
                          <a:sysClr val="windowText" lastClr="000000"/>
                        </a:solidFill>
                        <a:latin typeface="Times New Roman" panose="02020603050405020304" pitchFamily="18" charset="0"/>
                        <a:cs typeface="Times New Roman" panose="02020603050405020304" pitchFamily="18" charset="0"/>
                      </a:defRPr>
                    </a:pPr>
                    <a:fld id="{59B06122-9C9F-4EA3-8309-E6AFA36D8819}" type="CATEGORYNAME">
                      <a:rPr lang="ru-RU" sz="900" u="sng"/>
                      <a:pPr>
                        <a:defRPr sz="800">
                          <a:solidFill>
                            <a:sysClr val="windowText" lastClr="000000"/>
                          </a:solidFill>
                          <a:latin typeface="Times New Roman" panose="02020603050405020304" pitchFamily="18" charset="0"/>
                          <a:cs typeface="Times New Roman" panose="02020603050405020304" pitchFamily="18" charset="0"/>
                        </a:defRPr>
                      </a:pPr>
                      <a:t>[ИМЯ КАТЕГОРИИ]</a:t>
                    </a:fld>
                    <a:r>
                      <a:rPr lang="ru-RU" sz="900" baseline="0"/>
                      <a:t>;</a:t>
                    </a:r>
                  </a:p>
                  <a:p>
                    <a:pPr>
                      <a:defRPr sz="800">
                        <a:solidFill>
                          <a:sysClr val="windowText" lastClr="000000"/>
                        </a:solidFill>
                        <a:latin typeface="Times New Roman" panose="02020603050405020304" pitchFamily="18" charset="0"/>
                        <a:cs typeface="Times New Roman" panose="02020603050405020304" pitchFamily="18" charset="0"/>
                      </a:defRPr>
                    </a:pPr>
                    <a:r>
                      <a:rPr lang="ru-RU" sz="900" baseline="0"/>
                      <a:t> </a:t>
                    </a:r>
                    <a:fld id="{C0E0D813-AD80-40A9-9A96-9D70E963FA63}" type="VALUE">
                      <a:rPr lang="ru-RU" sz="900" b="0" baseline="0"/>
                      <a:pPr>
                        <a:defRPr sz="800">
                          <a:solidFill>
                            <a:sysClr val="windowText" lastClr="000000"/>
                          </a:solidFill>
                          <a:latin typeface="Times New Roman" panose="02020603050405020304" pitchFamily="18" charset="0"/>
                          <a:cs typeface="Times New Roman" panose="02020603050405020304" pitchFamily="18" charset="0"/>
                        </a:defRPr>
                      </a:pPr>
                      <a:t>[ЗНАЧЕНИЕ]</a:t>
                    </a:fld>
                    <a:r>
                      <a:rPr lang="ru-RU" sz="900" b="0" baseline="0"/>
                      <a:t> млн рублей</a:t>
                    </a:r>
                    <a:r>
                      <a:rPr lang="ru-RU" sz="900" b="1" baseline="0"/>
                      <a:t>;</a:t>
                    </a:r>
                  </a:p>
                  <a:p>
                    <a:pPr>
                      <a:defRPr sz="800">
                        <a:solidFill>
                          <a:sysClr val="windowText" lastClr="000000"/>
                        </a:solidFill>
                        <a:latin typeface="Times New Roman" panose="02020603050405020304" pitchFamily="18" charset="0"/>
                        <a:cs typeface="Times New Roman" panose="02020603050405020304" pitchFamily="18" charset="0"/>
                      </a:defRPr>
                    </a:pPr>
                    <a:r>
                      <a:rPr lang="ru-RU" sz="900" b="1" baseline="0"/>
                      <a:t>19,76 %</a:t>
                    </a:r>
                  </a:p>
                </c:rich>
              </c:tx>
              <c:spPr>
                <a:noFill/>
                <a:ln>
                  <a:noFill/>
                </a:ln>
                <a:effectLst/>
              </c:spPr>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5-2368-4824-A378-88E3254E328C}"/>
                </c:ext>
                <c:ext xmlns:c15="http://schemas.microsoft.com/office/drawing/2012/chart" uri="{CE6537A1-D6FC-4f65-9D91-7224C49458BB}">
                  <c15:layout>
                    <c:manualLayout>
                      <c:w val="0.33773535883772099"/>
                      <c:h val="0.29485785104541717"/>
                    </c:manualLayout>
                  </c15:layout>
                  <c15:dlblFieldTable/>
                  <c15:showDataLabelsRange val="0"/>
                </c:ext>
              </c:extLst>
            </c:dLbl>
            <c:dLbl>
              <c:idx val="3"/>
              <c:layout>
                <c:manualLayout>
                  <c:x val="-0.18194444444444444"/>
                  <c:y val="-0.3217592592592593"/>
                </c:manualLayout>
              </c:layout>
              <c:tx>
                <c:rich>
                  <a:bodyPr wrap="square" lIns="38100" tIns="19050" rIns="38100" bIns="19050" anchor="ctr">
                    <a:noAutofit/>
                  </a:bodyPr>
                  <a:lstStyle/>
                  <a:p>
                    <a:pPr>
                      <a:defRPr sz="800">
                        <a:solidFill>
                          <a:sysClr val="windowText" lastClr="000000"/>
                        </a:solidFill>
                        <a:latin typeface="Times New Roman" panose="02020603050405020304" pitchFamily="18" charset="0"/>
                        <a:cs typeface="Times New Roman" panose="02020603050405020304" pitchFamily="18" charset="0"/>
                      </a:defRPr>
                    </a:pPr>
                    <a:fld id="{25FD3546-2DAE-47F1-966B-69D59CA44EDD}" type="CATEGORYNAME">
                      <a:rPr lang="ru-RU" sz="900" u="sng"/>
                      <a:pPr>
                        <a:defRPr sz="800">
                          <a:solidFill>
                            <a:sysClr val="windowText" lastClr="000000"/>
                          </a:solidFill>
                          <a:latin typeface="Times New Roman" panose="02020603050405020304" pitchFamily="18" charset="0"/>
                          <a:cs typeface="Times New Roman" panose="02020603050405020304" pitchFamily="18" charset="0"/>
                        </a:defRPr>
                      </a:pPr>
                      <a:t>[ИМЯ КАТЕГОРИИ]</a:t>
                    </a:fld>
                    <a:r>
                      <a:rPr lang="ru-RU" sz="900" baseline="0"/>
                      <a:t>; </a:t>
                    </a:r>
                  </a:p>
                  <a:p>
                    <a:pPr>
                      <a:defRPr sz="800">
                        <a:solidFill>
                          <a:sysClr val="windowText" lastClr="000000"/>
                        </a:solidFill>
                        <a:latin typeface="Times New Roman" panose="02020603050405020304" pitchFamily="18" charset="0"/>
                        <a:cs typeface="Times New Roman" panose="02020603050405020304" pitchFamily="18" charset="0"/>
                      </a:defRPr>
                    </a:pPr>
                    <a:fld id="{0136EDCD-636A-409C-AA90-C4057F1E693D}" type="VALUE">
                      <a:rPr lang="ru-RU" sz="900" b="0" baseline="0"/>
                      <a:pPr>
                        <a:defRPr sz="800">
                          <a:solidFill>
                            <a:sysClr val="windowText" lastClr="000000"/>
                          </a:solidFill>
                          <a:latin typeface="Times New Roman" panose="02020603050405020304" pitchFamily="18" charset="0"/>
                          <a:cs typeface="Times New Roman" panose="02020603050405020304" pitchFamily="18" charset="0"/>
                        </a:defRPr>
                      </a:pPr>
                      <a:t>[ЗНАЧЕНИЕ]</a:t>
                    </a:fld>
                    <a:endParaRPr lang="ru-RU" sz="900" b="0" baseline="0"/>
                  </a:p>
                  <a:p>
                    <a:pPr>
                      <a:defRPr sz="800">
                        <a:solidFill>
                          <a:sysClr val="windowText" lastClr="000000"/>
                        </a:solidFill>
                        <a:latin typeface="Times New Roman" panose="02020603050405020304" pitchFamily="18" charset="0"/>
                        <a:cs typeface="Times New Roman" panose="02020603050405020304" pitchFamily="18" charset="0"/>
                      </a:defRPr>
                    </a:pPr>
                    <a:r>
                      <a:rPr lang="ru-RU" sz="900" b="0" baseline="0"/>
                      <a:t> млн рублей</a:t>
                    </a:r>
                    <a:r>
                      <a:rPr lang="ru-RU" sz="900" b="1" baseline="0"/>
                      <a:t>;</a:t>
                    </a:r>
                  </a:p>
                  <a:p>
                    <a:pPr>
                      <a:defRPr sz="800">
                        <a:solidFill>
                          <a:sysClr val="windowText" lastClr="000000"/>
                        </a:solidFill>
                        <a:latin typeface="Times New Roman" panose="02020603050405020304" pitchFamily="18" charset="0"/>
                        <a:cs typeface="Times New Roman" panose="02020603050405020304" pitchFamily="18" charset="0"/>
                      </a:defRPr>
                    </a:pPr>
                    <a:r>
                      <a:rPr lang="ru-RU" sz="900" b="1" baseline="0"/>
                      <a:t>62,17 %</a:t>
                    </a:r>
                  </a:p>
                </c:rich>
              </c:tx>
              <c:spPr>
                <a:noFill/>
                <a:ln>
                  <a:noFill/>
                </a:ln>
                <a:effectLst/>
              </c:spPr>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7-2368-4824-A378-88E3254E328C}"/>
                </c:ext>
                <c:ext xmlns:c15="http://schemas.microsoft.com/office/drawing/2012/chart" uri="{CE6537A1-D6FC-4f65-9D91-7224C49458BB}">
                  <c15:layout>
                    <c:manualLayout>
                      <c:w val="0.31022222222222223"/>
                      <c:h val="0.28703703703703703"/>
                    </c:manualLayout>
                  </c15:layout>
                  <c15:dlblFieldTable/>
                  <c15:showDataLabelsRange val="0"/>
                </c:ext>
              </c:extLst>
            </c:dLbl>
            <c:spPr>
              <a:noFill/>
              <a:ln>
                <a:noFill/>
              </a:ln>
              <a:effectLst/>
            </c:spPr>
            <c:txPr>
              <a:bodyPr wrap="square" lIns="38100" tIns="19050" rIns="38100" bIns="19050" anchor="ctr">
                <a:spAutoFit/>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ru-RU"/>
              </a:p>
            </c:txPr>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'диагр безв'!$A$7:$A$10</c:f>
              <c:strCache>
                <c:ptCount val="4"/>
                <c:pt idx="0">
                  <c:v>Субвенции</c:v>
                </c:pt>
                <c:pt idx="1">
                  <c:v>Иные межбюджетные 
трансферты</c:v>
                </c:pt>
                <c:pt idx="2">
                  <c:v>Дотации</c:v>
                </c:pt>
                <c:pt idx="3">
                  <c:v>Субсидии</c:v>
                </c:pt>
              </c:strCache>
            </c:strRef>
          </c:cat>
          <c:val>
            <c:numRef>
              <c:f>'диагр безв'!$C$7:$C$10</c:f>
              <c:numCache>
                <c:formatCode>#,##0.00</c:formatCode>
                <c:ptCount val="4"/>
                <c:pt idx="0">
                  <c:v>3324.68</c:v>
                </c:pt>
                <c:pt idx="1">
                  <c:v>3456.16</c:v>
                </c:pt>
                <c:pt idx="2">
                  <c:v>7413.05</c:v>
                </c:pt>
                <c:pt idx="3">
                  <c:v>23330.23</c:v>
                </c:pt>
              </c:numCache>
            </c:numRef>
          </c:val>
          <c:extLst xmlns:c16r2="http://schemas.microsoft.com/office/drawing/2015/06/chart">
            <c:ext xmlns:c16="http://schemas.microsoft.com/office/drawing/2014/chart" uri="{C3380CC4-5D6E-409C-BE32-E72D297353CC}">
              <c16:uniqueId val="{00000008-2368-4824-A378-88E3254E328C}"/>
            </c:ext>
          </c:extLst>
        </c:ser>
        <c:dLbls>
          <c:showLegendKey val="0"/>
          <c:showVal val="0"/>
          <c:showCatName val="0"/>
          <c:showSerName val="0"/>
          <c:showPercent val="0"/>
          <c:showBubbleSize val="0"/>
          <c:showLeaderLines val="1"/>
        </c:dLbls>
        <c:firstSliceAng val="0"/>
        <c:holeSize val="51"/>
      </c:doughnutChart>
    </c:plotArea>
    <c:plotVisOnly val="1"/>
    <c:dispBlanksAs val="gap"/>
    <c:showDLblsOverMax val="0"/>
  </c:chart>
  <c:spPr>
    <a:noFill/>
    <a:ln>
      <a:noFill/>
    </a:ln>
  </c:spPr>
  <c:txPr>
    <a:bodyPr/>
    <a:lstStyle/>
    <a:p>
      <a:pPr>
        <a:defRPr/>
      </a:pPr>
      <a:endParaRPr lang="ru-RU"/>
    </a:p>
  </c:txPr>
  <c:externalData r:id="rId2">
    <c:autoUpdate val="0"/>
  </c:externalData>
  <c:userShapes r:id="rId3"/>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solidFill>
                <a:latin typeface="+mn-lt"/>
                <a:ea typeface="+mn-ea"/>
                <a:cs typeface="+mn-cs"/>
              </a:defRPr>
            </a:pPr>
            <a:r>
              <a:rPr lang="ru-RU" sz="1200" b="1" i="0" baseline="0">
                <a:solidFill>
                  <a:sysClr val="windowText" lastClr="000000"/>
                </a:solidFill>
                <a:effectLst/>
                <a:latin typeface="Times New Roman" panose="02020603050405020304" pitchFamily="18" charset="0"/>
                <a:cs typeface="Times New Roman" panose="02020603050405020304" pitchFamily="18" charset="0"/>
              </a:rPr>
              <a:t>Динамика недоимки в консолидированный бюджет Приморского края за период 2020-2024 годов,</a:t>
            </a: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solidFill>
              </a:defRPr>
            </a:pPr>
            <a:r>
              <a:rPr lang="ru-RU" sz="1200" b="1" i="0" baseline="0">
                <a:solidFill>
                  <a:sysClr val="windowText" lastClr="000000"/>
                </a:solidFill>
                <a:effectLst/>
                <a:latin typeface="Times New Roman" panose="02020603050405020304" pitchFamily="18" charset="0"/>
                <a:cs typeface="Times New Roman" panose="02020603050405020304" pitchFamily="18" charset="0"/>
              </a:rPr>
              <a:t> млн рублей</a:t>
            </a:r>
            <a:endParaRPr lang="ru-RU" sz="1050" b="1">
              <a:solidFill>
                <a:sysClr val="windowText" lastClr="000000"/>
              </a:solidFill>
              <a:effectLst/>
              <a:latin typeface="Times New Roman" panose="02020603050405020304" pitchFamily="18" charset="0"/>
              <a:cs typeface="Times New Roman" panose="02020603050405020304" pitchFamily="18" charset="0"/>
            </a:endParaRPr>
          </a:p>
        </c:rich>
      </c:tx>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820568453026687E-2"/>
          <c:y val="0.20447564721369021"/>
          <c:w val="0.95226730310262531"/>
          <c:h val="0.62297837496069908"/>
        </c:manualLayout>
      </c:layout>
      <c:bar3DChart>
        <c:barDir val="col"/>
        <c:grouping val="stacked"/>
        <c:varyColors val="0"/>
        <c:ser>
          <c:idx val="0"/>
          <c:order val="0"/>
          <c:spPr>
            <a:solidFill>
              <a:schemeClr val="accent1">
                <a:lumMod val="60000"/>
                <a:lumOff val="40000"/>
              </a:schemeClr>
            </a:solidFill>
            <a:ln w="19050">
              <a:solidFill>
                <a:srgbClr val="5B9BD5">
                  <a:lumMod val="60000"/>
                  <a:lumOff val="40000"/>
                </a:srgbClr>
              </a:solidFill>
            </a:ln>
            <a:effectLst/>
            <a:sp3d contourW="19050">
              <a:contourClr>
                <a:srgbClr val="5B9BD5">
                  <a:lumMod val="60000"/>
                  <a:lumOff val="40000"/>
                </a:srgbClr>
              </a:contourClr>
            </a:sp3d>
          </c:spPr>
          <c:invertIfNegative val="0"/>
          <c:dLbls>
            <c:dLbl>
              <c:idx val="0"/>
              <c:layout>
                <c:manualLayout>
                  <c:x val="5.6680479868335401E-3"/>
                  <c:y val="-0.2137670764428388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AF9F-479D-8344-3348A7D37585}"/>
                </c:ext>
                <c:ext xmlns:c15="http://schemas.microsoft.com/office/drawing/2012/chart" uri="{CE6537A1-D6FC-4f65-9D91-7224C49458BB}">
                  <c15:layout/>
                </c:ext>
              </c:extLst>
            </c:dLbl>
            <c:dLbl>
              <c:idx val="1"/>
              <c:layout>
                <c:manualLayout>
                  <c:x val="1.4701489240917397E-2"/>
                  <c:y val="-0.2283573294986234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AF9F-479D-8344-3348A7D37585}"/>
                </c:ext>
                <c:ext xmlns:c15="http://schemas.microsoft.com/office/drawing/2012/chart" uri="{CE6537A1-D6FC-4f65-9D91-7224C49458BB}">
                  <c15:layout/>
                </c:ext>
              </c:extLst>
            </c:dLbl>
            <c:dLbl>
              <c:idx val="2"/>
              <c:layout>
                <c:manualLayout>
                  <c:x val="5.1031409355567518E-3"/>
                  <c:y val="-0.2930691124633920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F9F-479D-8344-3348A7D37585}"/>
                </c:ext>
                <c:ext xmlns:c15="http://schemas.microsoft.com/office/drawing/2012/chart" uri="{CE6537A1-D6FC-4f65-9D91-7224C49458BB}">
                  <c15:layout/>
                </c:ext>
              </c:extLst>
            </c:dLbl>
            <c:dLbl>
              <c:idx val="3"/>
              <c:layout>
                <c:manualLayout>
                  <c:x val="1.3391389134741702E-2"/>
                  <c:y val="-0.3067825263490170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AF9F-479D-8344-3348A7D37585}"/>
                </c:ext>
                <c:ext xmlns:c15="http://schemas.microsoft.com/office/drawing/2012/chart" uri="{CE6537A1-D6FC-4f65-9D91-7224C49458BB}">
                  <c15:layout/>
                </c:ext>
              </c:extLst>
            </c:dLbl>
            <c:dLbl>
              <c:idx val="4"/>
              <c:layout>
                <c:manualLayout>
                  <c:x val="1.585273480125186E-2"/>
                  <c:y val="-0.3230268488153902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AF9F-479D-8344-3348A7D37585}"/>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Лист1!$C$2:$G$2</c:f>
              <c:strCache>
                <c:ptCount val="5"/>
                <c:pt idx="0">
                  <c:v>на 01.01.2021</c:v>
                </c:pt>
                <c:pt idx="1">
                  <c:v>на 01.01.2022</c:v>
                </c:pt>
                <c:pt idx="2">
                  <c:v>на 01.02.2023*</c:v>
                </c:pt>
                <c:pt idx="3">
                  <c:v>на 01.01.2024</c:v>
                </c:pt>
                <c:pt idx="4">
                  <c:v>на 01.01.2025</c:v>
                </c:pt>
              </c:strCache>
            </c:strRef>
          </c:cat>
          <c:val>
            <c:numRef>
              <c:f>Лист1!$C$3:$G$3</c:f>
              <c:numCache>
                <c:formatCode>0.00</c:formatCode>
                <c:ptCount val="5"/>
                <c:pt idx="0">
                  <c:v>2842.5079999999998</c:v>
                </c:pt>
                <c:pt idx="1">
                  <c:v>2825.7598500700001</c:v>
                </c:pt>
                <c:pt idx="2">
                  <c:v>4986.6743008899994</c:v>
                </c:pt>
                <c:pt idx="3" formatCode="#,##0.00">
                  <c:v>4995.2638899999993</c:v>
                </c:pt>
                <c:pt idx="4" formatCode="#,##0.00">
                  <c:v>5528.3675199999998</c:v>
                </c:pt>
              </c:numCache>
            </c:numRef>
          </c:val>
          <c:extLst xmlns:c16r2="http://schemas.microsoft.com/office/drawing/2015/06/chart">
            <c:ext xmlns:c16="http://schemas.microsoft.com/office/drawing/2014/chart" uri="{C3380CC4-5D6E-409C-BE32-E72D297353CC}">
              <c16:uniqueId val="{00000005-AF9F-479D-8344-3348A7D37585}"/>
            </c:ext>
          </c:extLst>
        </c:ser>
        <c:dLbls>
          <c:showLegendKey val="0"/>
          <c:showVal val="0"/>
          <c:showCatName val="0"/>
          <c:showSerName val="0"/>
          <c:showPercent val="0"/>
          <c:showBubbleSize val="0"/>
        </c:dLbls>
        <c:gapWidth val="150"/>
        <c:shape val="box"/>
        <c:axId val="204814152"/>
        <c:axId val="204816504"/>
        <c:axId val="0"/>
      </c:bar3DChart>
      <c:catAx>
        <c:axId val="20481415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4816504"/>
        <c:crosses val="autoZero"/>
        <c:auto val="1"/>
        <c:lblAlgn val="ctr"/>
        <c:lblOffset val="100"/>
        <c:noMultiLvlLbl val="0"/>
      </c:catAx>
      <c:valAx>
        <c:axId val="204816504"/>
        <c:scaling>
          <c:orientation val="minMax"/>
        </c:scaling>
        <c:delete val="1"/>
        <c:axPos val="l"/>
        <c:majorGridlines>
          <c:spPr>
            <a:ln w="9525" cap="flat" cmpd="sng" algn="ctr">
              <a:noFill/>
              <a:round/>
            </a:ln>
            <a:effectLst/>
          </c:spPr>
        </c:majorGridlines>
        <c:numFmt formatCode="0.00" sourceLinked="1"/>
        <c:majorTickMark val="none"/>
        <c:minorTickMark val="none"/>
        <c:tickLblPos val="nextTo"/>
        <c:crossAx val="20481415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7859067322624221"/>
          <c:y val="2.7554535017221583E-2"/>
          <c:w val="0.49361670250865891"/>
          <c:h val="0.92706913581327621"/>
        </c:manualLayout>
      </c:layout>
      <c:bar3DChart>
        <c:barDir val="bar"/>
        <c:grouping val="clustered"/>
        <c:varyColors val="0"/>
        <c:ser>
          <c:idx val="0"/>
          <c:order val="0"/>
          <c:tx>
            <c:strRef>
              <c:f>Лист4!$C$1</c:f>
              <c:strCache>
                <c:ptCount val="1"/>
                <c:pt idx="0">
                  <c:v>на 01.01.2025, млн рублей</c:v>
                </c:pt>
              </c:strCache>
            </c:strRef>
          </c:tx>
          <c:spPr>
            <a:solidFill>
              <a:schemeClr val="accent1"/>
            </a:solidFill>
            <a:ln>
              <a:noFill/>
            </a:ln>
            <a:effectLst/>
            <a:sp3d/>
          </c:spPr>
          <c:invertIfNegative val="0"/>
          <c:dLbls>
            <c:dLbl>
              <c:idx val="0"/>
              <c:layout>
                <c:manualLayout>
                  <c:x val="2.5533831920553788E-5"/>
                  <c:y val="1.251891178972279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8546-4D67-B700-11215680D2EF}"/>
                </c:ext>
                <c:ext xmlns:c15="http://schemas.microsoft.com/office/drawing/2012/chart" uri="{CE6537A1-D6FC-4f65-9D91-7224C49458BB}">
                  <c15:layout/>
                </c:ext>
              </c:extLst>
            </c:dLbl>
            <c:dLbl>
              <c:idx val="2"/>
              <c:layout>
                <c:manualLayout>
                  <c:x val="-2.0399836801307087E-3"/>
                  <c:y val="7.4738415545590664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8546-4D67-B700-11215680D2EF}"/>
                </c:ext>
                <c:ext xmlns:c15="http://schemas.microsoft.com/office/drawing/2012/chart" uri="{CE6537A1-D6FC-4f65-9D91-7224C49458BB}">
                  <c15:layout/>
                </c:ext>
              </c:extLst>
            </c:dLbl>
            <c:dLbl>
              <c:idx val="3"/>
              <c:layout>
                <c:manualLayout>
                  <c:x val="-6.1199510403916772E-3"/>
                  <c:y val="2.2836474274475324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8546-4D67-B700-11215680D2EF}"/>
                </c:ext>
                <c:ext xmlns:c15="http://schemas.microsoft.com/office/drawing/2012/chart" uri="{CE6537A1-D6FC-4f65-9D91-7224C49458BB}">
                  <c15:layout/>
                </c:ext>
              </c:extLst>
            </c:dLbl>
            <c:dLbl>
              <c:idx val="4"/>
              <c:layout>
                <c:manualLayout>
                  <c:x val="1.4279885760913913E-2"/>
                  <c:y val="8.764241893076289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8546-4D67-B700-11215680D2EF}"/>
                </c:ext>
                <c:ext xmlns:c15="http://schemas.microsoft.com/office/drawing/2012/chart" uri="{CE6537A1-D6FC-4f65-9D91-7224C49458BB}">
                  <c15:layout/>
                </c:ext>
              </c:extLst>
            </c:dLbl>
            <c:dLbl>
              <c:idx val="5"/>
              <c:layout>
                <c:manualLayout>
                  <c:x val="8.1599347205223108E-3"/>
                  <c:y val="7.4738415545590429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8546-4D67-B700-11215680D2EF}"/>
                </c:ext>
                <c:ext xmlns:c15="http://schemas.microsoft.com/office/drawing/2012/chart" uri="{CE6537A1-D6FC-4f65-9D91-7224C49458BB}">
                  <c15:layout/>
                </c:ext>
              </c:extLst>
            </c:dLbl>
            <c:dLbl>
              <c:idx val="10"/>
              <c:layout>
                <c:manualLayout>
                  <c:x val="-7.4798537525698852E-17"/>
                  <c:y val="7.4738415545590429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8546-4D67-B700-11215680D2EF}"/>
                </c:ext>
                <c:ext xmlns:c15="http://schemas.microsoft.com/office/drawing/2012/chart" uri="{CE6537A1-D6FC-4f65-9D91-7224C49458BB}">
                  <c15:layout/>
                </c:ext>
              </c:extLst>
            </c:dLbl>
            <c:dLbl>
              <c:idx val="11"/>
              <c:layout>
                <c:manualLayout>
                  <c:x val="-7.4798537525698852E-17"/>
                  <c:y val="7.4738415545591349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8546-4D67-B700-11215680D2EF}"/>
                </c:ext>
                <c:ext xmlns:c15="http://schemas.microsoft.com/office/drawing/2012/chart" uri="{CE6537A1-D6FC-4f65-9D91-7224C49458BB}">
                  <c15:layout/>
                </c:ext>
              </c:extLst>
            </c:dLbl>
            <c:dLbl>
              <c:idx val="12"/>
              <c:layout>
                <c:manualLayout>
                  <c:x val="0"/>
                  <c:y val="7.4738415545590429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8546-4D67-B700-11215680D2EF}"/>
                </c:ext>
                <c:ext xmlns:c15="http://schemas.microsoft.com/office/drawing/2012/chart" uri="{CE6537A1-D6FC-4f65-9D91-7224C49458BB}">
                  <c15:layout/>
                </c:ext>
              </c:extLst>
            </c:dLbl>
            <c:dLbl>
              <c:idx val="13"/>
              <c:layout>
                <c:manualLayout>
                  <c:x val="2.039983680130484E-3"/>
                  <c:y val="2.491280518186439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8546-4D67-B700-11215680D2EF}"/>
                </c:ext>
                <c:ext xmlns:c15="http://schemas.microsoft.com/office/drawing/2012/chart" uri="{CE6537A1-D6FC-4f65-9D91-7224C49458BB}">
                  <c15:layout/>
                </c:ext>
              </c:extLst>
            </c:dLbl>
            <c:dLbl>
              <c:idx val="14"/>
              <c:layout>
                <c:manualLayout>
                  <c:x val="2.0399836801305591E-3"/>
                  <c:y val="4.9825610363726956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8546-4D67-B700-11215680D2EF}"/>
                </c:ext>
                <c:ext xmlns:c15="http://schemas.microsoft.com/office/drawing/2012/chart" uri="{CE6537A1-D6FC-4f65-9D91-7224C49458BB}">
                  <c15:layout/>
                </c:ext>
              </c:extLst>
            </c:dLbl>
            <c:dLbl>
              <c:idx val="16"/>
              <c:layout>
                <c:manualLayout>
                  <c:x val="0"/>
                  <c:y val="4.9825610363727867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8546-4D67-B700-11215680D2EF}"/>
                </c:ext>
                <c:ext xmlns:c15="http://schemas.microsoft.com/office/drawing/2012/chart" uri="{CE6537A1-D6FC-4f65-9D91-7224C49458BB}">
                  <c15:layout/>
                </c:ext>
              </c:extLst>
            </c:dLbl>
            <c:dLbl>
              <c:idx val="18"/>
              <c:layout>
                <c:manualLayout>
                  <c:x val="0"/>
                  <c:y val="2.491280518186439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8546-4D67-B700-11215680D2EF}"/>
                </c:ext>
                <c:ext xmlns:c15="http://schemas.microsoft.com/office/drawing/2012/chart" uri="{CE6537A1-D6FC-4f65-9D91-7224C49458BB}">
                  <c15:layout/>
                </c:ext>
              </c:extLst>
            </c:dLbl>
            <c:dLbl>
              <c:idx val="19"/>
              <c:layout>
                <c:manualLayout>
                  <c:x val="8.1599347205222363E-3"/>
                  <c:y val="7.4738415545591349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8546-4D67-B700-11215680D2EF}"/>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Лист4!$A$2:$B$22</c:f>
              <c:strCache>
                <c:ptCount val="21"/>
                <c:pt idx="0">
                  <c:v>Прочие</c:v>
                </c:pt>
                <c:pt idx="1">
                  <c:v>Торговля оптовая, кроме оптовой торговли автотранспортными средствами и мотоциклами</c:v>
                </c:pt>
                <c:pt idx="2">
                  <c:v>Строительство</c:v>
                </c:pt>
                <c:pt idx="3">
                  <c:v>Добыча полезных ископаемых</c:v>
                </c:pt>
                <c:pt idx="4">
                  <c:v>Остальные виды экономической деятельности</c:v>
                </c:pt>
                <c:pt idx="5">
                  <c:v>Производство химических веществ и химических продуктов, лекарственных средств и материалов</c:v>
                </c:pt>
                <c:pt idx="6">
                  <c:v>Рыболовство и рыбоводство</c:v>
                </c:pt>
                <c:pt idx="7">
                  <c:v>Торговля розничная, кроме торговли автотранспортными средствами и мотоциклами</c:v>
                </c:pt>
                <c:pt idx="8">
                  <c:v>Операции с недвижимым имуществом</c:v>
                </c:pt>
                <c:pt idx="9">
                  <c:v>Складское хозяйство и вспомогательная транспортная деятельность</c:v>
                </c:pt>
                <c:pt idx="10">
                  <c:v>Лесоводство и лесозаготовки</c:v>
                </c:pt>
                <c:pt idx="11">
                  <c:v>Аренда и лизинг</c:v>
                </c:pt>
                <c:pt idx="12">
                  <c:v>Деятельность сухопутного и трубопроводного транспорта</c:v>
                </c:pt>
                <c:pt idx="13">
                  <c:v>Растениеводство и животноводство, охота и предоставление соответствующих услуг в этих областях</c:v>
                </c:pt>
                <c:pt idx="14">
                  <c:v>Торговля оптовая и розничная автотранспортными средствами и мотоциклами и их ремонт</c:v>
                </c:pt>
                <c:pt idx="15">
                  <c:v>Производство кокса и нефтепродуктов</c:v>
                </c:pt>
                <c:pt idx="16">
                  <c:v>Предоставление прочих видов услуг</c:v>
                </c:pt>
                <c:pt idx="17">
                  <c:v>Деятельность по предоставлению мест для временного проживания, по предоставлению продуктов питания и напитков</c:v>
                </c:pt>
                <c:pt idx="18">
                  <c:v>Производство пищевых продуктов, напитков</c:v>
                </c:pt>
                <c:pt idx="19">
                  <c:v>Металлургическое производство и производство готовых металлических изделий</c:v>
                </c:pt>
                <c:pt idx="20">
                  <c:v>Водоотведение, организация сбора и утилизации отходов, деятельность по ликвидации загрязнений
</c:v>
                </c:pt>
              </c:strCache>
            </c:strRef>
          </c:cat>
          <c:val>
            <c:numRef>
              <c:f>Лист4!$C$2:$C$22</c:f>
              <c:numCache>
                <c:formatCode>#,##0.00</c:formatCode>
                <c:ptCount val="21"/>
                <c:pt idx="0">
                  <c:v>1144.8855423499999</c:v>
                </c:pt>
                <c:pt idx="1">
                  <c:v>1092.8047936299999</c:v>
                </c:pt>
                <c:pt idx="2">
                  <c:v>715.43227323999997</c:v>
                </c:pt>
                <c:pt idx="3">
                  <c:v>481.61114418</c:v>
                </c:pt>
                <c:pt idx="4">
                  <c:v>285.79348880999987</c:v>
                </c:pt>
                <c:pt idx="5">
                  <c:v>280.11960264999999</c:v>
                </c:pt>
                <c:pt idx="6">
                  <c:v>206.86066959000001</c:v>
                </c:pt>
                <c:pt idx="7">
                  <c:v>173.99846054</c:v>
                </c:pt>
                <c:pt idx="8">
                  <c:v>153.96100004000002</c:v>
                </c:pt>
                <c:pt idx="9">
                  <c:v>149.37296114999998</c:v>
                </c:pt>
                <c:pt idx="10">
                  <c:v>137.07586766</c:v>
                </c:pt>
                <c:pt idx="11">
                  <c:v>121.17605452000001</c:v>
                </c:pt>
                <c:pt idx="12">
                  <c:v>109.05337301</c:v>
                </c:pt>
                <c:pt idx="13">
                  <c:v>106.91779773</c:v>
                </c:pt>
                <c:pt idx="14">
                  <c:v>73.697080100000008</c:v>
                </c:pt>
                <c:pt idx="15">
                  <c:v>63.39898401</c:v>
                </c:pt>
                <c:pt idx="16">
                  <c:v>54.021164779999999</c:v>
                </c:pt>
                <c:pt idx="17">
                  <c:v>50.64649249</c:v>
                </c:pt>
                <c:pt idx="18">
                  <c:v>48.934947569999999</c:v>
                </c:pt>
                <c:pt idx="19">
                  <c:v>39.570267140000006</c:v>
                </c:pt>
                <c:pt idx="20">
                  <c:v>39.038034809999999</c:v>
                </c:pt>
              </c:numCache>
            </c:numRef>
          </c:val>
          <c:extLst xmlns:c16r2="http://schemas.microsoft.com/office/drawing/2015/06/chart">
            <c:ext xmlns:c16="http://schemas.microsoft.com/office/drawing/2014/chart" uri="{C3380CC4-5D6E-409C-BE32-E72D297353CC}">
              <c16:uniqueId val="{0000000D-8546-4D67-B700-11215680D2EF}"/>
            </c:ext>
          </c:extLst>
        </c:ser>
        <c:ser>
          <c:idx val="1"/>
          <c:order val="1"/>
          <c:tx>
            <c:strRef>
              <c:f>Лист4!$D$1</c:f>
              <c:strCache>
                <c:ptCount val="1"/>
                <c:pt idx="0">
                  <c:v>на 01.01.2024, млн рублей</c:v>
                </c:pt>
              </c:strCache>
            </c:strRef>
          </c:tx>
          <c:spPr>
            <a:solidFill>
              <a:schemeClr val="accent2"/>
            </a:solidFill>
            <a:ln>
              <a:noFill/>
            </a:ln>
            <a:effectLst/>
            <a:sp3d/>
          </c:spPr>
          <c:invertIfNegative val="0"/>
          <c:dLbls>
            <c:dLbl>
              <c:idx val="1"/>
              <c:layout>
                <c:manualLayout>
                  <c:x val="8.1599347205222363E-3"/>
                  <c:y val="-2.491280518186347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8546-4D67-B700-11215680D2EF}"/>
                </c:ext>
                <c:ext xmlns:c15="http://schemas.microsoft.com/office/drawing/2012/chart" uri="{CE6537A1-D6FC-4f65-9D91-7224C49458BB}">
                  <c15:layout/>
                </c:ext>
              </c:extLst>
            </c:dLbl>
            <c:dLbl>
              <c:idx val="6"/>
              <c:layout>
                <c:manualLayout>
                  <c:x val="-7.4798537525698852E-17"/>
                  <c:y val="-4.9825610363726496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8546-4D67-B700-11215680D2EF}"/>
                </c:ext>
                <c:ext xmlns:c15="http://schemas.microsoft.com/office/drawing/2012/chart" uri="{CE6537A1-D6FC-4f65-9D91-7224C49458BB}">
                  <c15:layout/>
                </c:ext>
              </c:extLst>
            </c:dLbl>
            <c:dLbl>
              <c:idx val="7"/>
              <c:layout>
                <c:manualLayout>
                  <c:x val="0"/>
                  <c:y val="-7.473841554558997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8546-4D67-B700-11215680D2EF}"/>
                </c:ext>
                <c:ext xmlns:c15="http://schemas.microsoft.com/office/drawing/2012/chart" uri="{CE6537A1-D6FC-4f65-9D91-7224C49458BB}">
                  <c15:layout/>
                </c:ext>
              </c:extLst>
            </c:dLbl>
            <c:dLbl>
              <c:idx val="8"/>
              <c:layout>
                <c:manualLayout>
                  <c:x val="1.223990208078328E-2"/>
                  <c:y val="-9.9649259089250614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8546-4D67-B700-11215680D2EF}"/>
                </c:ext>
                <c:ext xmlns:c15="http://schemas.microsoft.com/office/drawing/2012/chart" uri="{CE6537A1-D6FC-4f65-9D91-7224C49458BB}">
                  <c15:layout/>
                </c:ext>
              </c:extLst>
            </c:dLbl>
            <c:dLbl>
              <c:idx val="9"/>
              <c:layout>
                <c:manualLayout>
                  <c:x val="1.2239902080783354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8546-4D67-B700-11215680D2EF}"/>
                </c:ext>
                <c:ext xmlns:c15="http://schemas.microsoft.com/office/drawing/2012/chart" uri="{CE6537A1-D6FC-4f65-9D91-7224C49458BB}">
                  <c15:layout/>
                </c:ext>
              </c:extLst>
            </c:dLbl>
            <c:dLbl>
              <c:idx val="16"/>
              <c:layout/>
              <c:tx>
                <c:rich>
                  <a:bodyPr/>
                  <a:lstStyle/>
                  <a:p>
                    <a:fld id="{FA645BEB-C70B-4CB8-9714-6A06462B61B8}" type="VALUE">
                      <a:rPr lang="en-US" sz="700"/>
                      <a:pPr/>
                      <a:t>[ЗНАЧЕНИЕ]</a:t>
                    </a:fld>
                    <a:endParaRPr lang="ru-RU"/>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8546-4D67-B700-11215680D2EF}"/>
                </c:ext>
                <c:ext xmlns:c15="http://schemas.microsoft.com/office/drawing/2012/chart" uri="{CE6537A1-D6FC-4f65-9D91-7224C49458BB}">
                  <c15:layout/>
                  <c15:dlblFieldTable/>
                  <c15:showDataLabelsRange val="0"/>
                </c:ext>
              </c:extLst>
            </c:dLbl>
            <c:dLbl>
              <c:idx val="17"/>
              <c:layout>
                <c:manualLayout>
                  <c:x val="2.0399836801305591E-3"/>
                  <c:y val="-2.491280518186347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8546-4D67-B700-11215680D2EF}"/>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Лист4!$A$2:$B$22</c:f>
              <c:strCache>
                <c:ptCount val="21"/>
                <c:pt idx="0">
                  <c:v>Прочие</c:v>
                </c:pt>
                <c:pt idx="1">
                  <c:v>Торговля оптовая, кроме оптовой торговли автотранспортными средствами и мотоциклами</c:v>
                </c:pt>
                <c:pt idx="2">
                  <c:v>Строительство</c:v>
                </c:pt>
                <c:pt idx="3">
                  <c:v>Добыча полезных ископаемых</c:v>
                </c:pt>
                <c:pt idx="4">
                  <c:v>Остальные виды экономической деятельности</c:v>
                </c:pt>
                <c:pt idx="5">
                  <c:v>Производство химических веществ и химических продуктов, лекарственных средств и материалов</c:v>
                </c:pt>
                <c:pt idx="6">
                  <c:v>Рыболовство и рыбоводство</c:v>
                </c:pt>
                <c:pt idx="7">
                  <c:v>Торговля розничная, кроме торговли автотранспортными средствами и мотоциклами</c:v>
                </c:pt>
                <c:pt idx="8">
                  <c:v>Операции с недвижимым имуществом</c:v>
                </c:pt>
                <c:pt idx="9">
                  <c:v>Складское хозяйство и вспомогательная транспортная деятельность</c:v>
                </c:pt>
                <c:pt idx="10">
                  <c:v>Лесоводство и лесозаготовки</c:v>
                </c:pt>
                <c:pt idx="11">
                  <c:v>Аренда и лизинг</c:v>
                </c:pt>
                <c:pt idx="12">
                  <c:v>Деятельность сухопутного и трубопроводного транспорта</c:v>
                </c:pt>
                <c:pt idx="13">
                  <c:v>Растениеводство и животноводство, охота и предоставление соответствующих услуг в этих областях</c:v>
                </c:pt>
                <c:pt idx="14">
                  <c:v>Торговля оптовая и розничная автотранспортными средствами и мотоциклами и их ремонт</c:v>
                </c:pt>
                <c:pt idx="15">
                  <c:v>Производство кокса и нефтепродуктов</c:v>
                </c:pt>
                <c:pt idx="16">
                  <c:v>Предоставление прочих видов услуг</c:v>
                </c:pt>
                <c:pt idx="17">
                  <c:v>Деятельность по предоставлению мест для временного проживания, по предоставлению продуктов питания и напитков</c:v>
                </c:pt>
                <c:pt idx="18">
                  <c:v>Производство пищевых продуктов, напитков</c:v>
                </c:pt>
                <c:pt idx="19">
                  <c:v>Металлургическое производство и производство готовых металлических изделий</c:v>
                </c:pt>
                <c:pt idx="20">
                  <c:v>Водоотведение, организация сбора и утилизации отходов, деятельность по ликвидации загрязнений
</c:v>
                </c:pt>
              </c:strCache>
            </c:strRef>
          </c:cat>
          <c:val>
            <c:numRef>
              <c:f>Лист4!$D$2:$D$22</c:f>
              <c:numCache>
                <c:formatCode>#,##0.00</c:formatCode>
                <c:ptCount val="21"/>
                <c:pt idx="0">
                  <c:v>1241.56217956</c:v>
                </c:pt>
                <c:pt idx="1">
                  <c:v>869.60502079000003</c:v>
                </c:pt>
                <c:pt idx="2">
                  <c:v>619.22110609000003</c:v>
                </c:pt>
                <c:pt idx="3">
                  <c:v>130.20939145</c:v>
                </c:pt>
                <c:pt idx="4">
                  <c:v>333.6429733599989</c:v>
                </c:pt>
                <c:pt idx="5">
                  <c:v>280.55108100000001</c:v>
                </c:pt>
                <c:pt idx="6">
                  <c:v>212.37937671</c:v>
                </c:pt>
                <c:pt idx="7">
                  <c:v>171.95534262000001</c:v>
                </c:pt>
                <c:pt idx="8">
                  <c:v>122.27075396000001</c:v>
                </c:pt>
                <c:pt idx="9">
                  <c:v>197.86039567</c:v>
                </c:pt>
                <c:pt idx="10">
                  <c:v>144.68094207999999</c:v>
                </c:pt>
                <c:pt idx="11">
                  <c:v>102.25533063</c:v>
                </c:pt>
                <c:pt idx="12">
                  <c:v>100.74600637</c:v>
                </c:pt>
                <c:pt idx="13">
                  <c:v>121.62959517</c:v>
                </c:pt>
                <c:pt idx="14">
                  <c:v>111.11778861000001</c:v>
                </c:pt>
                <c:pt idx="15">
                  <c:v>0</c:v>
                </c:pt>
                <c:pt idx="16">
                  <c:v>57.311817140000002</c:v>
                </c:pt>
                <c:pt idx="17">
                  <c:v>58.291308579999999</c:v>
                </c:pt>
                <c:pt idx="18">
                  <c:v>37.582540829999999</c:v>
                </c:pt>
                <c:pt idx="19">
                  <c:v>36.16030525</c:v>
                </c:pt>
                <c:pt idx="20">
                  <c:v>46.22674413</c:v>
                </c:pt>
              </c:numCache>
            </c:numRef>
          </c:val>
          <c:extLst xmlns:c16r2="http://schemas.microsoft.com/office/drawing/2015/06/chart">
            <c:ext xmlns:c16="http://schemas.microsoft.com/office/drawing/2014/chart" uri="{C3380CC4-5D6E-409C-BE32-E72D297353CC}">
              <c16:uniqueId val="{00000015-8546-4D67-B700-11215680D2EF}"/>
            </c:ext>
          </c:extLst>
        </c:ser>
        <c:dLbls>
          <c:showLegendKey val="0"/>
          <c:showVal val="0"/>
          <c:showCatName val="0"/>
          <c:showSerName val="0"/>
          <c:showPercent val="0"/>
          <c:showBubbleSize val="0"/>
        </c:dLbls>
        <c:gapWidth val="150"/>
        <c:shape val="box"/>
        <c:axId val="204807488"/>
        <c:axId val="204807880"/>
        <c:axId val="0"/>
      </c:bar3DChart>
      <c:catAx>
        <c:axId val="204807488"/>
        <c:scaling>
          <c:orientation val="maxMin"/>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4807880"/>
        <c:crosses val="autoZero"/>
        <c:auto val="1"/>
        <c:lblAlgn val="ctr"/>
        <c:lblOffset val="100"/>
        <c:noMultiLvlLbl val="0"/>
      </c:catAx>
      <c:valAx>
        <c:axId val="204807880"/>
        <c:scaling>
          <c:orientation val="minMax"/>
        </c:scaling>
        <c:delete val="1"/>
        <c:axPos val="t"/>
        <c:majorGridlines>
          <c:spPr>
            <a:ln w="9525" cap="flat" cmpd="sng" algn="ctr">
              <a:noFill/>
              <a:round/>
            </a:ln>
            <a:effectLst/>
          </c:spPr>
        </c:majorGridlines>
        <c:numFmt formatCode="#,##0.00" sourceLinked="1"/>
        <c:majorTickMark val="none"/>
        <c:minorTickMark val="none"/>
        <c:tickLblPos val="nextTo"/>
        <c:crossAx val="2048074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manualLayout>
          <c:layoutTarget val="inner"/>
          <c:xMode val="edge"/>
          <c:yMode val="edge"/>
          <c:x val="0.45316972130620425"/>
          <c:y val="3.2146200543312832E-2"/>
          <c:w val="0.43813521293709257"/>
          <c:h val="0.88853628945928587"/>
        </c:manualLayout>
      </c:layout>
      <c:bar3DChart>
        <c:barDir val="bar"/>
        <c:grouping val="clustered"/>
        <c:varyColors val="0"/>
        <c:ser>
          <c:idx val="0"/>
          <c:order val="0"/>
          <c:tx>
            <c:strRef>
              <c:f>диагр!$C$1:$C$2</c:f>
              <c:strCache>
                <c:ptCount val="2"/>
                <c:pt idx="1">
                  <c:v>Уточненные бюджетные назначения  (млн рублей)</c:v>
                </c:pt>
              </c:strCache>
            </c:strRef>
          </c:tx>
          <c:spPr>
            <a:solidFill>
              <a:srgbClr val="0070C0"/>
            </a:solidFill>
          </c:spPr>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диагр!$B$3:$B$14</c:f>
              <c:strCache>
                <c:ptCount val="12"/>
                <c:pt idx="0">
                  <c:v>"Беспилотные авиационные системы"</c:v>
                </c:pt>
                <c:pt idx="1">
                  <c:v> "Производительность труда"</c:v>
                </c:pt>
                <c:pt idx="2">
                  <c:v>"Цифровая экономика"</c:v>
                </c:pt>
                <c:pt idx="3">
                  <c:v>"Туризм и индустрия гостеприимства"</c:v>
                </c:pt>
                <c:pt idx="4">
                  <c:v>"Экология"</c:v>
                </c:pt>
                <c:pt idx="5">
                  <c:v>"Культура"</c:v>
                </c:pt>
                <c:pt idx="6">
                  <c:v>"Малое и среднее предпринимательство и поддержка
 индивидуальной предпринимательской инициативы"</c:v>
                </c:pt>
                <c:pt idx="7">
                  <c:v>"Жилье и городская среда"</c:v>
                </c:pt>
                <c:pt idx="8">
                  <c:v>"Образование"</c:v>
                </c:pt>
                <c:pt idx="9">
                  <c:v>"Демография"</c:v>
                </c:pt>
                <c:pt idx="10">
                  <c:v>"Безопасные качественные дороги"</c:v>
                </c:pt>
                <c:pt idx="11">
                  <c:v>"Здравоохранение"</c:v>
                </c:pt>
              </c:strCache>
            </c:strRef>
          </c:cat>
          <c:val>
            <c:numRef>
              <c:f>диагр!$C$3:$C$14</c:f>
              <c:numCache>
                <c:formatCode>0.00</c:formatCode>
                <c:ptCount val="12"/>
                <c:pt idx="0">
                  <c:v>31.5</c:v>
                </c:pt>
                <c:pt idx="1">
                  <c:v>61.69</c:v>
                </c:pt>
                <c:pt idx="2">
                  <c:v>98.33</c:v>
                </c:pt>
                <c:pt idx="3">
                  <c:v>170.73</c:v>
                </c:pt>
                <c:pt idx="4">
                  <c:v>435.19</c:v>
                </c:pt>
                <c:pt idx="5">
                  <c:v>665.28</c:v>
                </c:pt>
                <c:pt idx="6">
                  <c:v>1211.4000000000001</c:v>
                </c:pt>
                <c:pt idx="7">
                  <c:v>2724.19</c:v>
                </c:pt>
                <c:pt idx="8">
                  <c:v>2790.98</c:v>
                </c:pt>
                <c:pt idx="9">
                  <c:v>3321.88</c:v>
                </c:pt>
                <c:pt idx="10">
                  <c:v>4123.63</c:v>
                </c:pt>
                <c:pt idx="11">
                  <c:v>4974.1499999999996</c:v>
                </c:pt>
              </c:numCache>
            </c:numRef>
          </c:val>
          <c:extLst xmlns:c16r2="http://schemas.microsoft.com/office/drawing/2015/06/chart">
            <c:ext xmlns:c16="http://schemas.microsoft.com/office/drawing/2014/chart" uri="{C3380CC4-5D6E-409C-BE32-E72D297353CC}">
              <c16:uniqueId val="{00000000-CBA5-4FC3-85D6-C4D5959880AE}"/>
            </c:ext>
          </c:extLst>
        </c:ser>
        <c:ser>
          <c:idx val="1"/>
          <c:order val="1"/>
          <c:tx>
            <c:strRef>
              <c:f>диагр!$D$1:$D$2</c:f>
              <c:strCache>
                <c:ptCount val="2"/>
                <c:pt idx="1">
                  <c:v>Исполнено (млн рублей)</c:v>
                </c:pt>
              </c:strCache>
            </c:strRef>
          </c:tx>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c:spPr>
          <c:invertIfNegative val="0"/>
          <c:dLbls>
            <c:dLbl>
              <c:idx val="1"/>
              <c:layout>
                <c:manualLayout>
                  <c:x val="6.901311249137336E-3"/>
                  <c:y val="-2.7457440966501922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BA5-4FC3-85D6-C4D5959880AE}"/>
                </c:ext>
                <c:ext xmlns:c15="http://schemas.microsoft.com/office/drawing/2012/chart" uri="{CE6537A1-D6FC-4f65-9D91-7224C49458BB}">
                  <c15:layout/>
                </c:ext>
              </c:extLst>
            </c:dLbl>
            <c:dLbl>
              <c:idx val="9"/>
              <c:layout>
                <c:manualLayout>
                  <c:x val="9.9910065589627391E-3"/>
                  <c:y val="-5.847005192462397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CBA5-4FC3-85D6-C4D5959880AE}"/>
                </c:ext>
                <c:ext xmlns:c15="http://schemas.microsoft.com/office/drawing/2012/chart" uri="{CE6537A1-D6FC-4f65-9D91-7224C49458BB}">
                  <c15:layout/>
                </c:ext>
              </c:extLst>
            </c:dLbl>
            <c:dLbl>
              <c:idx val="10"/>
              <c:layout>
                <c:manualLayout>
                  <c:x val="5.6980056980056983E-3"/>
                  <c:y val="-5.0257570046488252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74F-4B04-BE2D-ED757C694FA4}"/>
                </c:ext>
                <c:ext xmlns:c15="http://schemas.microsoft.com/office/drawing/2012/chart" uri="{CE6537A1-D6FC-4f65-9D91-7224C49458BB}">
                  <c15:layout/>
                </c:ext>
              </c:extLst>
            </c:dLbl>
            <c:dLbl>
              <c:idx val="11"/>
              <c:layout>
                <c:manualLayout>
                  <c:x val="1.2773253770629099E-2"/>
                  <c:y val="-5.0257570046488365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CBA5-4FC3-85D6-C4D5959880AE}"/>
                </c:ext>
                <c:ext xmlns:c15="http://schemas.microsoft.com/office/drawing/2012/chart" uri="{CE6537A1-D6FC-4f65-9D91-7224C49458BB}">
                  <c15:layout/>
                </c:ext>
              </c:extLst>
            </c:dLbl>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диагр!$B$3:$B$14</c:f>
              <c:strCache>
                <c:ptCount val="12"/>
                <c:pt idx="0">
                  <c:v>"Беспилотные авиационные системы"</c:v>
                </c:pt>
                <c:pt idx="1">
                  <c:v> "Производительность труда"</c:v>
                </c:pt>
                <c:pt idx="2">
                  <c:v>"Цифровая экономика"</c:v>
                </c:pt>
                <c:pt idx="3">
                  <c:v>"Туризм и индустрия гостеприимства"</c:v>
                </c:pt>
                <c:pt idx="4">
                  <c:v>"Экология"</c:v>
                </c:pt>
                <c:pt idx="5">
                  <c:v>"Культура"</c:v>
                </c:pt>
                <c:pt idx="6">
                  <c:v>"Малое и среднее предпринимательство и поддержка
 индивидуальной предпринимательской инициативы"</c:v>
                </c:pt>
                <c:pt idx="7">
                  <c:v>"Жилье и городская среда"</c:v>
                </c:pt>
                <c:pt idx="8">
                  <c:v>"Образование"</c:v>
                </c:pt>
                <c:pt idx="9">
                  <c:v>"Демография"</c:v>
                </c:pt>
                <c:pt idx="10">
                  <c:v>"Безопасные качественные дороги"</c:v>
                </c:pt>
                <c:pt idx="11">
                  <c:v>"Здравоохранение"</c:v>
                </c:pt>
              </c:strCache>
            </c:strRef>
          </c:cat>
          <c:val>
            <c:numRef>
              <c:f>диагр!$D$3:$D$14</c:f>
              <c:numCache>
                <c:formatCode>0.00</c:formatCode>
                <c:ptCount val="12"/>
                <c:pt idx="0">
                  <c:v>15.75</c:v>
                </c:pt>
                <c:pt idx="1">
                  <c:v>61.69</c:v>
                </c:pt>
                <c:pt idx="2">
                  <c:v>98.33</c:v>
                </c:pt>
                <c:pt idx="3">
                  <c:v>170.73</c:v>
                </c:pt>
                <c:pt idx="4">
                  <c:v>387.75</c:v>
                </c:pt>
                <c:pt idx="5">
                  <c:v>662.77</c:v>
                </c:pt>
                <c:pt idx="6">
                  <c:v>1210.4000000000001</c:v>
                </c:pt>
                <c:pt idx="7">
                  <c:v>2678.08</c:v>
                </c:pt>
                <c:pt idx="8">
                  <c:v>2748.31</c:v>
                </c:pt>
                <c:pt idx="9">
                  <c:v>3243.89</c:v>
                </c:pt>
                <c:pt idx="10">
                  <c:v>3706.77</c:v>
                </c:pt>
                <c:pt idx="11">
                  <c:v>4070.15</c:v>
                </c:pt>
              </c:numCache>
            </c:numRef>
          </c:val>
          <c:extLst xmlns:c16r2="http://schemas.microsoft.com/office/drawing/2015/06/chart">
            <c:ext xmlns:c16="http://schemas.microsoft.com/office/drawing/2014/chart" uri="{C3380CC4-5D6E-409C-BE32-E72D297353CC}">
              <c16:uniqueId val="{00000004-CBA5-4FC3-85D6-C4D5959880AE}"/>
            </c:ext>
          </c:extLst>
        </c:ser>
        <c:dLbls>
          <c:showLegendKey val="0"/>
          <c:showVal val="1"/>
          <c:showCatName val="0"/>
          <c:showSerName val="0"/>
          <c:showPercent val="0"/>
          <c:showBubbleSize val="0"/>
        </c:dLbls>
        <c:gapWidth val="75"/>
        <c:shape val="box"/>
        <c:axId val="204816112"/>
        <c:axId val="204815720"/>
        <c:axId val="0"/>
      </c:bar3DChart>
      <c:catAx>
        <c:axId val="204816112"/>
        <c:scaling>
          <c:orientation val="minMax"/>
        </c:scaling>
        <c:delete val="0"/>
        <c:axPos val="l"/>
        <c:numFmt formatCode="General" sourceLinked="0"/>
        <c:majorTickMark val="none"/>
        <c:minorTickMark val="none"/>
        <c:tickLblPos val="nextTo"/>
        <c:txPr>
          <a:bodyPr/>
          <a:lstStyle/>
          <a:p>
            <a:pPr>
              <a:defRPr sz="900">
                <a:latin typeface="Times New Roman" pitchFamily="18" charset="0"/>
                <a:cs typeface="Times New Roman" pitchFamily="18" charset="0"/>
              </a:defRPr>
            </a:pPr>
            <a:endParaRPr lang="ru-RU"/>
          </a:p>
        </c:txPr>
        <c:crossAx val="204815720"/>
        <c:crosses val="autoZero"/>
        <c:auto val="1"/>
        <c:lblAlgn val="r"/>
        <c:lblOffset val="100"/>
        <c:tickLblSkip val="1"/>
        <c:noMultiLvlLbl val="0"/>
      </c:catAx>
      <c:valAx>
        <c:axId val="204815720"/>
        <c:scaling>
          <c:orientation val="minMax"/>
        </c:scaling>
        <c:delete val="1"/>
        <c:axPos val="b"/>
        <c:majorGridlines>
          <c:spPr>
            <a:ln>
              <a:noFill/>
            </a:ln>
          </c:spPr>
        </c:majorGridlines>
        <c:numFmt formatCode="0.00" sourceLinked="1"/>
        <c:majorTickMark val="none"/>
        <c:minorTickMark val="none"/>
        <c:tickLblPos val="nextTo"/>
        <c:crossAx val="204816112"/>
        <c:crosses val="autoZero"/>
        <c:crossBetween val="between"/>
      </c:valAx>
    </c:plotArea>
    <c:legend>
      <c:legendPos val="b"/>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userShapes r:id="rId2"/>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solidFill>
                  <a:sysClr val="windowText" lastClr="000000"/>
                </a:solidFill>
              </a:rPr>
              <a:t>Исполнение расходов по ГП за 2024 год (млн рублей)</a:t>
            </a:r>
          </a:p>
        </c:rich>
      </c:tx>
      <c:layout/>
      <c:overlay val="0"/>
      <c:spPr>
        <a:noFill/>
        <a:ln>
          <a:noFill/>
        </a:ln>
        <a:effectLst/>
      </c:spPr>
    </c:title>
    <c:autoTitleDeleted val="0"/>
    <c:plotArea>
      <c:layout>
        <c:manualLayout>
          <c:layoutTarget val="inner"/>
          <c:xMode val="edge"/>
          <c:yMode val="edge"/>
          <c:x val="0.42985788434008587"/>
          <c:y val="6.1231884057971003E-2"/>
          <c:w val="0.55221829612690254"/>
          <c:h val="0.87723881661531444"/>
        </c:manualLayout>
      </c:layout>
      <c:barChart>
        <c:barDir val="bar"/>
        <c:grouping val="clustered"/>
        <c:varyColors val="0"/>
        <c:ser>
          <c:idx val="0"/>
          <c:order val="0"/>
          <c:tx>
            <c:strRef>
              <c:f>'диагр 1'!$B$1</c:f>
              <c:strCache>
                <c:ptCount val="1"/>
                <c:pt idx="0">
                  <c:v>Факт</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tileRect/>
            </a:gradFill>
            <a:ln>
              <a:noFill/>
            </a:ln>
            <a:effectLst>
              <a:outerShdw blurRad="40000" dist="23000" dir="5400000" rotWithShape="0">
                <a:srgbClr val="000000">
                  <a:alpha val="35000"/>
                </a:srgbClr>
              </a:outerShdw>
            </a:effectLst>
          </c:spPr>
          <c:invertIfNegative val="0"/>
          <c:dLbls>
            <c:dLbl>
              <c:idx val="10"/>
              <c:layout>
                <c:manualLayout>
                  <c:x val="1.5263013135118964E-2"/>
                  <c:y val="5.7471264367816091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18D9-4E78-B65C-367205B74C52}"/>
                </c:ext>
                <c:ext xmlns:c15="http://schemas.microsoft.com/office/drawing/2012/chart" uri="{CE6537A1-D6FC-4f65-9D91-7224C49458BB}">
                  <c15:layout/>
                </c:ext>
              </c:extLst>
            </c:dLbl>
            <c:dLbl>
              <c:idx val="11"/>
              <c:layout>
                <c:manualLayout>
                  <c:x val="6.5412913436224468E-3"/>
                  <c:y val="7.6628352490421452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18D9-4E78-B65C-367205B74C52}"/>
                </c:ext>
                <c:ext xmlns:c15="http://schemas.microsoft.com/office/drawing/2012/chart" uri="{CE6537A1-D6FC-4f65-9D91-7224C49458BB}">
                  <c15:layout/>
                </c:ext>
              </c:extLst>
            </c:dLbl>
            <c:dLbl>
              <c:idx val="12"/>
              <c:layout>
                <c:manualLayout>
                  <c:x val="1.9623874030867339E-2"/>
                  <c:y val="5.7471264367816091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18D9-4E78-B65C-367205B74C52}"/>
                </c:ext>
                <c:ext xmlns:c15="http://schemas.microsoft.com/office/drawing/2012/chart" uri="{CE6537A1-D6FC-4f65-9D91-7224C49458BB}">
                  <c15:layout/>
                </c:ext>
              </c:extLst>
            </c:dLbl>
            <c:dLbl>
              <c:idx val="13"/>
              <c:layout>
                <c:manualLayout>
                  <c:x val="1.0902152239370666E-2"/>
                  <c:y val="5.7471264367816091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18D9-4E78-B65C-367205B74C52}"/>
                </c:ext>
                <c:ext xmlns:c15="http://schemas.microsoft.com/office/drawing/2012/chart" uri="{CE6537A1-D6FC-4f65-9D91-7224C49458BB}">
                  <c15:layout/>
                </c:ext>
              </c:extLst>
            </c:dLbl>
            <c:dLbl>
              <c:idx val="14"/>
              <c:layout>
                <c:manualLayout>
                  <c:x val="-4.6325870708167748E-3"/>
                  <c:y val="5.908797265320738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18D9-4E78-B65C-367205B74C52}"/>
                </c:ext>
                <c:ext xmlns:c15="http://schemas.microsoft.com/office/drawing/2012/chart" uri="{CE6537A1-D6FC-4f65-9D91-7224C49458BB}">
                  <c15:layout/>
                </c:ext>
              </c:extLst>
            </c:dLbl>
            <c:dLbl>
              <c:idx val="15"/>
              <c:layout>
                <c:manualLayout>
                  <c:x val="2.0898641588295995E-3"/>
                  <c:y val="1.1615446803326764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18D9-4E78-B65C-367205B74C52}"/>
                </c:ext>
                <c:ext xmlns:c15="http://schemas.microsoft.com/office/drawing/2012/chart" uri="{CE6537A1-D6FC-4f65-9D91-7224C49458BB}">
                  <c15:layout/>
                </c:ext>
              </c:extLst>
            </c:dLbl>
            <c:dLbl>
              <c:idx val="16"/>
              <c:layout>
                <c:manualLayout>
                  <c:x val="1.8181818181818182E-3"/>
                  <c:y val="5.9492563429571306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18D9-4E78-B65C-367205B74C52}"/>
                </c:ext>
                <c:ext xmlns:c15="http://schemas.microsoft.com/office/drawing/2012/chart" uri="{CE6537A1-D6FC-4f65-9D91-7224C49458BB}">
                  <c15:layout/>
                </c:ext>
              </c:extLst>
            </c:dLbl>
            <c:dLbl>
              <c:idx val="17"/>
              <c:layout>
                <c:manualLayout>
                  <c:x val="1.8415488032647958E-2"/>
                  <c:y val="1.4931466899970494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18D9-4E78-B65C-367205B74C52}"/>
                </c:ext>
                <c:ext xmlns:c15="http://schemas.microsoft.com/office/drawing/2012/chart" uri="{CE6537A1-D6FC-4f65-9D91-7224C49458BB}">
                  <c15:layout/>
                </c:ext>
              </c:extLst>
            </c:dLbl>
            <c:spPr>
              <a:noFill/>
              <a:ln>
                <a:no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accentCallout2">
                    <a:avLst/>
                  </a:prstGeom>
                </c15:spPr>
                <c15:layout/>
                <c15:showLeaderLines val="0"/>
              </c:ext>
            </c:extLst>
          </c:dLbls>
          <c:cat>
            <c:strRef>
              <c:f>'диагр 1'!$A$2:$A$21</c:f>
              <c:strCache>
                <c:ptCount val="20"/>
                <c:pt idx="0">
                  <c:v>Развитие рыбохоз.комплекса </c:v>
                </c:pt>
                <c:pt idx="1">
                  <c:v> Патриотическое воспитание граждан,</c:v>
                </c:pt>
                <c:pt idx="2">
                  <c:v>Развитие туризма </c:v>
                </c:pt>
                <c:pt idx="3">
                  <c:v>Безопасный край </c:v>
                </c:pt>
                <c:pt idx="4">
                  <c:v>Содействие занятости населения </c:v>
                </c:pt>
                <c:pt idx="5">
                  <c:v>Развитие лесного хозяйства</c:v>
                </c:pt>
                <c:pt idx="6">
                  <c:v>Охрана окружающей среды </c:v>
                </c:pt>
                <c:pt idx="7">
                  <c:v>Энергоэффективность, развитие газоснабж.</c:v>
                </c:pt>
                <c:pt idx="8">
                  <c:v>Формирование совр. город. среды МО</c:v>
                </c:pt>
                <c:pt idx="9">
                  <c:v>Развитие культуры </c:v>
                </c:pt>
                <c:pt idx="10">
                  <c:v>Защита населения и терр. от ЧС</c:v>
                </c:pt>
                <c:pt idx="11">
                  <c:v>Информационное общество</c:v>
                </c:pt>
                <c:pt idx="12">
                  <c:v>Развитие сельского хозяйства</c:v>
                </c:pt>
                <c:pt idx="13">
                  <c:v>Развитие физ.культуры и спорта</c:v>
                </c:pt>
                <c:pt idx="14">
                  <c:v>Экономич. Развитие</c:v>
                </c:pt>
                <c:pt idx="15">
                  <c:v>Развитие транспортного комплекса</c:v>
                </c:pt>
                <c:pt idx="16">
                  <c:v> Социальная поддержка населения </c:v>
                </c:pt>
                <c:pt idx="17">
                  <c:v>Обеспечение доступным жильем </c:v>
                </c:pt>
                <c:pt idx="18">
                  <c:v>Развитие здравоохранения </c:v>
                </c:pt>
                <c:pt idx="19">
                  <c:v>Развитие образования </c:v>
                </c:pt>
              </c:strCache>
            </c:strRef>
          </c:cat>
          <c:val>
            <c:numRef>
              <c:f>'диагр 1'!$B$2:$B$21</c:f>
              <c:numCache>
                <c:formatCode>0.00</c:formatCode>
                <c:ptCount val="20"/>
                <c:pt idx="0" formatCode="General">
                  <c:v>43.23</c:v>
                </c:pt>
                <c:pt idx="1">
                  <c:v>352.58</c:v>
                </c:pt>
                <c:pt idx="2" formatCode="General">
                  <c:v>1093.4100000000001</c:v>
                </c:pt>
                <c:pt idx="3">
                  <c:v>1363.57</c:v>
                </c:pt>
                <c:pt idx="4">
                  <c:v>1788.67</c:v>
                </c:pt>
                <c:pt idx="5" formatCode="General">
                  <c:v>2239.02</c:v>
                </c:pt>
                <c:pt idx="6" formatCode="General">
                  <c:v>2530.6</c:v>
                </c:pt>
                <c:pt idx="7" formatCode="General">
                  <c:v>2682.68</c:v>
                </c:pt>
                <c:pt idx="8">
                  <c:v>3183.05</c:v>
                </c:pt>
                <c:pt idx="9" formatCode="General">
                  <c:v>3913.48</c:v>
                </c:pt>
                <c:pt idx="10" formatCode="General">
                  <c:v>4310.71</c:v>
                </c:pt>
                <c:pt idx="11">
                  <c:v>4466.6400000000003</c:v>
                </c:pt>
                <c:pt idx="12" formatCode="General">
                  <c:v>5592.27</c:v>
                </c:pt>
                <c:pt idx="13" formatCode="General">
                  <c:v>6214.92</c:v>
                </c:pt>
                <c:pt idx="14" formatCode="General">
                  <c:v>15753.41</c:v>
                </c:pt>
                <c:pt idx="15">
                  <c:v>24431.9</c:v>
                </c:pt>
                <c:pt idx="16">
                  <c:v>31768.94</c:v>
                </c:pt>
                <c:pt idx="17" formatCode="General">
                  <c:v>29645.98</c:v>
                </c:pt>
                <c:pt idx="18" formatCode="General">
                  <c:v>36059.014999999999</c:v>
                </c:pt>
                <c:pt idx="19" formatCode="General">
                  <c:v>47079.519999999997</c:v>
                </c:pt>
              </c:numCache>
            </c:numRef>
          </c:val>
          <c:extLst xmlns:c16r2="http://schemas.microsoft.com/office/drawing/2015/06/chart">
            <c:ext xmlns:c16="http://schemas.microsoft.com/office/drawing/2014/chart" uri="{C3380CC4-5D6E-409C-BE32-E72D297353CC}">
              <c16:uniqueId val="{00000008-18D9-4E78-B65C-367205B74C52}"/>
            </c:ext>
          </c:extLst>
        </c:ser>
        <c:ser>
          <c:idx val="1"/>
          <c:order val="1"/>
          <c:tx>
            <c:strRef>
              <c:f>'диагр 1'!$C$1</c:f>
              <c:strCache>
                <c:ptCount val="1"/>
                <c:pt idx="0">
                  <c:v>План </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tileRect/>
            </a:gradFill>
            <a:ln>
              <a:noFill/>
            </a:ln>
            <a:effectLst>
              <a:outerShdw blurRad="40000" dist="23000" dir="5400000" rotWithShape="0">
                <a:srgbClr val="000000">
                  <a:alpha val="35000"/>
                </a:srgbClr>
              </a:outerShdw>
            </a:effectLst>
          </c:spPr>
          <c:invertIfNegative val="0"/>
          <c:dLbls>
            <c:dLbl>
              <c:idx val="3"/>
              <c:layout>
                <c:manualLayout>
                  <c:x val="-2.1759270686775439E-3"/>
                  <c:y val="0"/>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4-D1D6-487B-A8A2-22B600F2ACB9}"/>
                </c:ext>
                <c:ext xmlns:c15="http://schemas.microsoft.com/office/drawing/2012/chart" uri="{CE6537A1-D6FC-4f65-9D91-7224C49458BB}">
                  <c15:layout/>
                </c:ext>
              </c:extLst>
            </c:dLbl>
            <c:dLbl>
              <c:idx val="4"/>
              <c:layout>
                <c:manualLayout>
                  <c:x val="1.0595940397732415E-2"/>
                  <c:y val="-3.7505860290670419E-3"/>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3-D1D6-487B-A8A2-22B600F2ACB9}"/>
                </c:ext>
                <c:ext xmlns:c15="http://schemas.microsoft.com/office/drawing/2012/chart" uri="{CE6537A1-D6FC-4f65-9D91-7224C49458BB}">
                  <c15:layout/>
                </c:ext>
              </c:extLst>
            </c:dLbl>
            <c:dLbl>
              <c:idx val="5"/>
              <c:layout>
                <c:manualLayout>
                  <c:x val="-3.5838701980434266E-3"/>
                  <c:y val="0"/>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9-18D9-4E78-B65C-367205B74C52}"/>
                </c:ext>
                <c:ext xmlns:c15="http://schemas.microsoft.com/office/drawing/2012/chart" uri="{CE6537A1-D6FC-4f65-9D91-7224C49458BB}">
                  <c15:layout/>
                </c:ext>
              </c:extLst>
            </c:dLbl>
            <c:dLbl>
              <c:idx val="6"/>
              <c:layout>
                <c:manualLayout>
                  <c:x val="1.3960457137215216E-2"/>
                  <c:y val="-3.7505860290670419E-3"/>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A-18D9-4E78-B65C-367205B74C52}"/>
                </c:ext>
                <c:ext xmlns:c15="http://schemas.microsoft.com/office/drawing/2012/chart" uri="{CE6537A1-D6FC-4f65-9D91-7224C49458BB}">
                  <c15:layout/>
                </c:ext>
              </c:extLst>
            </c:dLbl>
            <c:dLbl>
              <c:idx val="7"/>
              <c:layout>
                <c:manualLayout>
                  <c:x val="1.8219299110075339E-2"/>
                  <c:y val="-1.9157088122605363E-3"/>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B-18D9-4E78-B65C-367205B74C52}"/>
                </c:ext>
                <c:ext xmlns:c15="http://schemas.microsoft.com/office/drawing/2012/chart" uri="{CE6537A1-D6FC-4f65-9D91-7224C49458BB}">
                  <c15:layout/>
                </c:ext>
              </c:extLst>
            </c:dLbl>
            <c:dLbl>
              <c:idx val="8"/>
              <c:layout>
                <c:manualLayout>
                  <c:x val="2.0412091053402005E-2"/>
                  <c:y val="-1.9157088122606066E-3"/>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C-18D9-4E78-B65C-367205B74C52}"/>
                </c:ext>
                <c:ext xmlns:c15="http://schemas.microsoft.com/office/drawing/2012/chart" uri="{CE6537A1-D6FC-4f65-9D91-7224C49458BB}">
                  <c15:layout/>
                </c:ext>
              </c:extLst>
            </c:dLbl>
            <c:dLbl>
              <c:idx val="9"/>
              <c:layout>
                <c:manualLayout>
                  <c:x val="9.6227374600354569E-3"/>
                  <c:y val="0"/>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D-18D9-4E78-B65C-367205B74C52}"/>
                </c:ext>
                <c:ext xmlns:c15="http://schemas.microsoft.com/office/drawing/2012/chart" uri="{CE6537A1-D6FC-4f65-9D91-7224C49458BB}">
                  <c15:layout/>
                </c:ext>
              </c:extLst>
            </c:dLbl>
            <c:dLbl>
              <c:idx val="10"/>
              <c:layout>
                <c:manualLayout>
                  <c:x val="1.0391553802207146E-2"/>
                  <c:y val="1.9157088122604663E-3"/>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E-18D9-4E78-B65C-367205B74C52}"/>
                </c:ext>
                <c:ext xmlns:c15="http://schemas.microsoft.com/office/drawing/2012/chart" uri="{CE6537A1-D6FC-4f65-9D91-7224C49458BB}">
                  <c15:layout/>
                </c:ext>
              </c:extLst>
            </c:dLbl>
            <c:dLbl>
              <c:idx val="11"/>
              <c:layout>
                <c:manualLayout>
                  <c:x val="2.4649165307188315E-3"/>
                  <c:y val="1.9157088122604663E-3"/>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F-18D9-4E78-B65C-367205B74C52}"/>
                </c:ext>
                <c:ext xmlns:c15="http://schemas.microsoft.com/office/drawing/2012/chart" uri="{CE6537A1-D6FC-4f65-9D91-7224C49458BB}">
                  <c15:layout/>
                </c:ext>
              </c:extLst>
            </c:dLbl>
            <c:dLbl>
              <c:idx val="12"/>
              <c:layout>
                <c:manualLayout>
                  <c:x val="2.6692074118153233E-2"/>
                  <c:y val="1.9157088122605363E-3"/>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10-18D9-4E78-B65C-367205B74C52}"/>
                </c:ext>
                <c:ext xmlns:c15="http://schemas.microsoft.com/office/drawing/2012/chart" uri="{CE6537A1-D6FC-4f65-9D91-7224C49458BB}">
                  <c15:layout/>
                </c:ext>
              </c:extLst>
            </c:dLbl>
            <c:dLbl>
              <c:idx val="13"/>
              <c:layout>
                <c:manualLayout>
                  <c:x val="9.3601230880622673E-3"/>
                  <c:y val="-1.9965225865754121E-3"/>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11-18D9-4E78-B65C-367205B74C52}"/>
                </c:ext>
                <c:ext xmlns:c15="http://schemas.microsoft.com/office/drawing/2012/chart" uri="{CE6537A1-D6FC-4f65-9D91-7224C49458BB}">
                  <c15:layout/>
                </c:ext>
              </c:extLst>
            </c:dLbl>
            <c:dLbl>
              <c:idx val="14"/>
              <c:layout>
                <c:manualLayout>
                  <c:x val="-7.6315065675595217E-3"/>
                  <c:y val="1.9157088122605012E-3"/>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12-18D9-4E78-B65C-367205B74C52}"/>
                </c:ext>
                <c:ext xmlns:c15="http://schemas.microsoft.com/office/drawing/2012/chart" uri="{CE6537A1-D6FC-4f65-9D91-7224C49458BB}">
                  <c15:layout/>
                </c:ext>
              </c:extLst>
            </c:dLbl>
            <c:dLbl>
              <c:idx val="15"/>
              <c:layout>
                <c:manualLayout>
                  <c:x val="-3.2706456718113036E-3"/>
                  <c:y val="5.7471264367815744E-3"/>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13-18D9-4E78-B65C-367205B74C52}"/>
                </c:ext>
                <c:ext xmlns:c15="http://schemas.microsoft.com/office/drawing/2012/chart" uri="{CE6537A1-D6FC-4f65-9D91-7224C49458BB}">
                  <c15:layout/>
                </c:ext>
              </c:extLst>
            </c:dLbl>
            <c:dLbl>
              <c:idx val="16"/>
              <c:layout>
                <c:manualLayout>
                  <c:x val="-1.4525378685031143E-3"/>
                  <c:y val="-3.4379974772712215E-17"/>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14-18D9-4E78-B65C-367205B74C52}"/>
                </c:ext>
                <c:ext xmlns:c15="http://schemas.microsoft.com/office/drawing/2012/chart" uri="{CE6537A1-D6FC-4f65-9D91-7224C49458BB}">
                  <c15:layout/>
                </c:ext>
              </c:extLst>
            </c:dLbl>
            <c:dLbl>
              <c:idx val="17"/>
              <c:layout>
                <c:manualLayout>
                  <c:x val="1.0902152239370745E-3"/>
                  <c:y val="-1.756046125244137E-17"/>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15-18D9-4E78-B65C-367205B74C52}"/>
                </c:ext>
                <c:ext xmlns:c15="http://schemas.microsoft.com/office/drawing/2012/chart" uri="{CE6537A1-D6FC-4f65-9D91-7224C49458BB}">
                  <c15:layout/>
                </c:ext>
              </c:extLst>
            </c:dLbl>
            <c:dLbl>
              <c:idx val="18"/>
              <c:layout>
                <c:manualLayout>
                  <c:x val="-5.4510761196853727E-3"/>
                  <c:y val="-7.6628352490421452E-3"/>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16-18D9-4E78-B65C-367205B74C52}"/>
                </c:ext>
                <c:ext xmlns:c15="http://schemas.microsoft.com/office/drawing/2012/chart" uri="{CE6537A1-D6FC-4f65-9D91-7224C49458BB}">
                  <c15:layout/>
                </c:ext>
              </c:extLst>
            </c:dLbl>
            <c:dLbl>
              <c:idx val="19"/>
              <c:layout>
                <c:manualLayout>
                  <c:x val="-1.0902152239370745E-3"/>
                  <c:y val="-5.7471264367816178E-3"/>
                </c:manualLayout>
              </c:layout>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17-18D9-4E78-B65C-367205B74C52}"/>
                </c:ex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15:showLeaderLines val="0"/>
              </c:ext>
            </c:extLst>
          </c:dLbls>
          <c:cat>
            <c:strRef>
              <c:f>'диагр 1'!$A$2:$A$21</c:f>
              <c:strCache>
                <c:ptCount val="20"/>
                <c:pt idx="0">
                  <c:v>Развитие рыбохоз.комплекса </c:v>
                </c:pt>
                <c:pt idx="1">
                  <c:v> Патриотическое воспитание граждан,</c:v>
                </c:pt>
                <c:pt idx="2">
                  <c:v>Развитие туризма </c:v>
                </c:pt>
                <c:pt idx="3">
                  <c:v>Безопасный край </c:v>
                </c:pt>
                <c:pt idx="4">
                  <c:v>Содействие занятости населения </c:v>
                </c:pt>
                <c:pt idx="5">
                  <c:v>Развитие лесного хозяйства</c:v>
                </c:pt>
                <c:pt idx="6">
                  <c:v>Охрана окружающей среды </c:v>
                </c:pt>
                <c:pt idx="7">
                  <c:v>Энергоэффективность, развитие газоснабж.</c:v>
                </c:pt>
                <c:pt idx="8">
                  <c:v>Формирование совр. город. среды МО</c:v>
                </c:pt>
                <c:pt idx="9">
                  <c:v>Развитие культуры </c:v>
                </c:pt>
                <c:pt idx="10">
                  <c:v>Защита населения и терр. от ЧС</c:v>
                </c:pt>
                <c:pt idx="11">
                  <c:v>Информационное общество</c:v>
                </c:pt>
                <c:pt idx="12">
                  <c:v>Развитие сельского хозяйства</c:v>
                </c:pt>
                <c:pt idx="13">
                  <c:v>Развитие физ.культуры и спорта</c:v>
                </c:pt>
                <c:pt idx="14">
                  <c:v>Экономич. Развитие</c:v>
                </c:pt>
                <c:pt idx="15">
                  <c:v>Развитие транспортного комплекса</c:v>
                </c:pt>
                <c:pt idx="16">
                  <c:v> Социальная поддержка населения </c:v>
                </c:pt>
                <c:pt idx="17">
                  <c:v>Обеспечение доступным жильем </c:v>
                </c:pt>
                <c:pt idx="18">
                  <c:v>Развитие здравоохранения </c:v>
                </c:pt>
                <c:pt idx="19">
                  <c:v>Развитие образования </c:v>
                </c:pt>
              </c:strCache>
            </c:strRef>
          </c:cat>
          <c:val>
            <c:numRef>
              <c:f>'диагр 1'!$C$2:$C$21</c:f>
              <c:numCache>
                <c:formatCode>General</c:formatCode>
                <c:ptCount val="20"/>
                <c:pt idx="0" formatCode="0.00">
                  <c:v>43.91</c:v>
                </c:pt>
                <c:pt idx="1">
                  <c:v>352.67</c:v>
                </c:pt>
                <c:pt idx="2">
                  <c:v>1112.52</c:v>
                </c:pt>
                <c:pt idx="3">
                  <c:v>1371.77</c:v>
                </c:pt>
                <c:pt idx="4" formatCode="0.00">
                  <c:v>1800.62</c:v>
                </c:pt>
                <c:pt idx="5">
                  <c:v>2264.98</c:v>
                </c:pt>
                <c:pt idx="6">
                  <c:v>2747.53</c:v>
                </c:pt>
                <c:pt idx="7">
                  <c:v>2995.53</c:v>
                </c:pt>
                <c:pt idx="8" formatCode="0.00">
                  <c:v>3231.1</c:v>
                </c:pt>
                <c:pt idx="9">
                  <c:v>3929.56</c:v>
                </c:pt>
                <c:pt idx="10">
                  <c:v>4319.8599999999997</c:v>
                </c:pt>
                <c:pt idx="11" formatCode="0.00">
                  <c:v>4470.37</c:v>
                </c:pt>
                <c:pt idx="12">
                  <c:v>5628.58</c:v>
                </c:pt>
                <c:pt idx="13">
                  <c:v>6564.12</c:v>
                </c:pt>
                <c:pt idx="14" formatCode="0.00">
                  <c:v>15788.25</c:v>
                </c:pt>
                <c:pt idx="15" formatCode="0.00">
                  <c:v>26616.86</c:v>
                </c:pt>
                <c:pt idx="16">
                  <c:v>32010.29</c:v>
                </c:pt>
                <c:pt idx="17">
                  <c:v>32039.94</c:v>
                </c:pt>
                <c:pt idx="18">
                  <c:v>37088.42</c:v>
                </c:pt>
                <c:pt idx="19">
                  <c:v>48359.43</c:v>
                </c:pt>
              </c:numCache>
            </c:numRef>
          </c:val>
          <c:extLst xmlns:c16r2="http://schemas.microsoft.com/office/drawing/2015/06/chart">
            <c:ext xmlns:c16="http://schemas.microsoft.com/office/drawing/2014/chart" uri="{C3380CC4-5D6E-409C-BE32-E72D297353CC}">
              <c16:uniqueId val="{00000018-18D9-4E78-B65C-367205B74C52}"/>
            </c:ext>
          </c:extLst>
        </c:ser>
        <c:dLbls>
          <c:dLblPos val="inEnd"/>
          <c:showLegendKey val="0"/>
          <c:showVal val="1"/>
          <c:showCatName val="0"/>
          <c:showSerName val="0"/>
          <c:showPercent val="0"/>
          <c:showBubbleSize val="0"/>
        </c:dLbls>
        <c:gapWidth val="100"/>
        <c:axId val="204808272"/>
        <c:axId val="204815328"/>
      </c:barChart>
      <c:catAx>
        <c:axId val="204808272"/>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4815328"/>
        <c:crosses val="autoZero"/>
        <c:auto val="1"/>
        <c:lblAlgn val="ctr"/>
        <c:lblOffset val="100"/>
        <c:noMultiLvlLbl val="0"/>
      </c:catAx>
      <c:valAx>
        <c:axId val="204815328"/>
        <c:scaling>
          <c:orientation val="minMax"/>
        </c:scaling>
        <c:delete val="1"/>
        <c:axPos val="b"/>
        <c:numFmt formatCode="General" sourceLinked="1"/>
        <c:majorTickMark val="none"/>
        <c:minorTickMark val="none"/>
        <c:tickLblPos val="nextTo"/>
        <c:crossAx val="20480827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itchFamily="18" charset="0"/>
                <a:ea typeface="+mn-ea"/>
                <a:cs typeface="Times New Roman" pitchFamily="18" charset="0"/>
              </a:defRPr>
            </a:pPr>
            <a:r>
              <a:rPr lang="ru-RU" sz="1100" b="1" i="0" u="none" strike="noStrike" kern="1200" baseline="0">
                <a:solidFill>
                  <a:sysClr val="windowText" lastClr="000000"/>
                </a:solidFill>
                <a:latin typeface="Times New Roman" pitchFamily="18" charset="0"/>
                <a:ea typeface="+mn-ea"/>
                <a:cs typeface="Times New Roman" pitchFamily="18" charset="0"/>
              </a:rPr>
              <a:t>Оборот розничной торговли, млрд рублей</a:t>
            </a:r>
          </a:p>
        </c:rich>
      </c:tx>
      <c:layout>
        <c:manualLayout>
          <c:xMode val="edge"/>
          <c:yMode val="edge"/>
          <c:x val="0.17987170569731631"/>
          <c:y val="5.5913317627708002E-3"/>
        </c:manualLayout>
      </c:layout>
      <c:overlay val="0"/>
      <c:spPr>
        <a:noFill/>
        <a:ln>
          <a:noFill/>
        </a:ln>
        <a:effectLst/>
      </c:spPr>
    </c:title>
    <c:autoTitleDeleted val="0"/>
    <c:plotArea>
      <c:layout/>
      <c:barChart>
        <c:barDir val="col"/>
        <c:grouping val="clustered"/>
        <c:varyColors val="0"/>
        <c:ser>
          <c:idx val="0"/>
          <c:order val="0"/>
          <c:spPr>
            <a:gradFill flip="none" rotWithShape="1">
              <a:gsLst>
                <a:gs pos="100000">
                  <a:srgbClr val="20A097"/>
                </a:gs>
                <a:gs pos="3000">
                  <a:srgbClr val="4F81BD">
                    <a:lumMod val="5000"/>
                    <a:lumOff val="95000"/>
                  </a:srgbClr>
                </a:gs>
                <a:gs pos="100000">
                  <a:srgbClr val="4F81BD">
                    <a:lumMod val="75000"/>
                  </a:srgbClr>
                </a:gs>
              </a:gsLst>
              <a:lin ang="5400000" scaled="1"/>
              <a:tileRect/>
            </a:gradFill>
            <a:ln>
              <a:solidFill>
                <a:srgbClr val="20A097"/>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Лист1!$A$6:$A$8</c:f>
              <c:strCache>
                <c:ptCount val="3"/>
                <c:pt idx="0">
                  <c:v>Отчет 2022 год</c:v>
                </c:pt>
                <c:pt idx="1">
                  <c:v>Очет 2023 год</c:v>
                </c:pt>
                <c:pt idx="2">
                  <c:v>Факт 2024 год</c:v>
                </c:pt>
              </c:strCache>
            </c:strRef>
          </c:cat>
          <c:val>
            <c:numRef>
              <c:f>Лист1!$B$6:$B$8</c:f>
              <c:numCache>
                <c:formatCode>0.00</c:formatCode>
                <c:ptCount val="3"/>
                <c:pt idx="0">
                  <c:v>587.61</c:v>
                </c:pt>
                <c:pt idx="1">
                  <c:v>646.51</c:v>
                </c:pt>
                <c:pt idx="2">
                  <c:v>767.25</c:v>
                </c:pt>
              </c:numCache>
            </c:numRef>
          </c:val>
          <c:extLst xmlns:c16r2="http://schemas.microsoft.com/office/drawing/2015/06/chart">
            <c:ext xmlns:c16="http://schemas.microsoft.com/office/drawing/2014/chart" uri="{C3380CC4-5D6E-409C-BE32-E72D297353CC}">
              <c16:uniqueId val="{00000000-69B9-4BDB-B167-CFA5718DB7E6}"/>
            </c:ext>
          </c:extLst>
        </c:ser>
        <c:dLbls>
          <c:showLegendKey val="0"/>
          <c:showVal val="0"/>
          <c:showCatName val="0"/>
          <c:showSerName val="0"/>
          <c:showPercent val="0"/>
          <c:showBubbleSize val="0"/>
        </c:dLbls>
        <c:gapWidth val="39"/>
        <c:axId val="169085960"/>
        <c:axId val="169086352"/>
      </c:barChart>
      <c:lineChart>
        <c:grouping val="standard"/>
        <c:varyColors val="0"/>
        <c:ser>
          <c:idx val="1"/>
          <c:order val="1"/>
          <c:spPr>
            <a:ln w="28575" cap="rnd">
              <a:noFill/>
              <a:round/>
            </a:ln>
            <a:effectLst/>
          </c:spPr>
          <c:marker>
            <c:symbol val="circle"/>
            <c:size val="5"/>
            <c:spPr>
              <a:noFill/>
              <a:ln w="9525">
                <a:noFill/>
              </a:ln>
              <a:effectLst/>
            </c:spPr>
          </c:marker>
          <c:dLbls>
            <c:dLbl>
              <c:idx val="1"/>
              <c:layout>
                <c:manualLayout>
                  <c:x val="-0.31822335001896795"/>
                  <c:y val="-0.4516114419707688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69B9-4BDB-B167-CFA5718DB7E6}"/>
                </c:ext>
                <c:ext xmlns:c15="http://schemas.microsoft.com/office/drawing/2012/chart" uri="{CE6537A1-D6FC-4f65-9D91-7224C49458BB}">
                  <c15:layout>
                    <c:manualLayout>
                      <c:w val="0.23576791376977768"/>
                      <c:h val="0.13245864946004024"/>
                    </c:manualLayout>
                  </c15:layout>
                </c:ext>
              </c:extLst>
            </c:dLbl>
            <c:dLbl>
              <c:idx val="2"/>
              <c:layout>
                <c:manualLayout>
                  <c:x val="-0.18828404748466382"/>
                  <c:y val="-0.44300487185294729"/>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69B9-4BDB-B167-CFA5718DB7E6}"/>
                </c:ext>
                <c:ext xmlns:c15="http://schemas.microsoft.com/office/drawing/2012/chart" uri="{CE6537A1-D6FC-4f65-9D91-7224C49458BB}">
                  <c15:layout>
                    <c:manualLayout>
                      <c:w val="0.26366942087585699"/>
                      <c:h val="0.10425765307255373"/>
                    </c:manualLayout>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Лист1!$A$6:$A$8</c:f>
              <c:strCache>
                <c:ptCount val="3"/>
                <c:pt idx="0">
                  <c:v>Отчет 2022 год</c:v>
                </c:pt>
                <c:pt idx="1">
                  <c:v>Очет 2023 год</c:v>
                </c:pt>
                <c:pt idx="2">
                  <c:v>Факт 2024 год</c:v>
                </c:pt>
              </c:strCache>
            </c:strRef>
          </c:cat>
          <c:val>
            <c:numRef>
              <c:f>Лист1!$C$6:$C$8</c:f>
              <c:numCache>
                <c:formatCode>0.00</c:formatCode>
                <c:ptCount val="3"/>
                <c:pt idx="1">
                  <c:v>58.899999999999977</c:v>
                </c:pt>
                <c:pt idx="2">
                  <c:v>120.74000000000001</c:v>
                </c:pt>
              </c:numCache>
            </c:numRef>
          </c:val>
          <c:smooth val="0"/>
          <c:extLst xmlns:c16r2="http://schemas.microsoft.com/office/drawing/2015/06/chart">
            <c:ext xmlns:c16="http://schemas.microsoft.com/office/drawing/2014/chart" uri="{C3380CC4-5D6E-409C-BE32-E72D297353CC}">
              <c16:uniqueId val="{00000003-69B9-4BDB-B167-CFA5718DB7E6}"/>
            </c:ext>
          </c:extLst>
        </c:ser>
        <c:dLbls>
          <c:showLegendKey val="0"/>
          <c:showVal val="0"/>
          <c:showCatName val="0"/>
          <c:showSerName val="0"/>
          <c:showPercent val="0"/>
          <c:showBubbleSize val="0"/>
        </c:dLbls>
        <c:marker val="1"/>
        <c:smooth val="0"/>
        <c:axId val="98587400"/>
        <c:axId val="169091448"/>
      </c:lineChart>
      <c:catAx>
        <c:axId val="169085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69086352"/>
        <c:crosses val="autoZero"/>
        <c:auto val="1"/>
        <c:lblAlgn val="ctr"/>
        <c:lblOffset val="100"/>
        <c:noMultiLvlLbl val="0"/>
      </c:catAx>
      <c:valAx>
        <c:axId val="169086352"/>
        <c:scaling>
          <c:orientation val="minMax"/>
        </c:scaling>
        <c:delete val="1"/>
        <c:axPos val="l"/>
        <c:numFmt formatCode="0.00" sourceLinked="1"/>
        <c:majorTickMark val="none"/>
        <c:minorTickMark val="none"/>
        <c:tickLblPos val="nextTo"/>
        <c:crossAx val="169085960"/>
        <c:crosses val="autoZero"/>
        <c:crossBetween val="between"/>
      </c:valAx>
      <c:valAx>
        <c:axId val="169091448"/>
        <c:scaling>
          <c:orientation val="minMax"/>
        </c:scaling>
        <c:delete val="1"/>
        <c:axPos val="r"/>
        <c:numFmt formatCode="0.00" sourceLinked="1"/>
        <c:majorTickMark val="out"/>
        <c:minorTickMark val="none"/>
        <c:tickLblPos val="nextTo"/>
        <c:crossAx val="98587400"/>
        <c:crosses val="max"/>
        <c:crossBetween val="between"/>
      </c:valAx>
      <c:catAx>
        <c:axId val="98587400"/>
        <c:scaling>
          <c:orientation val="minMax"/>
        </c:scaling>
        <c:delete val="1"/>
        <c:axPos val="b"/>
        <c:numFmt formatCode="General" sourceLinked="1"/>
        <c:majorTickMark val="out"/>
        <c:minorTickMark val="none"/>
        <c:tickLblPos val="nextTo"/>
        <c:crossAx val="169091448"/>
        <c:crosses val="autoZero"/>
        <c:auto val="1"/>
        <c:lblAlgn val="ctr"/>
        <c:lblOffset val="100"/>
        <c:noMultiLvlLbl val="0"/>
      </c:catAx>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userShapes r:id="rId3"/>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50"/>
      <c:rotY val="359"/>
      <c:depthPercent val="80"/>
      <c:rAngAx val="0"/>
      <c:perspective val="5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1843803931614714"/>
          <c:y val="0.31706978162880284"/>
          <c:w val="0.58701158181425961"/>
          <c:h val="0.53805397711225833"/>
        </c:manualLayout>
      </c:layout>
      <c:pie3DChart>
        <c:varyColors val="1"/>
        <c:ser>
          <c:idx val="0"/>
          <c:order val="0"/>
          <c:dPt>
            <c:idx val="0"/>
            <c:bubble3D val="0"/>
            <c:explosion val="17"/>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1-015A-45A3-AE3E-215AECAAEBE1}"/>
              </c:ext>
            </c:extLst>
          </c:dPt>
          <c:dPt>
            <c:idx val="1"/>
            <c:bubble3D val="0"/>
            <c:explosion val="23"/>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3-015A-45A3-AE3E-215AECAAEBE1}"/>
              </c:ext>
            </c:extLst>
          </c:dPt>
          <c:dPt>
            <c:idx val="2"/>
            <c:bubble3D val="0"/>
            <c:explosion val="22"/>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5-015A-45A3-AE3E-215AECAAEBE1}"/>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7-015A-45A3-AE3E-215AECAAEBE1}"/>
              </c:ext>
            </c:extLst>
          </c:dPt>
          <c:dPt>
            <c:idx val="4"/>
            <c:bubble3D val="0"/>
            <c:explosion val="3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9-015A-45A3-AE3E-215AECAAEBE1}"/>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B-015A-45A3-AE3E-215AECAAEBE1}"/>
              </c:ext>
            </c:extLst>
          </c:dPt>
          <c:dLbls>
            <c:dLbl>
              <c:idx val="0"/>
              <c:layout>
                <c:manualLayout>
                  <c:x val="-1.5598238493294402E-3"/>
                  <c:y val="0.19577086773777266"/>
                </c:manualLayout>
              </c:layout>
              <c:tx>
                <c:rich>
                  <a:bodyPr rot="0" spcFirstLastPara="1" vertOverflow="ellipsis" vert="horz" wrap="square" anchor="ctr" anchorCtr="1"/>
                  <a:lstStyle/>
                  <a:p>
                    <a:pPr>
                      <a:defRPr sz="9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fld id="{59D769D3-3A6A-4A5C-A788-623FB817207F}" type="CATEGORYNAME">
                      <a:rPr lang="ru-RU" sz="900"/>
                      <a:pPr>
                        <a:defRPr sz="900" b="0"/>
                      </a:pPr>
                      <a:t>[ИМЯ КАТЕГОРИИ]</a:t>
                    </a:fld>
                    <a:r>
                      <a:rPr lang="ru-RU" sz="900"/>
                      <a:t> </a:t>
                    </a:r>
                    <a:r>
                      <a:rPr lang="ru-RU" sz="900" baseline="0"/>
                      <a:t>; </a:t>
                    </a:r>
                    <a:fld id="{314701E7-B953-40CD-BA12-5DCD91C38E0D}" type="VALUE">
                      <a:rPr lang="ru-RU" sz="900" baseline="0"/>
                      <a:pPr>
                        <a:defRPr sz="900" b="0"/>
                      </a:pPr>
                      <a:t>[ЗНАЧЕНИЕ]</a:t>
                    </a:fld>
                    <a:r>
                      <a:rPr lang="ru-RU" sz="900" baseline="0"/>
                      <a:t> </a:t>
                    </a:r>
                    <a:r>
                      <a:rPr lang="ru-RU" sz="900" b="0" i="0" u="none" strike="noStrike" kern="1200" spc="0" baseline="0">
                        <a:solidFill>
                          <a:sysClr val="windowText" lastClr="000000"/>
                        </a:solidFill>
                        <a:latin typeface="Times New Roman" panose="02020603050405020304" pitchFamily="18" charset="0"/>
                        <a:cs typeface="Times New Roman" panose="02020603050405020304" pitchFamily="18" charset="0"/>
                      </a:rPr>
                      <a:t>млн рублей</a:t>
                    </a:r>
                    <a:r>
                      <a:rPr lang="ru-RU" sz="900" baseline="0"/>
                      <a:t>; 60,18 %</a:t>
                    </a:r>
                  </a:p>
                </c:rich>
              </c:tx>
              <c:spPr>
                <a:noFill/>
                <a:ln>
                  <a:noFill/>
                </a:ln>
                <a:effectLst/>
              </c:spPr>
              <c:txPr>
                <a:bodyPr rot="0" spcFirstLastPara="1" vertOverflow="ellipsis" vert="horz" wrap="square" anchor="ctr" anchorCtr="1"/>
                <a:lstStyle/>
                <a:p>
                  <a:pPr>
                    <a:defRPr sz="9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1-015A-45A3-AE3E-215AECAAEBE1}"/>
                </c:ext>
                <c:ext xmlns:c15="http://schemas.microsoft.com/office/drawing/2012/chart" uri="{CE6537A1-D6FC-4f65-9D91-7224C49458BB}">
                  <c15:layout>
                    <c:manualLayout>
                      <c:w val="0.31268020230502863"/>
                      <c:h val="0.27603852014726388"/>
                    </c:manualLayout>
                  </c15:layout>
                  <c15:dlblFieldTable/>
                  <c15:showDataLabelsRange val="0"/>
                </c:ext>
              </c:extLst>
            </c:dLbl>
            <c:dLbl>
              <c:idx val="1"/>
              <c:layout>
                <c:manualLayout>
                  <c:x val="1.8039347813267374E-2"/>
                  <c:y val="0.13261540751204071"/>
                </c:manualLayout>
              </c:layout>
              <c:tx>
                <c:rich>
                  <a:bodyPr rot="0" spcFirstLastPara="1" vertOverflow="ellipsis" vert="horz" wrap="square" anchor="ctr" anchorCtr="1"/>
                  <a:lstStyle/>
                  <a:p>
                    <a:pPr>
                      <a:defRPr sz="9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fld id="{673B755B-AAE5-4E43-9079-7DB9927E598C}" type="CATEGORYNAME">
                      <a:rPr lang="ru-RU" sz="900"/>
                      <a:pPr>
                        <a:defRPr sz="900" b="0"/>
                      </a:pPr>
                      <a:t>[ИМЯ КАТЕГОРИИ]</a:t>
                    </a:fld>
                    <a:r>
                      <a:rPr lang="ru-RU" sz="900"/>
                      <a:t> </a:t>
                    </a:r>
                    <a:r>
                      <a:rPr lang="ru-RU" sz="900" baseline="0"/>
                      <a:t>; </a:t>
                    </a:r>
                    <a:fld id="{E22F3C15-1037-4233-8236-D22A44EFC111}" type="VALUE">
                      <a:rPr lang="ru-RU" sz="900" baseline="0"/>
                      <a:pPr>
                        <a:defRPr sz="900" b="0"/>
                      </a:pPr>
                      <a:t>[ЗНАЧЕНИЕ]</a:t>
                    </a:fld>
                    <a:r>
                      <a:rPr lang="ru-RU" sz="900" baseline="0"/>
                      <a:t> </a:t>
                    </a:r>
                    <a:r>
                      <a:rPr lang="ru-RU" sz="900" b="0" i="0" u="none" strike="noStrike" kern="1200" spc="0" baseline="0">
                        <a:solidFill>
                          <a:sysClr val="windowText" lastClr="000000"/>
                        </a:solidFill>
                        <a:latin typeface="Times New Roman" panose="02020603050405020304" pitchFamily="18" charset="0"/>
                        <a:cs typeface="Times New Roman" panose="02020603050405020304" pitchFamily="18" charset="0"/>
                      </a:rPr>
                      <a:t>млн рублей</a:t>
                    </a:r>
                    <a:r>
                      <a:rPr lang="ru-RU" sz="900" baseline="0"/>
                      <a:t>; 12,77%</a:t>
                    </a:r>
                  </a:p>
                </c:rich>
              </c:tx>
              <c:spPr>
                <a:noFill/>
                <a:ln>
                  <a:noFill/>
                </a:ln>
                <a:effectLst/>
              </c:spPr>
              <c:txPr>
                <a:bodyPr rot="0" spcFirstLastPara="1" vertOverflow="ellipsis" vert="horz" wrap="square" anchor="ctr" anchorCtr="1"/>
                <a:lstStyle/>
                <a:p>
                  <a:pPr>
                    <a:defRPr sz="9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3-015A-45A3-AE3E-215AECAAEBE1}"/>
                </c:ext>
                <c:ext xmlns:c15="http://schemas.microsoft.com/office/drawing/2012/chart" uri="{CE6537A1-D6FC-4f65-9D91-7224C49458BB}">
                  <c15:layout>
                    <c:manualLayout>
                      <c:w val="0.24030747761837987"/>
                      <c:h val="0.11238547397040183"/>
                    </c:manualLayout>
                  </c15:layout>
                  <c15:dlblFieldTable/>
                  <c15:showDataLabelsRange val="0"/>
                </c:ext>
              </c:extLst>
            </c:dLbl>
            <c:dLbl>
              <c:idx val="2"/>
              <c:layout>
                <c:manualLayout>
                  <c:x val="-4.2613628627833626E-2"/>
                  <c:y val="7.763314831547688E-2"/>
                </c:manualLayout>
              </c:layout>
              <c:tx>
                <c:rich>
                  <a:bodyPr rot="0" spcFirstLastPara="1" vertOverflow="ellipsis" vert="horz" wrap="square" anchor="ctr" anchorCtr="1"/>
                  <a:lstStyle/>
                  <a:p>
                    <a:pPr>
                      <a:defRPr sz="9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fld id="{55324364-D1F4-4C2B-8CA7-548B6123016E}" type="CATEGORYNAME">
                      <a:rPr lang="ru-RU" sz="900"/>
                      <a:pPr>
                        <a:defRPr sz="900" b="0"/>
                      </a:pPr>
                      <a:t>[ИМЯ КАТЕГОРИИ]</a:t>
                    </a:fld>
                    <a:r>
                      <a:rPr lang="ru-RU" sz="900"/>
                      <a:t> </a:t>
                    </a:r>
                    <a:fld id="{3945E4DE-B9A7-42AD-BB03-9E2B4E8A6B67}" type="VALUE">
                      <a:rPr lang="ru-RU" sz="900" baseline="0"/>
                      <a:pPr>
                        <a:defRPr sz="900" b="0"/>
                      </a:pPr>
                      <a:t>[ЗНАЧЕНИЕ]</a:t>
                    </a:fld>
                    <a:r>
                      <a:rPr lang="ru-RU" sz="900" baseline="0"/>
                      <a:t> млн рублей; 17,87%</a:t>
                    </a:r>
                  </a:p>
                </c:rich>
              </c:tx>
              <c:spPr>
                <a:noFill/>
                <a:ln>
                  <a:noFill/>
                </a:ln>
                <a:effectLst/>
              </c:spPr>
              <c:txPr>
                <a:bodyPr rot="0" spcFirstLastPara="1" vertOverflow="ellipsis" vert="horz" wrap="square" anchor="ctr" anchorCtr="1"/>
                <a:lstStyle/>
                <a:p>
                  <a:pPr>
                    <a:defRPr sz="9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5-015A-45A3-AE3E-215AECAAEBE1}"/>
                </c:ext>
                <c:ext xmlns:c15="http://schemas.microsoft.com/office/drawing/2012/chart" uri="{CE6537A1-D6FC-4f65-9D91-7224C49458BB}">
                  <c15:layout/>
                  <c15:dlblFieldTable/>
                  <c15:showDataLabelsRange val="0"/>
                </c:ext>
              </c:extLst>
            </c:dLbl>
            <c:dLbl>
              <c:idx val="3"/>
              <c:layout>
                <c:manualLayout>
                  <c:x val="7.6823171004477414E-4"/>
                  <c:y val="-2.2467787564362861E-2"/>
                </c:manualLayout>
              </c:layout>
              <c:tx>
                <c:rich>
                  <a:bodyPr rot="0" spcFirstLastPara="1" vertOverflow="ellipsis" vert="horz" wrap="square" anchor="ctr" anchorCtr="1"/>
                  <a:lstStyle/>
                  <a:p>
                    <a:pPr>
                      <a:defRPr sz="9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fld id="{43C4DD37-2E9C-4E25-A69F-797E77F1BD54}" type="CATEGORYNAME">
                      <a:rPr lang="ru-RU" sz="900"/>
                      <a:pPr>
                        <a:defRPr sz="900" b="0"/>
                      </a:pPr>
                      <a:t>[ИМЯ КАТЕГОРИИ]</a:t>
                    </a:fld>
                    <a:r>
                      <a:rPr lang="ru-RU" sz="900"/>
                      <a:t> -</a:t>
                    </a:r>
                    <a:r>
                      <a:rPr lang="ru-RU" sz="900" baseline="0"/>
                      <a:t> </a:t>
                    </a:r>
                    <a:fld id="{E97179C8-D3F7-49D6-B326-43817E8432E8}" type="VALUE">
                      <a:rPr lang="ru-RU" sz="900" baseline="0"/>
                      <a:pPr>
                        <a:defRPr sz="900" b="0"/>
                      </a:pPr>
                      <a:t>[ЗНАЧЕНИЕ]</a:t>
                    </a:fld>
                    <a:r>
                      <a:rPr lang="ru-RU" sz="900" baseline="0"/>
                      <a:t> млн рублей; 0,28 % </a:t>
                    </a:r>
                  </a:p>
                </c:rich>
              </c:tx>
              <c:spPr>
                <a:noFill/>
                <a:ln>
                  <a:noFill/>
                </a:ln>
                <a:effectLst/>
              </c:spPr>
              <c:txPr>
                <a:bodyPr rot="0" spcFirstLastPara="1" vertOverflow="ellipsis" vert="horz" wrap="square" anchor="ctr" anchorCtr="1"/>
                <a:lstStyle/>
                <a:p>
                  <a:pPr>
                    <a:defRPr sz="9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7-015A-45A3-AE3E-215AECAAEBE1}"/>
                </c:ext>
                <c:ext xmlns:c15="http://schemas.microsoft.com/office/drawing/2012/chart" uri="{CE6537A1-D6FC-4f65-9D91-7224C49458BB}">
                  <c15:layout>
                    <c:manualLayout>
                      <c:w val="0.35873658451084023"/>
                      <c:h val="0.27274099345903141"/>
                    </c:manualLayout>
                  </c15:layout>
                  <c15:dlblFieldTable/>
                  <c15:showDataLabelsRange val="0"/>
                </c:ext>
              </c:extLst>
            </c:dLbl>
            <c:dLbl>
              <c:idx val="4"/>
              <c:layout>
                <c:manualLayout>
                  <c:x val="0.44993309109049723"/>
                  <c:y val="-4.2402214927304373E-2"/>
                </c:manualLayout>
              </c:layout>
              <c:tx>
                <c:rich>
                  <a:bodyPr rot="0" spcFirstLastPara="1" vertOverflow="ellipsis" vert="horz" wrap="square" anchor="ctr" anchorCtr="1"/>
                  <a:lstStyle/>
                  <a:p>
                    <a:pPr>
                      <a:defRPr sz="9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fld id="{79570544-EC85-4005-B409-29040B551A9F}" type="CATEGORYNAME">
                      <a:rPr lang="ru-RU" sz="900"/>
                      <a:pPr>
                        <a:defRPr sz="900" b="0"/>
                      </a:pPr>
                      <a:t>[ИМЯ КАТЕГОРИИ]</a:t>
                    </a:fld>
                    <a:r>
                      <a:rPr lang="ru-RU" sz="900" baseline="0"/>
                      <a:t>; </a:t>
                    </a:r>
                    <a:fld id="{6AEDB202-44AA-4E05-8C0C-C4363FE373A4}" type="VALUE">
                      <a:rPr lang="ru-RU" sz="900" baseline="0"/>
                      <a:pPr>
                        <a:defRPr sz="900" b="0"/>
                      </a:pPr>
                      <a:t>[ЗНАЧЕНИЕ]</a:t>
                    </a:fld>
                    <a:r>
                      <a:rPr lang="ru-RU" sz="900" b="0" i="0" u="none" strike="noStrike" kern="1200" spc="0" baseline="0">
                        <a:solidFill>
                          <a:sysClr val="windowText" lastClr="000000"/>
                        </a:solidFill>
                        <a:latin typeface="Times New Roman" panose="02020603050405020304" pitchFamily="18" charset="0"/>
                        <a:cs typeface="Times New Roman" panose="02020603050405020304" pitchFamily="18" charset="0"/>
                      </a:rPr>
                      <a:t> млн рублей</a:t>
                    </a:r>
                    <a:r>
                      <a:rPr lang="ru-RU" sz="900" baseline="0"/>
                      <a:t>; 8,86 %</a:t>
                    </a:r>
                  </a:p>
                </c:rich>
              </c:tx>
              <c:spPr>
                <a:noFill/>
                <a:ln>
                  <a:noFill/>
                </a:ln>
                <a:effectLst/>
              </c:spPr>
              <c:txPr>
                <a:bodyPr rot="0" spcFirstLastPara="1" vertOverflow="ellipsis" vert="horz" wrap="square" anchor="ctr" anchorCtr="1"/>
                <a:lstStyle/>
                <a:p>
                  <a:pPr>
                    <a:defRPr sz="9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9-015A-45A3-AE3E-215AECAAEBE1}"/>
                </c:ext>
                <c:ext xmlns:c15="http://schemas.microsoft.com/office/drawing/2012/chart" uri="{CE6537A1-D6FC-4f65-9D91-7224C49458BB}">
                  <c15:layout>
                    <c:manualLayout>
                      <c:w val="0.35883382995361879"/>
                      <c:h val="0.22301964643646305"/>
                    </c:manualLayout>
                  </c15:layout>
                  <c15:dlblFieldTable/>
                  <c15:showDataLabelsRange val="0"/>
                </c:ext>
              </c:extLst>
            </c:dLbl>
            <c:dLbl>
              <c:idx val="5"/>
              <c:layout>
                <c:manualLayout>
                  <c:x val="0.19098852859725157"/>
                  <c:y val="3.3583334111693119E-2"/>
                </c:manualLayout>
              </c:layout>
              <c:tx>
                <c:rich>
                  <a:bodyPr rot="0" spcFirstLastPara="1" vertOverflow="ellipsis" vert="horz" wrap="square" anchor="ctr" anchorCtr="1"/>
                  <a:lstStyle/>
                  <a:p>
                    <a:pPr>
                      <a:defRPr sz="9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fld id="{1FB63A76-9E7D-4EE0-B6A2-4AE96CD9967E}" type="CATEGORYNAME">
                      <a:rPr lang="ru-RU" sz="900"/>
                      <a:pPr>
                        <a:defRPr sz="900" b="0"/>
                      </a:pPr>
                      <a:t>[ИМЯ КАТЕГОРИИ]</a:t>
                    </a:fld>
                    <a:r>
                      <a:rPr lang="ru-RU" sz="900" baseline="0"/>
                      <a:t>; </a:t>
                    </a:r>
                    <a:fld id="{1BD0266C-2D29-421A-BBAB-2D0222F59F27}" type="VALUE">
                      <a:rPr lang="ru-RU" sz="900" baseline="0"/>
                      <a:pPr>
                        <a:defRPr sz="900" b="0"/>
                      </a:pPr>
                      <a:t>[ЗНАЧЕНИЕ]</a:t>
                    </a:fld>
                    <a:r>
                      <a:rPr lang="ru-RU" sz="900" baseline="0"/>
                      <a:t> </a:t>
                    </a:r>
                    <a:r>
                      <a:rPr lang="ru-RU" sz="900" b="0" i="0" u="none" strike="noStrike" kern="1200" spc="0" baseline="0">
                        <a:solidFill>
                          <a:sysClr val="windowText" lastClr="000000"/>
                        </a:solidFill>
                        <a:latin typeface="Times New Roman" panose="02020603050405020304" pitchFamily="18" charset="0"/>
                        <a:cs typeface="Times New Roman" panose="02020603050405020304" pitchFamily="18" charset="0"/>
                      </a:rPr>
                      <a:t>млн рублей</a:t>
                    </a:r>
                    <a:r>
                      <a:rPr lang="ru-RU" sz="900" baseline="0"/>
                      <a:t>; 0,04%</a:t>
                    </a:r>
                  </a:p>
                </c:rich>
              </c:tx>
              <c:spPr>
                <a:noFill/>
                <a:ln>
                  <a:noFill/>
                </a:ln>
                <a:effectLst/>
              </c:spPr>
              <c:txPr>
                <a:bodyPr rot="0" spcFirstLastPara="1" vertOverflow="ellipsis" vert="horz" wrap="square" anchor="ctr" anchorCtr="1"/>
                <a:lstStyle/>
                <a:p>
                  <a:pPr>
                    <a:defRPr sz="9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B-015A-45A3-AE3E-215AECAAEBE1}"/>
                </c:ext>
                <c:ext xmlns:c15="http://schemas.microsoft.com/office/drawing/2012/chart" uri="{CE6537A1-D6FC-4f65-9D91-7224C49458BB}">
                  <c15:layout>
                    <c:manualLayout>
                      <c:w val="0.19629203295221659"/>
                      <c:h val="0.11246678439738908"/>
                    </c:manualLayout>
                  </c15:layout>
                  <c15:dlblFieldTable/>
                  <c15:showDataLabelsRange val="0"/>
                </c:ext>
              </c:extLst>
            </c:dLbl>
            <c:dLbl>
              <c:idx val="6"/>
              <c:layout>
                <c:manualLayout>
                  <c:x val="-7.50656269537066E-3"/>
                  <c:y val="-0.103641391416982"/>
                </c:manualLayout>
              </c:layout>
              <c:spPr>
                <a:noFill/>
                <a:ln>
                  <a:noFill/>
                </a:ln>
                <a:effectLst/>
              </c:spPr>
              <c:txPr>
                <a:bodyPr rot="0" spcFirstLastPara="1" vertOverflow="ellipsis" vert="horz" wrap="square" anchor="ctr" anchorCtr="1"/>
                <a:lstStyle/>
                <a:p>
                  <a:pPr>
                    <a:defRPr sz="9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C-1CE3-464B-B132-0A69343F3552}"/>
                </c:ext>
                <c:ext xmlns:c15="http://schemas.microsoft.com/office/drawing/2012/chart" uri="{CE6537A1-D6FC-4f65-9D91-7224C49458BB}">
                  <c15:layout>
                    <c:manualLayout>
                      <c:w val="0.1977319855145149"/>
                      <c:h val="8.0086580086580081E-2"/>
                    </c:manualLayout>
                  </c15:layout>
                </c:ext>
              </c:extLst>
            </c:dLbl>
            <c:spPr>
              <a:noFill/>
              <a:ln>
                <a:noFill/>
              </a:ln>
              <a:effectLst/>
            </c:spPr>
            <c:txPr>
              <a:bodyPr rot="0" spcFirstLastPara="1" vertOverflow="ellipsis" vert="horz" wrap="square" anchor="ctr" anchorCtr="1"/>
              <a:lstStyle/>
              <a:p>
                <a:pPr>
                  <a:defRPr sz="9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Лист1!$A$6:$A$11</c:f>
              <c:strCache>
                <c:ptCount val="6"/>
                <c:pt idx="0">
                  <c:v>акцизы на автомобильный бензин, прямогонный бензин, дизельное топливо, моторные масла для дизельных и карбюраторных (инжекторных) двигателей, производимые на территории РФ, подлежащих зачислению в краевой бюджет</c:v>
                </c:pt>
                <c:pt idx="1">
                  <c:v>транспортный налог</c:v>
                </c:pt>
                <c:pt idx="2">
                  <c:v>межбюджетные трансферты из федерального бюджета краевому бюджету</c:v>
                </c:pt>
                <c:pt idx="3">
                  <c:v>штрафы, неустойки, пени, уплаченные в случае просрочки исполнения поставщиком (подрядчиком, исполнителем) обязательств, предусмотренных государственным контрактом, заключенным государственным органом субъекта РФ, казенным учреждением субъекта РФ</c:v>
                </c:pt>
                <c:pt idx="4">
                  <c:v>административные штрафы, установленные Главой 12 Кодекса Российской Федерации об административных правонарушениях, за административные правонарушения в области дорожного движения</c:v>
                </c:pt>
                <c:pt idx="5">
                  <c:v>другие источники</c:v>
                </c:pt>
              </c:strCache>
            </c:strRef>
          </c:cat>
          <c:val>
            <c:numRef>
              <c:f>Лист1!$B$6:$B$11</c:f>
              <c:numCache>
                <c:formatCode>#,##0.00</c:formatCode>
                <c:ptCount val="6"/>
                <c:pt idx="0">
                  <c:v>11645.38856951</c:v>
                </c:pt>
                <c:pt idx="1">
                  <c:v>2471.3322146799997</c:v>
                </c:pt>
                <c:pt idx="2">
                  <c:v>3457.242898</c:v>
                </c:pt>
                <c:pt idx="3">
                  <c:v>55.02</c:v>
                </c:pt>
                <c:pt idx="4">
                  <c:v>1713.8307413499999</c:v>
                </c:pt>
                <c:pt idx="5">
                  <c:v>8.9455764599986196</c:v>
                </c:pt>
              </c:numCache>
            </c:numRef>
          </c:val>
          <c:extLst xmlns:c16r2="http://schemas.microsoft.com/office/drawing/2015/06/chart">
            <c:ext xmlns:c16="http://schemas.microsoft.com/office/drawing/2014/chart" uri="{C3380CC4-5D6E-409C-BE32-E72D297353CC}">
              <c16:uniqueId val="{0000000C-015A-45A3-AE3E-215AECAAEBE1}"/>
            </c:ext>
          </c:extLst>
        </c:ser>
        <c:ser>
          <c:idx val="1"/>
          <c:order val="1"/>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E-1CE3-464B-B132-0A69343F3552}"/>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10-1CE3-464B-B132-0A69343F3552}"/>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12-1CE3-464B-B132-0A69343F3552}"/>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14-1CE3-464B-B132-0A69343F3552}"/>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16-1CE3-464B-B132-0A69343F3552}"/>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18-1CE3-464B-B132-0A69343F3552}"/>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0"/>
              <c:showBubbleSize val="0"/>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0"/>
              <c:showBubbleSize val="0"/>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0"/>
              <c:showBubbleSize val="0"/>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0"/>
              <c:showBubbleSize val="0"/>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0"/>
              <c:showBubbleSize val="0"/>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0"/>
              <c:showBubbleSize val="0"/>
            </c:dLbl>
            <c:spPr>
              <a:noFill/>
              <a:ln>
                <a:noFill/>
              </a:ln>
              <a:effectLst/>
            </c:sp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Лист1!$A$6:$A$11</c:f>
              <c:strCache>
                <c:ptCount val="6"/>
                <c:pt idx="0">
                  <c:v>акцизы на автомобильный бензин, прямогонный бензин, дизельное топливо, моторные масла для дизельных и карбюраторных (инжекторных) двигателей, производимые на территории РФ, подлежащих зачислению в краевой бюджет</c:v>
                </c:pt>
                <c:pt idx="1">
                  <c:v>транспортный налог</c:v>
                </c:pt>
                <c:pt idx="2">
                  <c:v>межбюджетные трансферты из федерального бюджета краевому бюджету</c:v>
                </c:pt>
                <c:pt idx="3">
                  <c:v>штрафы, неустойки, пени, уплаченные в случае просрочки исполнения поставщиком (подрядчиком, исполнителем) обязательств, предусмотренных государственным контрактом, заключенным государственным органом субъекта РФ, казенным учреждением субъекта РФ</c:v>
                </c:pt>
                <c:pt idx="4">
                  <c:v>административные штрафы, установленные Главой 12 Кодекса Российской Федерации об административных правонарушениях, за административные правонарушения в области дорожного движения</c:v>
                </c:pt>
                <c:pt idx="5">
                  <c:v>другие источники</c:v>
                </c:pt>
              </c:strCache>
            </c:strRef>
          </c:cat>
          <c:val>
            <c:numRef>
              <c:f>Лист1!$C$6:$C$11</c:f>
              <c:numCache>
                <c:formatCode>#,##0.00</c:formatCode>
                <c:ptCount val="6"/>
                <c:pt idx="0">
                  <c:v>60.177413162988799</c:v>
                </c:pt>
                <c:pt idx="1">
                  <c:v>12.770581149621533</c:v>
                </c:pt>
                <c:pt idx="2">
                  <c:v>17.865263407566033</c:v>
                </c:pt>
                <c:pt idx="3">
                  <c:v>0.28431522507513529</c:v>
                </c:pt>
                <c:pt idx="4">
                  <c:v>8.8562008899965701</c:v>
                </c:pt>
                <c:pt idx="5">
                  <c:v>4.6226164751932745E-2</c:v>
                </c:pt>
              </c:numCache>
            </c:numRef>
          </c:val>
          <c:extLst xmlns:c16r2="http://schemas.microsoft.com/office/drawing/2015/06/chart">
            <c:ext xmlns:c16="http://schemas.microsoft.com/office/drawing/2014/chart" uri="{C3380CC4-5D6E-409C-BE32-E72D297353CC}">
              <c16:uniqueId val="{00000019-1CE3-464B-B132-0A69343F3552}"/>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1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rPr>
              <a:t>Оборот розничной торговли, в % к предыдущему году   </a:t>
            </a:r>
          </a:p>
        </c:rich>
      </c:tx>
      <c:layout>
        <c:manualLayout>
          <c:xMode val="edge"/>
          <c:yMode val="edge"/>
          <c:x val="0.1701134056356163"/>
          <c:y val="5.9415539564731451E-3"/>
        </c:manualLayout>
      </c:layout>
      <c:overlay val="0"/>
      <c:spPr>
        <a:noFill/>
        <a:ln>
          <a:noFill/>
        </a:ln>
        <a:effectLst/>
      </c:spPr>
      <c:txPr>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6.4043257045634655E-2"/>
          <c:y val="0.34105136857892765"/>
          <c:w val="0.90481502419548987"/>
          <c:h val="0.44553045155069904"/>
        </c:manualLayout>
      </c:layout>
      <c:barChart>
        <c:barDir val="col"/>
        <c:grouping val="clustered"/>
        <c:varyColors val="0"/>
        <c:ser>
          <c:idx val="0"/>
          <c:order val="0"/>
          <c:spPr>
            <a:gradFill flip="none" rotWithShape="1">
              <a:gsLst>
                <a:gs pos="82000">
                  <a:srgbClr val="BEB84A"/>
                </a:gs>
                <a:gs pos="0">
                  <a:srgbClr val="4F81BD">
                    <a:lumMod val="5000"/>
                    <a:lumOff val="95000"/>
                  </a:srgbClr>
                </a:gs>
                <a:gs pos="100000">
                  <a:srgbClr val="BEB84A"/>
                </a:gs>
              </a:gsLst>
              <a:lin ang="5400000" scaled="1"/>
              <a:tileRect/>
            </a:gradFill>
            <a:ln>
              <a:solidFill>
                <a:srgbClr val="BEB84A"/>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Лист1!$A$58:$A$60</c:f>
              <c:strCache>
                <c:ptCount val="3"/>
                <c:pt idx="0">
                  <c:v>Отчет 2022 год</c:v>
                </c:pt>
                <c:pt idx="1">
                  <c:v> Отчет 2023 год</c:v>
                </c:pt>
                <c:pt idx="2">
                  <c:v>Факт 2024 год</c:v>
                </c:pt>
              </c:strCache>
            </c:strRef>
          </c:cat>
          <c:val>
            <c:numRef>
              <c:f>Лист1!$B$58:$B$60</c:f>
              <c:numCache>
                <c:formatCode>0.0</c:formatCode>
                <c:ptCount val="3"/>
                <c:pt idx="0">
                  <c:v>101.2</c:v>
                </c:pt>
                <c:pt idx="1">
                  <c:v>104</c:v>
                </c:pt>
                <c:pt idx="2">
                  <c:v>108.7</c:v>
                </c:pt>
              </c:numCache>
            </c:numRef>
          </c:val>
          <c:extLst xmlns:c16r2="http://schemas.microsoft.com/office/drawing/2015/06/chart">
            <c:ext xmlns:c16="http://schemas.microsoft.com/office/drawing/2014/chart" uri="{C3380CC4-5D6E-409C-BE32-E72D297353CC}">
              <c16:uniqueId val="{00000000-C027-4FA8-9683-3B5B16EEF2B0}"/>
            </c:ext>
          </c:extLst>
        </c:ser>
        <c:dLbls>
          <c:showLegendKey val="0"/>
          <c:showVal val="0"/>
          <c:showCatName val="0"/>
          <c:showSerName val="0"/>
          <c:showPercent val="0"/>
          <c:showBubbleSize val="0"/>
        </c:dLbls>
        <c:gapWidth val="39"/>
        <c:overlap val="2"/>
        <c:axId val="171061736"/>
        <c:axId val="171058992"/>
      </c:barChart>
      <c:catAx>
        <c:axId val="171061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1058992"/>
        <c:crosses val="autoZero"/>
        <c:auto val="1"/>
        <c:lblAlgn val="ctr"/>
        <c:lblOffset val="100"/>
        <c:noMultiLvlLbl val="0"/>
      </c:catAx>
      <c:valAx>
        <c:axId val="171058992"/>
        <c:scaling>
          <c:orientation val="minMax"/>
        </c:scaling>
        <c:delete val="1"/>
        <c:axPos val="l"/>
        <c:numFmt formatCode="0.0" sourceLinked="1"/>
        <c:majorTickMark val="none"/>
        <c:minorTickMark val="none"/>
        <c:tickLblPos val="nextTo"/>
        <c:crossAx val="1710617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itchFamily="18" charset="0"/>
                <a:ea typeface="+mn-ea"/>
                <a:cs typeface="Times New Roman" pitchFamily="18" charset="0"/>
              </a:defRPr>
            </a:pPr>
            <a:r>
              <a:rPr lang="ru-RU" sz="1100" b="1" i="0" u="none" strike="noStrike" kern="1200" baseline="0">
                <a:solidFill>
                  <a:sysClr val="windowText" lastClr="000000"/>
                </a:solidFill>
                <a:latin typeface="Times New Roman" pitchFamily="18" charset="0"/>
                <a:ea typeface="+mn-ea"/>
                <a:cs typeface="Times New Roman" pitchFamily="18" charset="0"/>
              </a:rPr>
              <a:t>Инвестиции в основной капитал, млрд рублей</a:t>
            </a:r>
          </a:p>
        </c:rich>
      </c:tx>
      <c:layout>
        <c:manualLayout>
          <c:xMode val="edge"/>
          <c:yMode val="edge"/>
          <c:x val="0.15181968525166492"/>
          <c:y val="0"/>
        </c:manualLayout>
      </c:layout>
      <c:overlay val="0"/>
      <c:spPr>
        <a:noFill/>
        <a:ln>
          <a:noFill/>
        </a:ln>
        <a:effectLst/>
      </c:spPr>
    </c:title>
    <c:autoTitleDeleted val="0"/>
    <c:plotArea>
      <c:layout>
        <c:manualLayout>
          <c:layoutTarget val="inner"/>
          <c:xMode val="edge"/>
          <c:yMode val="edge"/>
          <c:x val="6.4327485380116955E-2"/>
          <c:y val="0.27700305810397552"/>
          <c:w val="0.80116959064327486"/>
          <c:h val="0.52399624358881747"/>
        </c:manualLayout>
      </c:layout>
      <c:barChart>
        <c:barDir val="col"/>
        <c:grouping val="clustered"/>
        <c:varyColors val="0"/>
        <c:ser>
          <c:idx val="0"/>
          <c:order val="0"/>
          <c:spPr>
            <a:gradFill flip="none" rotWithShape="1">
              <a:gsLst>
                <a:gs pos="0">
                  <a:sysClr val="window" lastClr="FFFFFF">
                    <a:lumMod val="65000"/>
                  </a:sysClr>
                </a:gs>
                <a:gs pos="45000">
                  <a:sysClr val="window" lastClr="FFFFFF">
                    <a:lumMod val="75000"/>
                  </a:sysClr>
                </a:gs>
                <a:gs pos="100000">
                  <a:sysClr val="window" lastClr="FFFFFF">
                    <a:lumMod val="85000"/>
                  </a:sysClr>
                </a:gs>
              </a:gsLst>
              <a:lin ang="16200000" scaled="1"/>
              <a:tileRect/>
            </a:gradFill>
            <a:ln>
              <a:solidFill>
                <a:sysClr val="window" lastClr="FFFFFF">
                  <a:lumMod val="65000"/>
                </a:sysClr>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Лист1!$E$6:$E$8</c:f>
              <c:strCache>
                <c:ptCount val="3"/>
                <c:pt idx="0">
                  <c:v>Отчет 2022 год</c:v>
                </c:pt>
                <c:pt idx="1">
                  <c:v>Отчет 2023 год</c:v>
                </c:pt>
                <c:pt idx="2">
                  <c:v>Факт 2024 год</c:v>
                </c:pt>
              </c:strCache>
            </c:strRef>
          </c:cat>
          <c:val>
            <c:numRef>
              <c:f>Лист1!$F$6:$F$8</c:f>
              <c:numCache>
                <c:formatCode>0.00</c:formatCode>
                <c:ptCount val="3"/>
                <c:pt idx="0">
                  <c:v>327.86</c:v>
                </c:pt>
                <c:pt idx="1">
                  <c:v>400.58</c:v>
                </c:pt>
                <c:pt idx="2">
                  <c:v>425.59</c:v>
                </c:pt>
              </c:numCache>
            </c:numRef>
          </c:val>
          <c:extLst xmlns:c16r2="http://schemas.microsoft.com/office/drawing/2015/06/chart">
            <c:ext xmlns:c16="http://schemas.microsoft.com/office/drawing/2014/chart" uri="{C3380CC4-5D6E-409C-BE32-E72D297353CC}">
              <c16:uniqueId val="{00000000-7336-4044-AA58-A96D5C857742}"/>
            </c:ext>
          </c:extLst>
        </c:ser>
        <c:dLbls>
          <c:showLegendKey val="0"/>
          <c:showVal val="0"/>
          <c:showCatName val="0"/>
          <c:showSerName val="0"/>
          <c:showPercent val="0"/>
          <c:showBubbleSize val="0"/>
        </c:dLbls>
        <c:gapWidth val="39"/>
        <c:axId val="171055072"/>
        <c:axId val="171059384"/>
      </c:barChart>
      <c:lineChart>
        <c:grouping val="standard"/>
        <c:varyColors val="0"/>
        <c:ser>
          <c:idx val="1"/>
          <c:order val="1"/>
          <c:spPr>
            <a:ln w="28575" cap="rnd">
              <a:noFill/>
              <a:round/>
            </a:ln>
            <a:effectLst/>
          </c:spPr>
          <c:marker>
            <c:symbol val="circle"/>
            <c:size val="5"/>
            <c:spPr>
              <a:noFill/>
              <a:ln w="9525">
                <a:noFill/>
              </a:ln>
              <a:effectLst/>
            </c:spPr>
          </c:marker>
          <c:dLbls>
            <c:dLbl>
              <c:idx val="1"/>
              <c:layout>
                <c:manualLayout>
                  <c:x val="-0.26169820877653449"/>
                  <c:y val="-0.4234896096703508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336-4044-AA58-A96D5C857742}"/>
                </c:ext>
                <c:ext xmlns:c15="http://schemas.microsoft.com/office/drawing/2012/chart" uri="{CE6537A1-D6FC-4f65-9D91-7224C49458BB}">
                  <c15:layout>
                    <c:manualLayout>
                      <c:w val="0.25988961026843349"/>
                      <c:h val="0.1339633815108689"/>
                    </c:manualLayout>
                  </c15:layout>
                </c:ext>
              </c:extLst>
            </c:dLbl>
            <c:dLbl>
              <c:idx val="2"/>
              <c:layout>
                <c:manualLayout>
                  <c:x val="-0.15735527329776686"/>
                  <c:y val="-0.49686464531300101"/>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7336-4044-AA58-A96D5C857742}"/>
                </c:ext>
                <c:ext xmlns:c15="http://schemas.microsoft.com/office/drawing/2012/chart" uri="{CE6537A1-D6FC-4f65-9D91-7224C49458BB}">
                  <c15:layout>
                    <c:manualLayout>
                      <c:w val="0.23834427005602457"/>
                      <c:h val="0.14527559055118111"/>
                    </c:manualLayout>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Лист1!$E$6:$E$8</c:f>
              <c:strCache>
                <c:ptCount val="3"/>
                <c:pt idx="0">
                  <c:v>Отчет 2022 год</c:v>
                </c:pt>
                <c:pt idx="1">
                  <c:v>Отчет 2023 год</c:v>
                </c:pt>
                <c:pt idx="2">
                  <c:v>Факт 2024 год</c:v>
                </c:pt>
              </c:strCache>
            </c:strRef>
          </c:cat>
          <c:val>
            <c:numRef>
              <c:f>Лист1!$G$6:$G$8</c:f>
              <c:numCache>
                <c:formatCode>0.00</c:formatCode>
                <c:ptCount val="3"/>
                <c:pt idx="1">
                  <c:v>72.71999999999997</c:v>
                </c:pt>
                <c:pt idx="2">
                  <c:v>25.009999999999991</c:v>
                </c:pt>
              </c:numCache>
            </c:numRef>
          </c:val>
          <c:smooth val="0"/>
          <c:extLst xmlns:c16r2="http://schemas.microsoft.com/office/drawing/2015/06/chart">
            <c:ext xmlns:c16="http://schemas.microsoft.com/office/drawing/2014/chart" uri="{C3380CC4-5D6E-409C-BE32-E72D297353CC}">
              <c16:uniqueId val="{00000003-7336-4044-AA58-A96D5C857742}"/>
            </c:ext>
          </c:extLst>
        </c:ser>
        <c:dLbls>
          <c:showLegendKey val="0"/>
          <c:showVal val="0"/>
          <c:showCatName val="0"/>
          <c:showSerName val="0"/>
          <c:showPercent val="0"/>
          <c:showBubbleSize val="0"/>
        </c:dLbls>
        <c:marker val="1"/>
        <c:smooth val="0"/>
        <c:axId val="171060560"/>
        <c:axId val="171058208"/>
      </c:lineChart>
      <c:catAx>
        <c:axId val="171055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1059384"/>
        <c:crosses val="autoZero"/>
        <c:auto val="1"/>
        <c:lblAlgn val="ctr"/>
        <c:lblOffset val="100"/>
        <c:noMultiLvlLbl val="0"/>
      </c:catAx>
      <c:valAx>
        <c:axId val="171059384"/>
        <c:scaling>
          <c:orientation val="minMax"/>
        </c:scaling>
        <c:delete val="1"/>
        <c:axPos val="l"/>
        <c:numFmt formatCode="0.00" sourceLinked="1"/>
        <c:majorTickMark val="none"/>
        <c:minorTickMark val="none"/>
        <c:tickLblPos val="nextTo"/>
        <c:crossAx val="171055072"/>
        <c:crosses val="autoZero"/>
        <c:crossBetween val="between"/>
      </c:valAx>
      <c:valAx>
        <c:axId val="171058208"/>
        <c:scaling>
          <c:orientation val="minMax"/>
        </c:scaling>
        <c:delete val="1"/>
        <c:axPos val="r"/>
        <c:numFmt formatCode="0.00" sourceLinked="1"/>
        <c:majorTickMark val="out"/>
        <c:minorTickMark val="none"/>
        <c:tickLblPos val="nextTo"/>
        <c:crossAx val="171060560"/>
        <c:crosses val="max"/>
        <c:crossBetween val="between"/>
      </c:valAx>
      <c:catAx>
        <c:axId val="171060560"/>
        <c:scaling>
          <c:orientation val="minMax"/>
        </c:scaling>
        <c:delete val="1"/>
        <c:axPos val="b"/>
        <c:numFmt formatCode="General" sourceLinked="1"/>
        <c:majorTickMark val="out"/>
        <c:minorTickMark val="none"/>
        <c:tickLblPos val="nextTo"/>
        <c:crossAx val="171058208"/>
        <c:crosses val="autoZero"/>
        <c:auto val="1"/>
        <c:lblAlgn val="ctr"/>
        <c:lblOffset val="100"/>
        <c:noMultiLvlLbl val="0"/>
      </c:catAx>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1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rPr>
              <a:t>Индекс физического объема инвестиций в основной капитал, в % к предыдущему году</a:t>
            </a:r>
          </a:p>
        </c:rich>
      </c:tx>
      <c:layout>
        <c:manualLayout>
          <c:xMode val="edge"/>
          <c:yMode val="edge"/>
          <c:x val="0.10193365617324188"/>
          <c:y val="0"/>
        </c:manualLayout>
      </c:layout>
      <c:overlay val="0"/>
      <c:spPr>
        <a:noFill/>
        <a:ln>
          <a:noFill/>
        </a:ln>
        <a:effectLst/>
      </c:spPr>
      <c:txPr>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6.3019192208536232E-2"/>
          <c:y val="0.35543209876543208"/>
          <c:w val="0.87396161558292751"/>
          <c:h val="0.44372460386896079"/>
        </c:manualLayout>
      </c:layout>
      <c:barChart>
        <c:barDir val="col"/>
        <c:grouping val="clustered"/>
        <c:varyColors val="0"/>
        <c:ser>
          <c:idx val="0"/>
          <c:order val="0"/>
          <c:spPr>
            <a:gradFill flip="none" rotWithShape="1">
              <a:gsLst>
                <a:gs pos="100000">
                  <a:srgbClr val="4BACC6">
                    <a:lumMod val="75000"/>
                  </a:srgbClr>
                </a:gs>
                <a:gs pos="0">
                  <a:srgbClr val="4F81BD">
                    <a:lumMod val="5000"/>
                    <a:lumOff val="95000"/>
                  </a:srgbClr>
                </a:gs>
                <a:gs pos="100000">
                  <a:srgbClr val="4F81BD">
                    <a:lumMod val="75000"/>
                  </a:srgbClr>
                </a:gs>
              </a:gsLst>
              <a:lin ang="5400000" scaled="1"/>
              <a:tileRect/>
            </a:gradFill>
            <a:ln>
              <a:solidFill>
                <a:srgbClr val="4BACC6">
                  <a:lumMod val="75000"/>
                </a:srgbClr>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Лист1!$E$62:$E$64</c:f>
              <c:strCache>
                <c:ptCount val="3"/>
                <c:pt idx="0">
                  <c:v>Отчет 2022 год</c:v>
                </c:pt>
                <c:pt idx="1">
                  <c:v>Отчет 2023 год</c:v>
                </c:pt>
                <c:pt idx="2">
                  <c:v>Факт 2024 год</c:v>
                </c:pt>
              </c:strCache>
            </c:strRef>
          </c:cat>
          <c:val>
            <c:numRef>
              <c:f>Лист1!$F$62:$F$64</c:f>
              <c:numCache>
                <c:formatCode>0.00</c:formatCode>
                <c:ptCount val="3"/>
                <c:pt idx="0">
                  <c:v>113.1</c:v>
                </c:pt>
                <c:pt idx="1">
                  <c:v>115</c:v>
                </c:pt>
                <c:pt idx="2">
                  <c:v>98.2</c:v>
                </c:pt>
              </c:numCache>
            </c:numRef>
          </c:val>
          <c:extLst xmlns:c16r2="http://schemas.microsoft.com/office/drawing/2015/06/chart">
            <c:ext xmlns:c16="http://schemas.microsoft.com/office/drawing/2014/chart" uri="{C3380CC4-5D6E-409C-BE32-E72D297353CC}">
              <c16:uniqueId val="{00000000-EFDF-4090-A38A-0C5D0C820DBD}"/>
            </c:ext>
          </c:extLst>
        </c:ser>
        <c:dLbls>
          <c:showLegendKey val="0"/>
          <c:showVal val="0"/>
          <c:showCatName val="0"/>
          <c:showSerName val="0"/>
          <c:showPercent val="0"/>
          <c:showBubbleSize val="0"/>
        </c:dLbls>
        <c:gapWidth val="39"/>
        <c:overlap val="2"/>
        <c:axId val="171056640"/>
        <c:axId val="171059776"/>
      </c:barChart>
      <c:catAx>
        <c:axId val="171056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1059776"/>
        <c:crosses val="autoZero"/>
        <c:auto val="1"/>
        <c:lblAlgn val="ctr"/>
        <c:lblOffset val="100"/>
        <c:noMultiLvlLbl val="0"/>
      </c:catAx>
      <c:valAx>
        <c:axId val="171059776"/>
        <c:scaling>
          <c:orientation val="minMax"/>
        </c:scaling>
        <c:delete val="1"/>
        <c:axPos val="l"/>
        <c:numFmt formatCode="0.00" sourceLinked="1"/>
        <c:majorTickMark val="none"/>
        <c:minorTickMark val="none"/>
        <c:tickLblPos val="nextTo"/>
        <c:crossAx val="1710566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itchFamily="18" charset="0"/>
                <a:ea typeface="+mn-ea"/>
                <a:cs typeface="Times New Roman" pitchFamily="18" charset="0"/>
              </a:defRPr>
            </a:pPr>
            <a:r>
              <a:rPr lang="ru-RU" sz="1100" b="1" i="0" u="none" strike="noStrike" kern="1200" baseline="0">
                <a:solidFill>
                  <a:sysClr val="windowText" lastClr="000000"/>
                </a:solidFill>
                <a:latin typeface="Times New Roman" pitchFamily="18" charset="0"/>
                <a:ea typeface="+mn-ea"/>
                <a:cs typeface="Times New Roman" pitchFamily="18" charset="0"/>
              </a:rPr>
              <a:t>Объем платных услуг населению,  млрд рублей</a:t>
            </a:r>
          </a:p>
        </c:rich>
      </c:tx>
      <c:layout/>
      <c:overlay val="0"/>
      <c:spPr>
        <a:noFill/>
        <a:ln>
          <a:noFill/>
        </a:ln>
        <a:effectLst/>
      </c:spPr>
    </c:title>
    <c:autoTitleDeleted val="0"/>
    <c:plotArea>
      <c:layout>
        <c:manualLayout>
          <c:layoutTarget val="inner"/>
          <c:xMode val="edge"/>
          <c:yMode val="edge"/>
          <c:x val="6.4365125804564077E-2"/>
          <c:y val="0.2744848484848485"/>
          <c:w val="0.78935049736688123"/>
          <c:h val="0.52832355046528279"/>
        </c:manualLayout>
      </c:layout>
      <c:barChart>
        <c:barDir val="col"/>
        <c:grouping val="clustered"/>
        <c:varyColors val="0"/>
        <c:ser>
          <c:idx val="0"/>
          <c:order val="0"/>
          <c:spPr>
            <a:gradFill flip="none" rotWithShape="1">
              <a:gsLst>
                <a:gs pos="39000">
                  <a:srgbClr val="E2D5CE"/>
                </a:gs>
                <a:gs pos="100000">
                  <a:srgbClr val="C5A28D"/>
                </a:gs>
                <a:gs pos="0">
                  <a:srgbClr val="4F81BD">
                    <a:lumMod val="5000"/>
                    <a:lumOff val="95000"/>
                  </a:srgbClr>
                </a:gs>
              </a:gsLst>
              <a:lin ang="5400000" scaled="1"/>
              <a:tileRect/>
            </a:gradFill>
            <a:ln>
              <a:solidFill>
                <a:srgbClr val="DDC9BD"/>
              </a:solidFill>
            </a:ln>
            <a:effectLst/>
            <a:scene3d>
              <a:camera prst="orthographicFront"/>
              <a:lightRig rig="threePt" dir="t"/>
            </a:scene3d>
            <a:sp3d prstMaterial="matte">
              <a:bevelT w="0" h="0"/>
              <a:bevelB w="247650" h="146050" prst="softRound"/>
            </a:sp3d>
          </c:spPr>
          <c:invertIfNegative val="0"/>
          <c:dLbls>
            <c:dLbl>
              <c:idx val="1"/>
              <c:layout>
                <c:manualLayout>
                  <c:x val="2.9250150511601256E-3"/>
                  <c:y val="0.26468561148927655"/>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933-447F-A345-BD251E0FF9C8}"/>
                </c:ext>
                <c:ext xmlns:c15="http://schemas.microsoft.com/office/drawing/2012/chart" uri="{CE6537A1-D6FC-4f65-9D91-7224C49458BB}">
                  <c15:layout>
                    <c:manualLayout>
                      <c:w val="0.28055730979686577"/>
                      <c:h val="0.138516359520682"/>
                    </c:manualLayout>
                  </c15:layout>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Лист1!$A$29:$A$31</c:f>
              <c:strCache>
                <c:ptCount val="3"/>
                <c:pt idx="0">
                  <c:v>Отчет 2022 год</c:v>
                </c:pt>
                <c:pt idx="1">
                  <c:v>Отчет 2023 год</c:v>
                </c:pt>
                <c:pt idx="2">
                  <c:v>Факт 2024 год</c:v>
                </c:pt>
              </c:strCache>
            </c:strRef>
          </c:cat>
          <c:val>
            <c:numRef>
              <c:f>Лист1!$B$29:$B$31</c:f>
              <c:numCache>
                <c:formatCode>0.00</c:formatCode>
                <c:ptCount val="3"/>
                <c:pt idx="0">
                  <c:v>188.71</c:v>
                </c:pt>
                <c:pt idx="1">
                  <c:v>210.23</c:v>
                </c:pt>
                <c:pt idx="2">
                  <c:v>238.44</c:v>
                </c:pt>
              </c:numCache>
            </c:numRef>
          </c:val>
          <c:extLst xmlns:c16r2="http://schemas.microsoft.com/office/drawing/2015/06/chart">
            <c:ext xmlns:c16="http://schemas.microsoft.com/office/drawing/2014/chart" uri="{C3380CC4-5D6E-409C-BE32-E72D297353CC}">
              <c16:uniqueId val="{00000001-F933-447F-A345-BD251E0FF9C8}"/>
            </c:ext>
          </c:extLst>
        </c:ser>
        <c:dLbls>
          <c:showLegendKey val="0"/>
          <c:showVal val="0"/>
          <c:showCatName val="0"/>
          <c:showSerName val="0"/>
          <c:showPercent val="0"/>
          <c:showBubbleSize val="0"/>
        </c:dLbls>
        <c:gapWidth val="39"/>
        <c:axId val="171060952"/>
        <c:axId val="171061344"/>
      </c:barChart>
      <c:lineChart>
        <c:grouping val="standard"/>
        <c:varyColors val="0"/>
        <c:ser>
          <c:idx val="1"/>
          <c:order val="1"/>
          <c:spPr>
            <a:ln w="28575" cap="rnd">
              <a:noFill/>
              <a:round/>
            </a:ln>
            <a:effectLst/>
          </c:spPr>
          <c:marker>
            <c:symbol val="circle"/>
            <c:size val="5"/>
            <c:spPr>
              <a:noFill/>
              <a:ln w="9525">
                <a:noFill/>
              </a:ln>
              <a:effectLst/>
            </c:spPr>
          </c:marker>
          <c:dLbls>
            <c:dLbl>
              <c:idx val="1"/>
              <c:layout>
                <c:manualLayout>
                  <c:x val="-0.33438327888943664"/>
                  <c:y val="-0.4302915771892149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F933-447F-A345-BD251E0FF9C8}"/>
                </c:ext>
                <c:ext xmlns:c15="http://schemas.microsoft.com/office/drawing/2012/chart" uri="{CE6537A1-D6FC-4f65-9D91-7224C49458BB}">
                  <c15:layout>
                    <c:manualLayout>
                      <c:w val="0.28518896748811223"/>
                      <c:h val="0.13842296198996551"/>
                    </c:manualLayout>
                  </c15:layout>
                </c:ext>
              </c:extLst>
            </c:dLbl>
            <c:dLbl>
              <c:idx val="2"/>
              <c:layout>
                <c:manualLayout>
                  <c:x val="-0.19245126541745183"/>
                  <c:y val="-0.449496680561988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933-447F-A345-BD251E0FF9C8}"/>
                </c:ext>
                <c:ext xmlns:c15="http://schemas.microsoft.com/office/drawing/2012/chart" uri="{CE6537A1-D6FC-4f65-9D91-7224C49458BB}">
                  <c15:layout>
                    <c:manualLayout>
                      <c:w val="0.26763887718115148"/>
                      <c:h val="0.13842296198996551"/>
                    </c:manualLayout>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Лист1!$A$29:$A$31</c:f>
              <c:strCache>
                <c:ptCount val="3"/>
                <c:pt idx="0">
                  <c:v>Отчет 2022 год</c:v>
                </c:pt>
                <c:pt idx="1">
                  <c:v>Отчет 2023 год</c:v>
                </c:pt>
                <c:pt idx="2">
                  <c:v>Факт 2024 год</c:v>
                </c:pt>
              </c:strCache>
            </c:strRef>
          </c:cat>
          <c:val>
            <c:numRef>
              <c:f>Лист1!$C$29:$C$31</c:f>
              <c:numCache>
                <c:formatCode>0.00</c:formatCode>
                <c:ptCount val="3"/>
                <c:pt idx="1">
                  <c:v>21.519999999999982</c:v>
                </c:pt>
                <c:pt idx="2">
                  <c:v>28.210000000000008</c:v>
                </c:pt>
              </c:numCache>
            </c:numRef>
          </c:val>
          <c:smooth val="0"/>
          <c:extLst xmlns:c16r2="http://schemas.microsoft.com/office/drawing/2015/06/chart">
            <c:ext xmlns:c16="http://schemas.microsoft.com/office/drawing/2014/chart" uri="{C3380CC4-5D6E-409C-BE32-E72D297353CC}">
              <c16:uniqueId val="{00000004-F933-447F-A345-BD251E0FF9C8}"/>
            </c:ext>
          </c:extLst>
        </c:ser>
        <c:dLbls>
          <c:showLegendKey val="0"/>
          <c:showVal val="0"/>
          <c:showCatName val="0"/>
          <c:showSerName val="0"/>
          <c:showPercent val="0"/>
          <c:showBubbleSize val="0"/>
        </c:dLbls>
        <c:marker val="1"/>
        <c:smooth val="0"/>
        <c:axId val="171057816"/>
        <c:axId val="171057424"/>
      </c:lineChart>
      <c:catAx>
        <c:axId val="171060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1061344"/>
        <c:crosses val="autoZero"/>
        <c:auto val="1"/>
        <c:lblAlgn val="ctr"/>
        <c:lblOffset val="100"/>
        <c:noMultiLvlLbl val="0"/>
      </c:catAx>
      <c:valAx>
        <c:axId val="171061344"/>
        <c:scaling>
          <c:orientation val="minMax"/>
        </c:scaling>
        <c:delete val="1"/>
        <c:axPos val="l"/>
        <c:numFmt formatCode="0.00" sourceLinked="1"/>
        <c:majorTickMark val="none"/>
        <c:minorTickMark val="none"/>
        <c:tickLblPos val="nextTo"/>
        <c:crossAx val="171060952"/>
        <c:crosses val="autoZero"/>
        <c:crossBetween val="between"/>
      </c:valAx>
      <c:valAx>
        <c:axId val="171057424"/>
        <c:scaling>
          <c:orientation val="minMax"/>
        </c:scaling>
        <c:delete val="1"/>
        <c:axPos val="r"/>
        <c:numFmt formatCode="0.00" sourceLinked="1"/>
        <c:majorTickMark val="out"/>
        <c:minorTickMark val="none"/>
        <c:tickLblPos val="nextTo"/>
        <c:crossAx val="171057816"/>
        <c:crosses val="max"/>
        <c:crossBetween val="between"/>
      </c:valAx>
      <c:catAx>
        <c:axId val="171057816"/>
        <c:scaling>
          <c:orientation val="minMax"/>
        </c:scaling>
        <c:delete val="1"/>
        <c:axPos val="b"/>
        <c:numFmt formatCode="General" sourceLinked="1"/>
        <c:majorTickMark val="out"/>
        <c:minorTickMark val="none"/>
        <c:tickLblPos val="nextTo"/>
        <c:crossAx val="171057424"/>
        <c:crosses val="autoZero"/>
        <c:auto val="1"/>
        <c:lblAlgn val="ctr"/>
        <c:lblOffset val="100"/>
        <c:noMultiLvlLbl val="0"/>
      </c:catAx>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1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rPr>
              <a:t>Объем платных услуг населению,</a:t>
            </a:r>
            <a:br>
              <a:rPr lang="ru-RU" sz="11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rPr>
            </a:br>
            <a:r>
              <a:rPr lang="ru-RU" sz="11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rPr>
              <a:t>в % к предыдущему году</a:t>
            </a:r>
          </a:p>
        </c:rich>
      </c:tx>
      <c:layout/>
      <c:overlay val="0"/>
      <c:spPr>
        <a:noFill/>
        <a:ln>
          <a:noFill/>
        </a:ln>
        <a:effectLst/>
      </c:spPr>
      <c:txPr>
        <a:bodyPr rot="0" spcFirstLastPara="1" vertOverflow="ellipsis" vert="horz" wrap="square" anchor="ctr" anchorCtr="1"/>
        <a:lstStyle/>
        <a:p>
          <a:pPr algn="ctr" rtl="0">
            <a:defRPr lang="ru-RU" sz="11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5.4159777157910448E-2"/>
          <c:y val="0.29384457558621457"/>
          <c:w val="0.87910601083698237"/>
          <c:h val="0.4885453409855714"/>
        </c:manualLayout>
      </c:layout>
      <c:barChart>
        <c:barDir val="col"/>
        <c:grouping val="clustered"/>
        <c:varyColors val="0"/>
        <c:ser>
          <c:idx val="0"/>
          <c:order val="0"/>
          <c:spPr>
            <a:gradFill flip="none" rotWithShape="1">
              <a:gsLst>
                <a:gs pos="53500">
                  <a:srgbClr val="C0504D">
                    <a:lumMod val="60000"/>
                    <a:lumOff val="40000"/>
                  </a:srgbClr>
                </a:gs>
                <a:gs pos="100000">
                  <a:srgbClr val="C0504D">
                    <a:lumMod val="75000"/>
                  </a:srgbClr>
                </a:gs>
                <a:gs pos="0">
                  <a:srgbClr val="4F81BD">
                    <a:lumMod val="5000"/>
                    <a:lumOff val="95000"/>
                  </a:srgbClr>
                </a:gs>
              </a:gsLst>
              <a:lin ang="5400000" scaled="1"/>
              <a:tileRect/>
            </a:gradFill>
            <a:ln>
              <a:solidFill>
                <a:srgbClr val="C0504D">
                  <a:lumMod val="75000"/>
                </a:srgbClr>
              </a:solidFill>
            </a:ln>
            <a:effectLst/>
            <a:scene3d>
              <a:camera prst="orthographicFront"/>
              <a:lightRig rig="threePt" dir="t"/>
            </a:scene3d>
            <a:sp3d prstMaterial="matte">
              <a:bevelT w="0" h="0"/>
              <a:bevelB w="247650" h="146050" prst="softRoun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Лист1!$A$80:$A$82</c:f>
              <c:strCache>
                <c:ptCount val="3"/>
                <c:pt idx="0">
                  <c:v>Отчет 2022 год</c:v>
                </c:pt>
                <c:pt idx="1">
                  <c:v>Отчет  2023 год</c:v>
                </c:pt>
                <c:pt idx="2">
                  <c:v>Факт 2024 год</c:v>
                </c:pt>
              </c:strCache>
            </c:strRef>
          </c:cat>
          <c:val>
            <c:numRef>
              <c:f>Лист1!$B$80:$B$82</c:f>
              <c:numCache>
                <c:formatCode>0.00</c:formatCode>
                <c:ptCount val="3"/>
                <c:pt idx="0">
                  <c:v>105</c:v>
                </c:pt>
                <c:pt idx="1">
                  <c:v>103.2</c:v>
                </c:pt>
                <c:pt idx="2">
                  <c:v>102.1</c:v>
                </c:pt>
              </c:numCache>
            </c:numRef>
          </c:val>
          <c:extLst xmlns:c16r2="http://schemas.microsoft.com/office/drawing/2015/06/chart">
            <c:ext xmlns:c16="http://schemas.microsoft.com/office/drawing/2014/chart" uri="{C3380CC4-5D6E-409C-BE32-E72D297353CC}">
              <c16:uniqueId val="{00000000-C54B-4F98-82CA-039D43FC6A6E}"/>
            </c:ext>
          </c:extLst>
        </c:ser>
        <c:dLbls>
          <c:showLegendKey val="0"/>
          <c:showVal val="0"/>
          <c:showCatName val="0"/>
          <c:showSerName val="0"/>
          <c:showPercent val="0"/>
          <c:showBubbleSize val="0"/>
        </c:dLbls>
        <c:gapWidth val="39"/>
        <c:overlap val="2"/>
        <c:axId val="173553888"/>
        <c:axId val="173548792"/>
      </c:barChart>
      <c:catAx>
        <c:axId val="173553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73548792"/>
        <c:crosses val="autoZero"/>
        <c:auto val="1"/>
        <c:lblAlgn val="ctr"/>
        <c:lblOffset val="100"/>
        <c:noMultiLvlLbl val="0"/>
      </c:catAx>
      <c:valAx>
        <c:axId val="173548792"/>
        <c:scaling>
          <c:orientation val="minMax"/>
        </c:scaling>
        <c:delete val="1"/>
        <c:axPos val="l"/>
        <c:numFmt formatCode="0.00" sourceLinked="1"/>
        <c:majorTickMark val="none"/>
        <c:minorTickMark val="none"/>
        <c:tickLblPos val="nextTo"/>
        <c:crossAx val="17355388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13.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jpeg"/><Relationship Id="rId5" Type="http://schemas.openxmlformats.org/officeDocument/2006/relationships/image" Target="../media/image6.png"/><Relationship Id="rId4" Type="http://schemas.microsoft.com/office/2007/relationships/hdphoto" Target="../media/hdphoto1.wdp"/></Relationships>
</file>

<file path=word/drawings/drawing1.xml><?xml version="1.0" encoding="utf-8"?>
<c:userShapes xmlns:c="http://schemas.openxmlformats.org/drawingml/2006/chart">
  <cdr:relSizeAnchor xmlns:cdr="http://schemas.openxmlformats.org/drawingml/2006/chartDrawing">
    <cdr:from>
      <cdr:x>0.21326</cdr:x>
      <cdr:y>0.28334</cdr:y>
    </cdr:from>
    <cdr:to>
      <cdr:x>0.24214</cdr:x>
      <cdr:y>0.35935</cdr:y>
    </cdr:to>
    <cdr:sp macro="" textlink="">
      <cdr:nvSpPr>
        <cdr:cNvPr id="2" name="Равнобедренный треугольник 1"/>
        <cdr:cNvSpPr/>
      </cdr:nvSpPr>
      <cdr:spPr>
        <a:xfrm xmlns:a="http://schemas.openxmlformats.org/drawingml/2006/main">
          <a:off x="460977" y="638003"/>
          <a:ext cx="62426" cy="171152"/>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0.53252</cdr:x>
      <cdr:y>0.28176</cdr:y>
    </cdr:from>
    <cdr:to>
      <cdr:x>0.56347</cdr:x>
      <cdr:y>0.34991</cdr:y>
    </cdr:to>
    <cdr:sp macro="" textlink="">
      <cdr:nvSpPr>
        <cdr:cNvPr id="7" name="Равнобедренный треугольник 2"/>
        <cdr:cNvSpPr/>
      </cdr:nvSpPr>
      <cdr:spPr>
        <a:xfrm xmlns:a="http://schemas.openxmlformats.org/drawingml/2006/main">
          <a:off x="1151055" y="634447"/>
          <a:ext cx="66899" cy="153454"/>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userShapes>
</file>

<file path=word/drawings/drawing10.xml><?xml version="1.0" encoding="utf-8"?>
<c:userShapes xmlns:c="http://schemas.openxmlformats.org/drawingml/2006/chart">
  <cdr:relSizeAnchor xmlns:cdr="http://schemas.openxmlformats.org/drawingml/2006/chartDrawing">
    <cdr:from>
      <cdr:x>0.32861</cdr:x>
      <cdr:y>0.43465</cdr:y>
    </cdr:from>
    <cdr:to>
      <cdr:x>0.35765</cdr:x>
      <cdr:y>0.48696</cdr:y>
    </cdr:to>
    <cdr:sp macro="" textlink="">
      <cdr:nvSpPr>
        <cdr:cNvPr id="2" name="Равнобедренный треугольник 5"/>
        <cdr:cNvSpPr/>
      </cdr:nvSpPr>
      <cdr:spPr>
        <a:xfrm xmlns:a="http://schemas.openxmlformats.org/drawingml/2006/main" flipV="1">
          <a:off x="785005" y="1046048"/>
          <a:ext cx="69372" cy="125892"/>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dr:relSizeAnchor xmlns:cdr="http://schemas.openxmlformats.org/drawingml/2006/chartDrawing">
    <cdr:from>
      <cdr:x>0.63602</cdr:x>
      <cdr:y>0.45947</cdr:y>
    </cdr:from>
    <cdr:to>
      <cdr:x>0.67629</cdr:x>
      <cdr:y>0.51639</cdr:y>
    </cdr:to>
    <cdr:sp macro="" textlink="">
      <cdr:nvSpPr>
        <cdr:cNvPr id="3" name="Равнобедренный треугольник 6"/>
        <cdr:cNvSpPr/>
      </cdr:nvSpPr>
      <cdr:spPr>
        <a:xfrm xmlns:a="http://schemas.openxmlformats.org/drawingml/2006/main" flipV="1">
          <a:off x="1497570" y="1081869"/>
          <a:ext cx="94814" cy="134008"/>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userShapes>
</file>

<file path=word/drawings/drawing11.xml><?xml version="1.0" encoding="utf-8"?>
<c:userShapes xmlns:c="http://schemas.openxmlformats.org/drawingml/2006/chart">
  <cdr:relSizeAnchor xmlns:cdr="http://schemas.openxmlformats.org/drawingml/2006/chartDrawing">
    <cdr:from>
      <cdr:x>0.29034</cdr:x>
      <cdr:y>0.54105</cdr:y>
    </cdr:from>
    <cdr:to>
      <cdr:x>0.62013</cdr:x>
      <cdr:y>0.6591</cdr:y>
    </cdr:to>
    <cdr:sp macro="" textlink="">
      <cdr:nvSpPr>
        <cdr:cNvPr id="2" name="TextBox 1"/>
        <cdr:cNvSpPr txBox="1"/>
      </cdr:nvSpPr>
      <cdr:spPr>
        <a:xfrm xmlns:a="http://schemas.openxmlformats.org/drawingml/2006/main">
          <a:off x="851763" y="1272905"/>
          <a:ext cx="967512" cy="27773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indent="0"/>
          <a:fld id="{07E5839C-C001-45D7-B66F-B568263E84B3}" type="TxLink">
            <a:rPr lang="en-US" sz="1100" b="1" i="0" u="none" strike="noStrike">
              <a:solidFill>
                <a:srgbClr val="0F9EAD"/>
              </a:solidFill>
              <a:latin typeface="Times New Roman" panose="02020603050405020304" pitchFamily="18" charset="0"/>
              <a:ea typeface="+mn-ea"/>
              <a:cs typeface="Times New Roman" panose="02020603050405020304" pitchFamily="18" charset="0"/>
            </a:rPr>
            <a:pPr marL="0" indent="0"/>
            <a:t> 49 727,37 </a:t>
          </a:fld>
          <a:endParaRPr lang="ru-RU" sz="1100" b="1" i="0" u="none" strike="noStrike">
            <a:solidFill>
              <a:srgbClr val="0F9EAD"/>
            </a:solidFill>
            <a:latin typeface="Times New Roman" panose="02020603050405020304" pitchFamily="18" charset="0"/>
            <a:ea typeface="+mn-ea"/>
            <a:cs typeface="Times New Roman" panose="02020603050405020304" pitchFamily="18" charset="0"/>
          </a:endParaRPr>
        </a:p>
      </cdr:txBody>
    </cdr:sp>
  </cdr:relSizeAnchor>
</c:userShapes>
</file>

<file path=word/drawings/drawing12.xml><?xml version="1.0" encoding="utf-8"?>
<c:userShapes xmlns:c="http://schemas.openxmlformats.org/drawingml/2006/chart">
  <cdr:relSizeAnchor xmlns:cdr="http://schemas.openxmlformats.org/drawingml/2006/chartDrawing">
    <cdr:from>
      <cdr:x>0.32326</cdr:x>
      <cdr:y>0.55956</cdr:y>
    </cdr:from>
    <cdr:to>
      <cdr:x>0.58664</cdr:x>
      <cdr:y>0.67761</cdr:y>
    </cdr:to>
    <cdr:sp macro="" textlink="">
      <cdr:nvSpPr>
        <cdr:cNvPr id="2" name="TextBox 1"/>
        <cdr:cNvSpPr txBox="1"/>
      </cdr:nvSpPr>
      <cdr:spPr>
        <a:xfrm xmlns:a="http://schemas.openxmlformats.org/drawingml/2006/main">
          <a:off x="926384" y="1309362"/>
          <a:ext cx="754783" cy="27623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indent="0"/>
          <a:r>
            <a:rPr lang="ru-RU" sz="1100" b="1" i="0" u="none" strike="noStrike">
              <a:solidFill>
                <a:srgbClr val="0F9EAD"/>
              </a:solidFill>
              <a:latin typeface="Times New Roman" panose="02020603050405020304" pitchFamily="18" charset="0"/>
              <a:ea typeface="+mn-ea"/>
              <a:cs typeface="Times New Roman" panose="02020603050405020304" pitchFamily="18" charset="0"/>
            </a:rPr>
            <a:t>37 524,12</a:t>
          </a:r>
        </a:p>
      </cdr:txBody>
    </cdr:sp>
  </cdr:relSizeAnchor>
</c:userShapes>
</file>

<file path=word/drawings/drawing13.xml><?xml version="1.0" encoding="utf-8"?>
<c:userShapes xmlns:c="http://schemas.openxmlformats.org/drawingml/2006/chart">
  <cdr:relSizeAnchor xmlns:cdr="http://schemas.openxmlformats.org/drawingml/2006/chartDrawing">
    <cdr:from>
      <cdr:x>0.26069</cdr:x>
      <cdr:y>0.17596</cdr:y>
    </cdr:from>
    <cdr:to>
      <cdr:x>0.31847</cdr:x>
      <cdr:y>0.25716</cdr:y>
    </cdr:to>
    <cdr:pic>
      <cdr:nvPicPr>
        <cdr:cNvPr id="2" name="Рисунок 1" descr="C:\Users\zavzyataya_sv\Desktop\Картинки к исполнению\0002.jpg"/>
        <cdr:cNvPicPr/>
      </cdr:nvPicPr>
      <cdr:blipFill rotWithShape="1">
        <a:blip xmlns:a="http://schemas.openxmlformats.org/drawingml/2006/main" xmlns:r="http://schemas.openxmlformats.org/officeDocument/2006/relationships" r:embed="rId1">
          <a:extLst>
            <a:ext uri="{28A0092B-C50C-407E-A947-70E740481C1C}">
              <a14:useLocalDpi xmlns:a14="http://schemas.microsoft.com/office/drawing/2010/main" val="0"/>
            </a:ext>
          </a:extLst>
        </a:blip>
        <a:srcRect xmlns:a="http://schemas.openxmlformats.org/drawingml/2006/main" l="65170" t="71786" r="23837" b="16561"/>
        <a:stretch xmlns:a="http://schemas.openxmlformats.org/drawingml/2006/main"/>
      </cdr:blipFill>
      <cdr:spPr bwMode="auto">
        <a:xfrm xmlns:a="http://schemas.openxmlformats.org/drawingml/2006/main">
          <a:off x="1743090" y="765945"/>
          <a:ext cx="386349" cy="353457"/>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53640926-AAD7-44D8-BBD7-CCE9431645EC}">
            <a14:shadowObscured xmlns:a14="http://schemas.microsoft.com/office/drawing/2010/main"/>
          </a:ext>
        </a:extLst>
      </cdr:spPr>
    </cdr:pic>
  </cdr:relSizeAnchor>
  <cdr:relSizeAnchor xmlns:cdr="http://schemas.openxmlformats.org/drawingml/2006/chartDrawing">
    <cdr:from>
      <cdr:x>0.2369</cdr:x>
      <cdr:y>0.04248</cdr:y>
    </cdr:from>
    <cdr:to>
      <cdr:x>0.28983</cdr:x>
      <cdr:y>0.13246</cdr:y>
    </cdr:to>
    <cdr:pic>
      <cdr:nvPicPr>
        <cdr:cNvPr id="3" name="Рисунок 2" descr="C:\Users\zavzyataya_sv\Desktop\Картинки к исполнению\0002.jpg"/>
        <cdr:cNvPicPr/>
      </cdr:nvPicPr>
      <cdr:blipFill rotWithShape="1">
        <a:blip xmlns:a="http://schemas.openxmlformats.org/drawingml/2006/main" xmlns:r="http://schemas.openxmlformats.org/officeDocument/2006/relationships" r:embed="rId1">
          <a:extLst>
            <a:ext uri="{28A0092B-C50C-407E-A947-70E740481C1C}">
              <a14:useLocalDpi xmlns:a14="http://schemas.microsoft.com/office/drawing/2010/main" val="0"/>
            </a:ext>
          </a:extLst>
        </a:blip>
        <a:srcRect xmlns:a="http://schemas.openxmlformats.org/drawingml/2006/main" l="1801" t="72359" r="88996" b="16643"/>
        <a:stretch xmlns:a="http://schemas.openxmlformats.org/drawingml/2006/main"/>
      </cdr:blipFill>
      <cdr:spPr bwMode="auto">
        <a:xfrm xmlns:a="http://schemas.openxmlformats.org/drawingml/2006/main">
          <a:off x="1584073" y="184916"/>
          <a:ext cx="353920" cy="39167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53640926-AAD7-44D8-BBD7-CCE9431645EC}">
            <a14:shadowObscured xmlns:a14="http://schemas.microsoft.com/office/drawing/2010/main"/>
          </a:ext>
        </a:extLst>
      </cdr:spPr>
    </cdr:pic>
  </cdr:relSizeAnchor>
  <cdr:relSizeAnchor xmlns:cdr="http://schemas.openxmlformats.org/drawingml/2006/chartDrawing">
    <cdr:from>
      <cdr:x>0.10064</cdr:x>
      <cdr:y>0.10757</cdr:y>
    </cdr:from>
    <cdr:to>
      <cdr:x>0.17115</cdr:x>
      <cdr:y>0.21071</cdr:y>
    </cdr:to>
    <cdr:pic>
      <cdr:nvPicPr>
        <cdr:cNvPr id="4" name="Рисунок 3" descr="C:\Users\zavzyataya_sv\Desktop\Картинки к исполнению\0002.jpg"/>
        <cdr:cNvPicPr/>
      </cdr:nvPicPr>
      <cdr:blipFill rotWithShape="1">
        <a:blip xmlns:a="http://schemas.openxmlformats.org/drawingml/2006/main" xmlns:r="http://schemas.openxmlformats.org/officeDocument/2006/relationships" r:embed="rId1">
          <a:extLst>
            <a:ext uri="{28A0092B-C50C-407E-A947-70E740481C1C}">
              <a14:useLocalDpi xmlns:a14="http://schemas.microsoft.com/office/drawing/2010/main" val="0"/>
            </a:ext>
          </a:extLst>
        </a:blip>
        <a:srcRect xmlns:a="http://schemas.openxmlformats.org/drawingml/2006/main" l="66169" t="56278" r="25225" b="32458"/>
        <a:stretch xmlns:a="http://schemas.openxmlformats.org/drawingml/2006/main"/>
      </cdr:blipFill>
      <cdr:spPr bwMode="auto">
        <a:xfrm xmlns:a="http://schemas.openxmlformats.org/drawingml/2006/main">
          <a:off x="672911" y="468240"/>
          <a:ext cx="471468" cy="44896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53640926-AAD7-44D8-BBD7-CCE9431645EC}">
            <a14:shadowObscured xmlns:a14="http://schemas.microsoft.com/office/drawing/2010/main"/>
          </a:ext>
        </a:extLst>
      </cdr:spPr>
    </cdr:pic>
  </cdr:relSizeAnchor>
  <cdr:relSizeAnchor xmlns:cdr="http://schemas.openxmlformats.org/drawingml/2006/chartDrawing">
    <cdr:from>
      <cdr:x>0.16091</cdr:x>
      <cdr:y>0.28932</cdr:y>
    </cdr:from>
    <cdr:to>
      <cdr:x>0.21578</cdr:x>
      <cdr:y>0.40783</cdr:y>
    </cdr:to>
    <cdr:pic>
      <cdr:nvPicPr>
        <cdr:cNvPr id="6" name="Рисунок 5" descr="C:\Users\zavzyataya_sv\Desktop\Картинки к исполнению\0002.jpg"/>
        <cdr:cNvPicPr/>
      </cdr:nvPicPr>
      <cdr:blipFill rotWithShape="1">
        <a:blip xmlns:a="http://schemas.openxmlformats.org/drawingml/2006/main" xmlns:r="http://schemas.openxmlformats.org/officeDocument/2006/relationships" r:embed="rId1">
          <a:extLst>
            <a:ext uri="{28A0092B-C50C-407E-A947-70E740481C1C}">
              <a14:useLocalDpi xmlns:a14="http://schemas.microsoft.com/office/drawing/2010/main" val="0"/>
            </a:ext>
          </a:extLst>
        </a:blip>
        <a:srcRect xmlns:a="http://schemas.openxmlformats.org/drawingml/2006/main" l="34413" t="69338" r="56585" b="16798"/>
        <a:stretch xmlns:a="http://schemas.openxmlformats.org/drawingml/2006/main"/>
      </cdr:blipFill>
      <cdr:spPr bwMode="auto">
        <a:xfrm xmlns:a="http://schemas.openxmlformats.org/drawingml/2006/main">
          <a:off x="1075902" y="1259388"/>
          <a:ext cx="366891" cy="515865"/>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53640926-AAD7-44D8-BBD7-CCE9431645EC}">
            <a14:shadowObscured xmlns:a14="http://schemas.microsoft.com/office/drawing/2010/main"/>
          </a:ext>
        </a:extLst>
      </cdr:spPr>
    </cdr:pic>
  </cdr:relSizeAnchor>
  <cdr:relSizeAnchor xmlns:cdr="http://schemas.openxmlformats.org/drawingml/2006/chartDrawing">
    <cdr:from>
      <cdr:x>0.24837</cdr:x>
      <cdr:y>0.23723</cdr:y>
    </cdr:from>
    <cdr:to>
      <cdr:x>0.30239</cdr:x>
      <cdr:y>0.34477</cdr:y>
    </cdr:to>
    <cdr:pic>
      <cdr:nvPicPr>
        <cdr:cNvPr id="7" name="Рисунок 6" descr="C:\Users\zavzyataya_sv\Desktop\Картинки к исполнению\0002.jpg"/>
        <cdr:cNvPicPr/>
      </cdr:nvPicPr>
      <cdr:blipFill rotWithShape="1">
        <a:blip xmlns:a="http://schemas.openxmlformats.org/drawingml/2006/main" xmlns:r="http://schemas.openxmlformats.org/officeDocument/2006/relationships" r:embed="rId1">
          <a:extLst>
            <a:ext uri="{28A0092B-C50C-407E-A947-70E740481C1C}">
              <a14:useLocalDpi xmlns:a14="http://schemas.microsoft.com/office/drawing/2010/main" val="0"/>
            </a:ext>
          </a:extLst>
        </a:blip>
        <a:srcRect xmlns:a="http://schemas.openxmlformats.org/drawingml/2006/main" l="33790" t="27315" r="56811" b="59173"/>
        <a:stretch xmlns:a="http://schemas.openxmlformats.org/drawingml/2006/main"/>
      </cdr:blipFill>
      <cdr:spPr bwMode="auto">
        <a:xfrm xmlns:a="http://schemas.openxmlformats.org/drawingml/2006/main">
          <a:off x="1660751" y="1032640"/>
          <a:ext cx="361208" cy="468114"/>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53640926-AAD7-44D8-BBD7-CCE9431645EC}">
            <a14:shadowObscured xmlns:a14="http://schemas.microsoft.com/office/drawing/2010/main"/>
          </a:ext>
        </a:extLst>
      </cdr:spPr>
    </cdr:pic>
  </cdr:relSizeAnchor>
  <cdr:relSizeAnchor xmlns:cdr="http://schemas.openxmlformats.org/drawingml/2006/chartDrawing">
    <cdr:from>
      <cdr:x>0.28925</cdr:x>
      <cdr:y>0.5266</cdr:y>
    </cdr:from>
    <cdr:to>
      <cdr:x>0.35088</cdr:x>
      <cdr:y>0.62258</cdr:y>
    </cdr:to>
    <cdr:pic>
      <cdr:nvPicPr>
        <cdr:cNvPr id="8" name="Рисунок 7" descr="C:\Users\zavzyataya_sv\Desktop\Картинки к исполнению\0002.jpg"/>
        <cdr:cNvPicPr/>
      </cdr:nvPicPr>
      <cdr:blipFill rotWithShape="1">
        <a:blip xmlns:a="http://schemas.openxmlformats.org/drawingml/2006/main" xmlns:r="http://schemas.openxmlformats.org/officeDocument/2006/relationships" r:embed="rId1">
          <a:extLst>
            <a:ext uri="{28A0092B-C50C-407E-A947-70E740481C1C}">
              <a14:useLocalDpi xmlns:a14="http://schemas.microsoft.com/office/drawing/2010/main" val="0"/>
            </a:ext>
          </a:extLst>
        </a:blip>
        <a:srcRect xmlns:a="http://schemas.openxmlformats.org/drawingml/2006/main" t="27806" r="89002" b="59449"/>
        <a:stretch xmlns:a="http://schemas.openxmlformats.org/drawingml/2006/main"/>
      </cdr:blipFill>
      <cdr:spPr bwMode="auto">
        <a:xfrm xmlns:a="http://schemas.openxmlformats.org/drawingml/2006/main">
          <a:off x="1934098" y="2292270"/>
          <a:ext cx="412092" cy="417794"/>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53640926-AAD7-44D8-BBD7-CCE9431645EC}">
            <a14:shadowObscured xmlns:a14="http://schemas.microsoft.com/office/drawing/2010/main"/>
          </a:ext>
        </a:extLst>
      </cdr:spPr>
    </cdr:pic>
  </cdr:relSizeAnchor>
  <cdr:relSizeAnchor xmlns:cdr="http://schemas.openxmlformats.org/drawingml/2006/chartDrawing">
    <cdr:from>
      <cdr:x>0</cdr:x>
      <cdr:y>0.41382</cdr:y>
    </cdr:from>
    <cdr:to>
      <cdr:x>0.05487</cdr:x>
      <cdr:y>0.50351</cdr:y>
    </cdr:to>
    <cdr:pic>
      <cdr:nvPicPr>
        <cdr:cNvPr id="9" name="Рисунок 8" descr="C:\Users\zavzyataya_sv\Desktop\Картинки к исполнению\0002.jpg"/>
        <cdr:cNvPicPr/>
      </cdr:nvPicPr>
      <cdr:blipFill rotWithShape="1">
        <a:blip xmlns:a="http://schemas.openxmlformats.org/drawingml/2006/main" xmlns:r="http://schemas.openxmlformats.org/officeDocument/2006/relationships" r:embed="rId1">
          <a:extLst>
            <a:ext uri="{28A0092B-C50C-407E-A947-70E740481C1C}">
              <a14:useLocalDpi xmlns:a14="http://schemas.microsoft.com/office/drawing/2010/main" val="0"/>
            </a:ext>
          </a:extLst>
        </a:blip>
        <a:srcRect xmlns:a="http://schemas.openxmlformats.org/drawingml/2006/main" l="33194" t="57075" r="56620" b="30147"/>
        <a:stretch xmlns:a="http://schemas.openxmlformats.org/drawingml/2006/main"/>
      </cdr:blipFill>
      <cdr:spPr bwMode="auto">
        <a:xfrm xmlns:a="http://schemas.openxmlformats.org/drawingml/2006/main">
          <a:off x="-723900" y="1801343"/>
          <a:ext cx="366891" cy="390414"/>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53640926-AAD7-44D8-BBD7-CCE9431645EC}">
            <a14:shadowObscured xmlns:a14="http://schemas.microsoft.com/office/drawing/2010/main"/>
          </a:ext>
        </a:extLst>
      </cdr:spPr>
    </cdr:pic>
  </cdr:relSizeAnchor>
  <cdr:relSizeAnchor xmlns:cdr="http://schemas.openxmlformats.org/drawingml/2006/chartDrawing">
    <cdr:from>
      <cdr:x>0.20617</cdr:x>
      <cdr:y>0.66453</cdr:y>
    </cdr:from>
    <cdr:to>
      <cdr:x>0.25992</cdr:x>
      <cdr:y>0.76724</cdr:y>
    </cdr:to>
    <cdr:pic>
      <cdr:nvPicPr>
        <cdr:cNvPr id="10" name="Рисунок 9" descr="C:\Users\zavzyataya_sv\Desktop\Картинки к исполнению\0002.jpg"/>
        <cdr:cNvPicPr/>
      </cdr:nvPicPr>
      <cdr:blipFill rotWithShape="1">
        <a:blip xmlns:a="http://schemas.openxmlformats.org/drawingml/2006/main" xmlns:r="http://schemas.openxmlformats.org/officeDocument/2006/relationships" r:embed="rId1">
          <a:extLst>
            <a:ext uri="{28A0092B-C50C-407E-A947-70E740481C1C}">
              <a14:useLocalDpi xmlns:a14="http://schemas.microsoft.com/office/drawing/2010/main" val="0"/>
            </a:ext>
          </a:extLst>
        </a:blip>
        <a:srcRect xmlns:a="http://schemas.openxmlformats.org/drawingml/2006/main" t="41818" r="89192" b="44418"/>
        <a:stretch xmlns:a="http://schemas.openxmlformats.org/drawingml/2006/main"/>
      </cdr:blipFill>
      <cdr:spPr bwMode="auto">
        <a:xfrm xmlns:a="http://schemas.openxmlformats.org/drawingml/2006/main">
          <a:off x="1378579" y="2892661"/>
          <a:ext cx="359402" cy="447089"/>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53640926-AAD7-44D8-BBD7-CCE9431645EC}">
            <a14:shadowObscured xmlns:a14="http://schemas.microsoft.com/office/drawing/2010/main"/>
          </a:ext>
        </a:extLst>
      </cdr:spPr>
    </cdr:pic>
  </cdr:relSizeAnchor>
  <cdr:relSizeAnchor xmlns:cdr="http://schemas.openxmlformats.org/drawingml/2006/chartDrawing">
    <cdr:from>
      <cdr:x>0.15783</cdr:x>
      <cdr:y>0.72685</cdr:y>
    </cdr:from>
    <cdr:to>
      <cdr:x>0.21834</cdr:x>
      <cdr:y>0.83395</cdr:y>
    </cdr:to>
    <cdr:pic>
      <cdr:nvPicPr>
        <cdr:cNvPr id="11" name="Рисунок 10" descr="C:\Users\zavzyataya_sv\Desktop\Картинки к исполнению\0002.jpg"/>
        <cdr:cNvPicPr/>
      </cdr:nvPicPr>
      <cdr:blipFill rotWithShape="1">
        <a:blip xmlns:a="http://schemas.openxmlformats.org/drawingml/2006/main" xmlns:r="http://schemas.openxmlformats.org/officeDocument/2006/relationships" r:embed="rId1">
          <a:extLst>
            <a:ext uri="{28A0092B-C50C-407E-A947-70E740481C1C}">
              <a14:useLocalDpi xmlns:a14="http://schemas.microsoft.com/office/drawing/2010/main" val="0"/>
            </a:ext>
          </a:extLst>
        </a:blip>
        <a:srcRect xmlns:a="http://schemas.openxmlformats.org/drawingml/2006/main" t="55835" r="88995" b="30407"/>
        <a:stretch xmlns:a="http://schemas.openxmlformats.org/drawingml/2006/main"/>
      </cdr:blipFill>
      <cdr:spPr bwMode="auto">
        <a:xfrm xmlns:a="http://schemas.openxmlformats.org/drawingml/2006/main">
          <a:off x="1055324" y="3163912"/>
          <a:ext cx="404604" cy="466198"/>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53640926-AAD7-44D8-BBD7-CCE9431645EC}">
            <a14:shadowObscured xmlns:a14="http://schemas.microsoft.com/office/drawing/2010/main"/>
          </a:ext>
        </a:extLst>
      </cdr:spPr>
    </cdr:pic>
  </cdr:relSizeAnchor>
  <cdr:relSizeAnchor xmlns:cdr="http://schemas.openxmlformats.org/drawingml/2006/chartDrawing">
    <cdr:from>
      <cdr:x>0.24194</cdr:x>
      <cdr:y>0.47679</cdr:y>
    </cdr:from>
    <cdr:to>
      <cdr:x>0.29508</cdr:x>
      <cdr:y>0.55616</cdr:y>
    </cdr:to>
    <cdr:pic>
      <cdr:nvPicPr>
        <cdr:cNvPr id="12" name="Рисунок 11"/>
        <cdr:cNvPicPr/>
      </cdr:nvPicPr>
      <cdr:blipFill>
        <a:blip xmlns:a="http://schemas.openxmlformats.org/drawingml/2006/main" xmlns:r="http://schemas.openxmlformats.org/officeDocument/2006/relationships" r:embed="rId2" cstate="print">
          <a:extLst>
            <a:ext uri="{28A0092B-C50C-407E-A947-70E740481C1C}">
              <a14:useLocalDpi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1617760" y="2075427"/>
          <a:ext cx="355323" cy="345492"/>
        </a:xfrm>
        <a:prstGeom xmlns:a="http://schemas.openxmlformats.org/drawingml/2006/main" prst="rect">
          <a:avLst/>
        </a:prstGeom>
        <a:noFill xmlns:a="http://schemas.openxmlformats.org/drawingml/2006/main"/>
      </cdr:spPr>
    </cdr:pic>
  </cdr:relSizeAnchor>
  <cdr:relSizeAnchor xmlns:cdr="http://schemas.openxmlformats.org/drawingml/2006/chartDrawing">
    <cdr:from>
      <cdr:x>0.07487</cdr:x>
      <cdr:y>0.59154</cdr:y>
    </cdr:from>
    <cdr:to>
      <cdr:x>0.16545</cdr:x>
      <cdr:y>0.69613</cdr:y>
    </cdr:to>
    <cdr:pic>
      <cdr:nvPicPr>
        <cdr:cNvPr id="13" name="Рисунок 12"/>
        <cdr:cNvPicPr/>
      </cdr:nvPicPr>
      <cdr:blipFill rotWithShape="1">
        <a:blip xmlns:a="http://schemas.openxmlformats.org/drawingml/2006/main" xmlns:r="http://schemas.openxmlformats.org/officeDocument/2006/relationships" r:embed="rId3">
          <a:extLst>
            <a:ext uri="{BEBA8EAE-BF5A-486C-A8C5-ECC9F3942E4B}">
              <a14:imgProps xmlns:a14="http://schemas.microsoft.com/office/drawing/2010/main">
                <a14:imgLayer r:embed="rId4">
                  <a14:imgEffect>
                    <a14:backgroundRemoval t="53280" b="60585" l="27588" r="32930"/>
                  </a14:imgEffect>
                  <a14:imgEffect>
                    <a14:brightnessContrast bright="20000" contrast="-40000"/>
                  </a14:imgEffect>
                </a14:imgLayer>
              </a14:imgProps>
            </a:ext>
            <a:ext uri="{28A0092B-C50C-407E-A947-70E740481C1C}">
              <a14:useLocalDpi xmlns:a14="http://schemas.microsoft.com/office/drawing/2010/main" val="0"/>
            </a:ext>
          </a:extLst>
        </a:blip>
        <a:srcRect xmlns:a="http://schemas.openxmlformats.org/drawingml/2006/main" l="26920" t="52367" r="66402" b="38502"/>
        <a:stretch xmlns:a="http://schemas.openxmlformats.org/drawingml/2006/main"/>
      </cdr:blipFill>
      <cdr:spPr bwMode="auto">
        <a:xfrm xmlns:a="http://schemas.openxmlformats.org/drawingml/2006/main">
          <a:off x="500612" y="2574949"/>
          <a:ext cx="605667" cy="455272"/>
        </a:xfrm>
        <a:prstGeom xmlns:a="http://schemas.openxmlformats.org/drawingml/2006/main" prst="rect">
          <a:avLst/>
        </a:prstGeom>
        <a:ln xmlns:a="http://schemas.openxmlformats.org/drawingml/2006/main">
          <a:noFill/>
        </a:ln>
        <a:extLst xmlns:a="http://schemas.openxmlformats.org/drawingml/2006/main">
          <a:ext uri="{53640926-AAD7-44D8-BBD7-CCE9431645EC}">
            <a14:shadowObscured xmlns:a14="http://schemas.microsoft.com/office/drawing/2010/main"/>
          </a:ext>
        </a:extLst>
      </cdr:spPr>
    </cdr:pic>
  </cdr:relSizeAnchor>
  <cdr:relSizeAnchor xmlns:cdr="http://schemas.openxmlformats.org/drawingml/2006/chartDrawing">
    <cdr:from>
      <cdr:x>0.0497</cdr:x>
      <cdr:y>0.7951</cdr:y>
    </cdr:from>
    <cdr:to>
      <cdr:x>0.15693</cdr:x>
      <cdr:y>0.89439</cdr:y>
    </cdr:to>
    <cdr:pic>
      <cdr:nvPicPr>
        <cdr:cNvPr id="15" name="Рисунок 14"/>
        <cdr:cNvPicPr/>
      </cdr:nvPicPr>
      <cdr:blipFill rotWithShape="1">
        <a:blip xmlns:a="http://schemas.openxmlformats.org/drawingml/2006/main" xmlns:r="http://schemas.openxmlformats.org/officeDocument/2006/relationships" r:embed="rId5" cstate="print">
          <a:extLst>
            <a:ext uri="{28A0092B-C50C-407E-A947-70E740481C1C}">
              <a14:useLocalDpi xmlns:a14="http://schemas.microsoft.com/office/drawing/2010/main" val="0"/>
            </a:ext>
          </a:extLst>
        </a:blip>
        <a:srcRect xmlns:a="http://schemas.openxmlformats.org/drawingml/2006/main" l="12990" r="11845" b="3005"/>
        <a:stretch xmlns:a="http://schemas.openxmlformats.org/drawingml/2006/main"/>
      </cdr:blipFill>
      <cdr:spPr bwMode="auto">
        <a:xfrm xmlns:a="http://schemas.openxmlformats.org/drawingml/2006/main">
          <a:off x="295219" y="3356499"/>
          <a:ext cx="636992" cy="419150"/>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53640926-AAD7-44D8-BBD7-CCE9431645EC}">
            <a14:shadowObscured xmlns:a14="http://schemas.microsoft.com/office/drawing/2010/main"/>
          </a:ext>
        </a:extLst>
      </cdr:spPr>
    </cdr:pic>
  </cdr:relSizeAnchor>
</c:userShapes>
</file>

<file path=word/drawings/drawing2.xml><?xml version="1.0" encoding="utf-8"?>
<c:userShapes xmlns:c="http://schemas.openxmlformats.org/drawingml/2006/chart">
  <cdr:relSizeAnchor xmlns:cdr="http://schemas.openxmlformats.org/drawingml/2006/chartDrawing">
    <cdr:from>
      <cdr:x>0.25957</cdr:x>
      <cdr:y>0.26325</cdr:y>
    </cdr:from>
    <cdr:to>
      <cdr:x>0.28845</cdr:x>
      <cdr:y>0.33926</cdr:y>
    </cdr:to>
    <cdr:sp macro="" textlink="">
      <cdr:nvSpPr>
        <cdr:cNvPr id="2" name="Равнобедренный треугольник 1"/>
        <cdr:cNvSpPr/>
      </cdr:nvSpPr>
      <cdr:spPr>
        <a:xfrm xmlns:a="http://schemas.openxmlformats.org/drawingml/2006/main">
          <a:off x="611333" y="591101"/>
          <a:ext cx="68019" cy="170670"/>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0.60617</cdr:x>
      <cdr:y>0.24372</cdr:y>
    </cdr:from>
    <cdr:to>
      <cdr:x>0.63712</cdr:x>
      <cdr:y>0.31187</cdr:y>
    </cdr:to>
    <cdr:sp macro="" textlink="">
      <cdr:nvSpPr>
        <cdr:cNvPr id="3" name="Равнобедренный треугольник 2"/>
        <cdr:cNvSpPr/>
      </cdr:nvSpPr>
      <cdr:spPr>
        <a:xfrm xmlns:a="http://schemas.openxmlformats.org/drawingml/2006/main">
          <a:off x="1427664" y="547234"/>
          <a:ext cx="72894" cy="153021"/>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userShapes>
</file>

<file path=word/drawings/drawing3.xml><?xml version="1.0" encoding="utf-8"?>
<c:userShapes xmlns:c="http://schemas.openxmlformats.org/drawingml/2006/chart">
  <cdr:relSizeAnchor xmlns:cdr="http://schemas.openxmlformats.org/drawingml/2006/chartDrawing">
    <cdr:from>
      <cdr:x>0.20116</cdr:x>
      <cdr:y>0.30538</cdr:y>
    </cdr:from>
    <cdr:to>
      <cdr:x>0.22963</cdr:x>
      <cdr:y>0.37064</cdr:y>
    </cdr:to>
    <cdr:sp macro="" textlink="">
      <cdr:nvSpPr>
        <cdr:cNvPr id="10" name="Равнобедренный треугольник 1"/>
        <cdr:cNvSpPr/>
      </cdr:nvSpPr>
      <cdr:spPr>
        <a:xfrm xmlns:a="http://schemas.openxmlformats.org/drawingml/2006/main">
          <a:off x="436604" y="692292"/>
          <a:ext cx="61792" cy="147941"/>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0.54715</cdr:x>
      <cdr:y>0.2673</cdr:y>
    </cdr:from>
    <cdr:to>
      <cdr:x>0.5781</cdr:x>
      <cdr:y>0.33545</cdr:y>
    </cdr:to>
    <cdr:sp macro="" textlink="">
      <cdr:nvSpPr>
        <cdr:cNvPr id="11" name="Равнобедренный треугольник 2"/>
        <cdr:cNvSpPr/>
      </cdr:nvSpPr>
      <cdr:spPr>
        <a:xfrm xmlns:a="http://schemas.openxmlformats.org/drawingml/2006/main">
          <a:off x="1187544" y="605952"/>
          <a:ext cx="67175" cy="154492"/>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userShapes>
</file>

<file path=word/drawings/drawing4.xml><?xml version="1.0" encoding="utf-8"?>
<c:userShapes xmlns:c="http://schemas.openxmlformats.org/drawingml/2006/chart">
  <cdr:relSizeAnchor xmlns:cdr="http://schemas.openxmlformats.org/drawingml/2006/chartDrawing">
    <cdr:from>
      <cdr:x>0.21839</cdr:x>
      <cdr:y>0.39575</cdr:y>
    </cdr:from>
    <cdr:to>
      <cdr:x>0.24727</cdr:x>
      <cdr:y>0.47176</cdr:y>
    </cdr:to>
    <cdr:sp macro="" textlink="">
      <cdr:nvSpPr>
        <cdr:cNvPr id="2" name="Равнобедренный треугольник 1"/>
        <cdr:cNvSpPr/>
      </cdr:nvSpPr>
      <cdr:spPr>
        <a:xfrm xmlns:a="http://schemas.openxmlformats.org/drawingml/2006/main">
          <a:off x="488694" y="897141"/>
          <a:ext cx="64626" cy="172311"/>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0.50502</cdr:x>
      <cdr:y>0.3532</cdr:y>
    </cdr:from>
    <cdr:to>
      <cdr:x>0.53597</cdr:x>
      <cdr:y>0.42135</cdr:y>
    </cdr:to>
    <cdr:sp macro="" textlink="">
      <cdr:nvSpPr>
        <cdr:cNvPr id="3" name="Равнобедренный треугольник 2"/>
        <cdr:cNvSpPr/>
      </cdr:nvSpPr>
      <cdr:spPr>
        <a:xfrm xmlns:a="http://schemas.openxmlformats.org/drawingml/2006/main">
          <a:off x="1130099" y="800698"/>
          <a:ext cx="69258" cy="154492"/>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userShapes>
</file>

<file path=word/drawings/drawing5.xml><?xml version="1.0" encoding="utf-8"?>
<c:userShapes xmlns:c="http://schemas.openxmlformats.org/drawingml/2006/chart">
  <cdr:relSizeAnchor xmlns:cdr="http://schemas.openxmlformats.org/drawingml/2006/chartDrawing">
    <cdr:from>
      <cdr:x>0.59453</cdr:x>
      <cdr:y>0.26559</cdr:y>
    </cdr:from>
    <cdr:to>
      <cdr:x>0.62341</cdr:x>
      <cdr:y>0.3416</cdr:y>
    </cdr:to>
    <cdr:sp macro="" textlink="">
      <cdr:nvSpPr>
        <cdr:cNvPr id="2" name="Равнобедренный треугольник 1"/>
        <cdr:cNvSpPr/>
      </cdr:nvSpPr>
      <cdr:spPr>
        <a:xfrm xmlns:a="http://schemas.openxmlformats.org/drawingml/2006/main">
          <a:off x="1221677" y="533786"/>
          <a:ext cx="59345" cy="152763"/>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0.25193</cdr:x>
      <cdr:y>0.27052</cdr:y>
    </cdr:from>
    <cdr:to>
      <cdr:x>0.28463</cdr:x>
      <cdr:y>0.346</cdr:y>
    </cdr:to>
    <cdr:sp macro="" textlink="">
      <cdr:nvSpPr>
        <cdr:cNvPr id="7" name="Равнобедренный треугольник 2"/>
        <cdr:cNvSpPr/>
      </cdr:nvSpPr>
      <cdr:spPr>
        <a:xfrm xmlns:a="http://schemas.openxmlformats.org/drawingml/2006/main" rot="10800000">
          <a:off x="517689" y="543693"/>
          <a:ext cx="67194" cy="151698"/>
        </a:xfrm>
        <a:prstGeom xmlns:a="http://schemas.openxmlformats.org/drawingml/2006/main" prst="triangle">
          <a:avLst/>
        </a:prstGeom>
        <a:solidFill xmlns:a="http://schemas.openxmlformats.org/drawingml/2006/main">
          <a:srgbClr val="FF0000"/>
        </a:solidFill>
        <a:ln xmlns:a="http://schemas.openxmlformats.org/drawingml/2006/main">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userShapes>
</file>

<file path=word/drawings/drawing6.xml><?xml version="1.0" encoding="utf-8"?>
<c:userShapes xmlns:c="http://schemas.openxmlformats.org/drawingml/2006/chart">
  <cdr:relSizeAnchor xmlns:cdr="http://schemas.openxmlformats.org/drawingml/2006/chartDrawing">
    <cdr:from>
      <cdr:x>0.2475</cdr:x>
      <cdr:y>0.35693</cdr:y>
    </cdr:from>
    <cdr:to>
      <cdr:x>0.27638</cdr:x>
      <cdr:y>0.43294</cdr:y>
    </cdr:to>
    <cdr:sp macro="" textlink="">
      <cdr:nvSpPr>
        <cdr:cNvPr id="4" name="Равнобедренный треугольник 1"/>
        <cdr:cNvSpPr/>
      </cdr:nvSpPr>
      <cdr:spPr>
        <a:xfrm xmlns:a="http://schemas.openxmlformats.org/drawingml/2006/main">
          <a:off x="539851" y="853330"/>
          <a:ext cx="62994" cy="181722"/>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0.55036</cdr:x>
      <cdr:y>0.33774</cdr:y>
    </cdr:from>
    <cdr:to>
      <cdr:x>0.58131</cdr:x>
      <cdr:y>0.40589</cdr:y>
    </cdr:to>
    <cdr:sp macro="" textlink="">
      <cdr:nvSpPr>
        <cdr:cNvPr id="5" name="Равнобедренный треугольник 2"/>
        <cdr:cNvSpPr/>
      </cdr:nvSpPr>
      <cdr:spPr>
        <a:xfrm xmlns:a="http://schemas.openxmlformats.org/drawingml/2006/main">
          <a:off x="1261616" y="807468"/>
          <a:ext cx="70948" cy="162932"/>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userShapes>
</file>

<file path=word/drawings/drawing7.xml><?xml version="1.0" encoding="utf-8"?>
<c:userShapes xmlns:c="http://schemas.openxmlformats.org/drawingml/2006/chart">
  <cdr:relSizeAnchor xmlns:cdr="http://schemas.openxmlformats.org/drawingml/2006/chartDrawing">
    <cdr:from>
      <cdr:x>0.22826</cdr:x>
      <cdr:y>0.44611</cdr:y>
    </cdr:from>
    <cdr:to>
      <cdr:x>0.27174</cdr:x>
      <cdr:y>0.4967</cdr:y>
    </cdr:to>
    <cdr:sp macro="" textlink="">
      <cdr:nvSpPr>
        <cdr:cNvPr id="4" name="Равнобедренный треугольник 1"/>
        <cdr:cNvSpPr/>
      </cdr:nvSpPr>
      <cdr:spPr>
        <a:xfrm xmlns:a="http://schemas.openxmlformats.org/drawingml/2006/main">
          <a:off x="500062" y="1182686"/>
          <a:ext cx="95251" cy="134124"/>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0.53989</cdr:x>
      <cdr:y>0.42301</cdr:y>
    </cdr:from>
    <cdr:to>
      <cdr:x>0.57919</cdr:x>
      <cdr:y>0.46897</cdr:y>
    </cdr:to>
    <cdr:sp macro="" textlink="">
      <cdr:nvSpPr>
        <cdr:cNvPr id="5" name="Равнобедренный треугольник 2"/>
        <cdr:cNvSpPr/>
      </cdr:nvSpPr>
      <cdr:spPr>
        <a:xfrm xmlns:a="http://schemas.openxmlformats.org/drawingml/2006/main">
          <a:off x="1182771" y="1121454"/>
          <a:ext cx="86094" cy="121846"/>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userShapes>
</file>

<file path=word/drawings/drawing8.xml><?xml version="1.0" encoding="utf-8"?>
<c:userShapes xmlns:c="http://schemas.openxmlformats.org/drawingml/2006/chart">
  <cdr:relSizeAnchor xmlns:cdr="http://schemas.openxmlformats.org/drawingml/2006/chartDrawing">
    <cdr:from>
      <cdr:x>0.5698</cdr:x>
      <cdr:y>0.32019</cdr:y>
    </cdr:from>
    <cdr:to>
      <cdr:x>0.60075</cdr:x>
      <cdr:y>0.38834</cdr:y>
    </cdr:to>
    <cdr:sp macro="" textlink="">
      <cdr:nvSpPr>
        <cdr:cNvPr id="9" name="Равнобедренный треугольник 2"/>
        <cdr:cNvSpPr/>
      </cdr:nvSpPr>
      <cdr:spPr>
        <a:xfrm xmlns:a="http://schemas.openxmlformats.org/drawingml/2006/main">
          <a:off x="1145161" y="715274"/>
          <a:ext cx="62203" cy="152242"/>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dr:relSizeAnchor xmlns:cdr="http://schemas.openxmlformats.org/drawingml/2006/chartDrawing">
    <cdr:from>
      <cdr:x>0.2696</cdr:x>
      <cdr:y>0.31942</cdr:y>
    </cdr:from>
    <cdr:to>
      <cdr:x>0.30055</cdr:x>
      <cdr:y>0.38757</cdr:y>
    </cdr:to>
    <cdr:sp macro="" textlink="">
      <cdr:nvSpPr>
        <cdr:cNvPr id="5" name="Равнобедренный треугольник 4"/>
        <cdr:cNvSpPr/>
      </cdr:nvSpPr>
      <cdr:spPr>
        <a:xfrm xmlns:a="http://schemas.openxmlformats.org/drawingml/2006/main">
          <a:off x="541831" y="713557"/>
          <a:ext cx="62202" cy="152242"/>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userShapes>
</file>

<file path=word/drawings/drawing9.xml><?xml version="1.0" encoding="utf-8"?>
<c:userShapes xmlns:c="http://schemas.openxmlformats.org/drawingml/2006/chart">
  <cdr:relSizeAnchor xmlns:cdr="http://schemas.openxmlformats.org/drawingml/2006/chartDrawing">
    <cdr:from>
      <cdr:x>0.2981</cdr:x>
      <cdr:y>0.46177</cdr:y>
    </cdr:from>
    <cdr:to>
      <cdr:x>0.32614</cdr:x>
      <cdr:y>0.51466</cdr:y>
    </cdr:to>
    <cdr:sp macro="" textlink="">
      <cdr:nvSpPr>
        <cdr:cNvPr id="6" name="Равнобедренный треугольник 5"/>
        <cdr:cNvSpPr/>
      </cdr:nvSpPr>
      <cdr:spPr>
        <a:xfrm xmlns:a="http://schemas.openxmlformats.org/drawingml/2006/main" flipV="1">
          <a:off x="613124" y="1249142"/>
          <a:ext cx="57672" cy="143072"/>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dr:relSizeAnchor xmlns:cdr="http://schemas.openxmlformats.org/drawingml/2006/chartDrawing">
    <cdr:from>
      <cdr:x>0.62691</cdr:x>
      <cdr:y>0.5032</cdr:y>
    </cdr:from>
    <cdr:to>
      <cdr:x>0.64911</cdr:x>
      <cdr:y>0.55674</cdr:y>
    </cdr:to>
    <cdr:sp macro="" textlink="">
      <cdr:nvSpPr>
        <cdr:cNvPr id="7" name="Равнобедренный треугольник 6"/>
        <cdr:cNvSpPr/>
      </cdr:nvSpPr>
      <cdr:spPr>
        <a:xfrm xmlns:a="http://schemas.openxmlformats.org/drawingml/2006/main" flipH="1" flipV="1">
          <a:off x="1289400" y="1361193"/>
          <a:ext cx="45660" cy="144831"/>
        </a:xfrm>
        <a:prstGeom xmlns:a="http://schemas.openxmlformats.org/drawingml/2006/main" prst="triangle">
          <a:avLst/>
        </a:prstGeom>
        <a:solidFill xmlns:a="http://schemas.openxmlformats.org/drawingml/2006/main">
          <a:srgbClr val="92D050"/>
        </a:solidFill>
        <a:ln xmlns:a="http://schemas.openxmlformats.org/drawingml/2006/main">
          <a:solidFill>
            <a:srgbClr val="92D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C2B3E4-F21C-4175-98A5-83FA00FA1C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582</TotalTime>
  <Pages>256</Pages>
  <Words>86657</Words>
  <Characters>493951</Characters>
  <Application>Microsoft Office Word</Application>
  <DocSecurity>0</DocSecurity>
  <Lines>4116</Lines>
  <Paragraphs>1158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579450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Екатерина В. Антонова</dc:creator>
  <cp:keywords/>
  <dc:description/>
  <cp:lastModifiedBy>Екатерина В. Антонова</cp:lastModifiedBy>
  <cp:revision>86</cp:revision>
  <cp:lastPrinted>2025-05-29T03:54:00Z</cp:lastPrinted>
  <dcterms:created xsi:type="dcterms:W3CDTF">2025-05-23T05:25:00Z</dcterms:created>
  <dcterms:modified xsi:type="dcterms:W3CDTF">2025-05-29T05:27:00Z</dcterms:modified>
</cp:coreProperties>
</file>